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42A">
      <w:pPr>
        <w:adjustRightInd w:val="0"/>
        <w:snapToGrid w:val="0"/>
        <w:spacing w:line="288" w:lineRule="auto"/>
        <w:jc w:val="center"/>
        <w:rPr>
          <w:rFonts w:hint="default" w:ascii="Times New Roman" w:hAnsi="Times New Roman" w:eastAsia="宋体" w:cs="Times New Roman"/>
          <w:color w:val="auto"/>
          <w:sz w:val="36"/>
          <w:szCs w:val="36"/>
        </w:rPr>
      </w:pPr>
      <w:r>
        <w:rPr>
          <w:rFonts w:hint="eastAsia" w:cs="宋体"/>
          <w:color w:val="auto"/>
          <w:sz w:val="36"/>
          <w:szCs w:val="36"/>
          <w:highlight w:val="none"/>
          <w:lang w:val="en-US" w:eastAsia="zh-CN"/>
        </w:rPr>
        <w:t xml:space="preserve"> </w:t>
      </w:r>
      <w:r>
        <w:rPr>
          <w:rFonts w:hint="default" w:ascii="Times New Roman" w:hAnsi="Times New Roman" w:eastAsia="宋体" w:cs="Times New Roman"/>
          <w:color w:val="auto"/>
          <w:sz w:val="36"/>
          <w:szCs w:val="36"/>
        </w:rPr>
        <w:drawing>
          <wp:inline distT="0" distB="0" distL="114300" distR="114300">
            <wp:extent cx="5615305" cy="7942580"/>
            <wp:effectExtent l="0" t="0" r="4445" b="1270"/>
            <wp:docPr id="45" name="图片 4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封面"/>
                    <pic:cNvPicPr>
                      <a:picLocks noChangeAspect="1"/>
                    </pic:cNvPicPr>
                  </pic:nvPicPr>
                  <pic:blipFill>
                    <a:blip r:embed="rId10"/>
                    <a:stretch>
                      <a:fillRect/>
                    </a:stretch>
                  </pic:blipFill>
                  <pic:spPr>
                    <a:xfrm>
                      <a:off x="0" y="0"/>
                      <a:ext cx="5615305" cy="7942580"/>
                    </a:xfrm>
                    <a:prstGeom prst="rect">
                      <a:avLst/>
                    </a:prstGeom>
                  </pic:spPr>
                </pic:pic>
              </a:graphicData>
            </a:graphic>
          </wp:inline>
        </w:drawing>
      </w:r>
    </w:p>
    <w:p w14:paraId="2ADF5C06">
      <w:pPr>
        <w:adjustRightInd w:val="0"/>
        <w:snapToGrid w:val="0"/>
        <w:spacing w:line="288" w:lineRule="auto"/>
        <w:ind w:firstLine="1040"/>
        <w:rPr>
          <w:rFonts w:hint="default" w:ascii="Times New Roman" w:hAnsi="Times New Roman" w:eastAsia="宋体" w:cs="Times New Roman"/>
          <w:color w:val="auto"/>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74CC4CE0">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ascii="Times New Roman" w:hAnsi="Times New Roman" w:eastAsia="宋体" w:cs="宋体"/>
          <w:color w:val="auto"/>
          <w:sz w:val="36"/>
          <w:szCs w:val="36"/>
          <w:highlight w:val="none"/>
        </w:rPr>
      </w:pPr>
      <w:r>
        <w:rPr>
          <w:rFonts w:hint="eastAsia" w:ascii="Times New Roman" w:hAnsi="Times New Roman" w:eastAsia="宋体" w:cs="宋体"/>
          <w:color w:val="auto"/>
          <w:sz w:val="36"/>
          <w:szCs w:val="36"/>
          <w:highlight w:val="none"/>
          <w:lang w:eastAsia="zh-CN"/>
        </w:rPr>
        <w:drawing>
          <wp:inline distT="0" distB="0" distL="114300" distR="114300">
            <wp:extent cx="5615305" cy="7942580"/>
            <wp:effectExtent l="0" t="0" r="4445" b="1270"/>
            <wp:docPr id="88" name="图片 88" descr="资质页-关键信息隐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资质页-关键信息隐去"/>
                    <pic:cNvPicPr>
                      <a:picLocks noChangeAspect="1"/>
                    </pic:cNvPicPr>
                  </pic:nvPicPr>
                  <pic:blipFill>
                    <a:blip r:embed="rId11"/>
                    <a:stretch>
                      <a:fillRect/>
                    </a:stretch>
                  </pic:blipFill>
                  <pic:spPr>
                    <a:xfrm>
                      <a:off x="0" y="0"/>
                      <a:ext cx="5615305" cy="7942580"/>
                    </a:xfrm>
                    <a:prstGeom prst="rect">
                      <a:avLst/>
                    </a:prstGeom>
                  </pic:spPr>
                </pic:pic>
              </a:graphicData>
            </a:graphic>
          </wp:inline>
        </w:drawing>
      </w:r>
    </w:p>
    <w:p w14:paraId="7A6293FE">
      <w:pPr>
        <w:pStyle w:val="7"/>
        <w:rPr>
          <w:rFonts w:ascii="Times New Roman" w:hAnsi="Times New Roman" w:eastAsia="宋体" w:cs="宋体"/>
          <w:color w:val="auto"/>
          <w:highlight w:val="none"/>
        </w:rPr>
      </w:pPr>
    </w:p>
    <w:p w14:paraId="6359DF72">
      <w:pPr>
        <w:pStyle w:val="7"/>
        <w:rPr>
          <w:rFonts w:hint="eastAsia"/>
          <w:lang w:eastAsia="zh-CN"/>
        </w:rPr>
      </w:pPr>
      <w:r>
        <w:rPr>
          <w:rFonts w:hint="eastAsia"/>
          <w:lang w:eastAsia="zh-CN"/>
        </w:rPr>
        <w:drawing>
          <wp:inline distT="0" distB="0" distL="114300" distR="114300">
            <wp:extent cx="5615305" cy="7942580"/>
            <wp:effectExtent l="0" t="0" r="4445" b="1270"/>
            <wp:docPr id="86" name="图片 8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营业执照"/>
                    <pic:cNvPicPr>
                      <a:picLocks noChangeAspect="1"/>
                    </pic:cNvPicPr>
                  </pic:nvPicPr>
                  <pic:blipFill>
                    <a:blip r:embed="rId12"/>
                    <a:stretch>
                      <a:fillRect/>
                    </a:stretch>
                  </pic:blipFill>
                  <pic:spPr>
                    <a:xfrm>
                      <a:off x="0" y="0"/>
                      <a:ext cx="5615305" cy="7942580"/>
                    </a:xfrm>
                    <a:prstGeom prst="rect">
                      <a:avLst/>
                    </a:prstGeom>
                  </pic:spPr>
                </pic:pic>
              </a:graphicData>
            </a:graphic>
          </wp:inline>
        </w:drawing>
      </w:r>
    </w:p>
    <w:p w14:paraId="067EEF76">
      <w:pPr>
        <w:rPr>
          <w:rFonts w:hint="eastAsia"/>
          <w:lang w:eastAsia="zh-CN"/>
        </w:rPr>
      </w:pPr>
      <w:r>
        <w:rPr>
          <w:rFonts w:hint="eastAsia"/>
          <w:lang w:eastAsia="zh-CN"/>
        </w:rPr>
        <w:br w:type="page"/>
      </w:r>
    </w:p>
    <w:p w14:paraId="425163EC">
      <w:pPr>
        <w:rPr>
          <w:rFonts w:hint="eastAsia"/>
          <w:lang w:eastAsia="zh-CN"/>
        </w:rPr>
      </w:pPr>
      <w:r>
        <w:rPr>
          <w:rFonts w:hint="eastAsia"/>
          <w:lang w:eastAsia="zh-CN"/>
        </w:rPr>
        <w:drawing>
          <wp:inline distT="0" distB="0" distL="114300" distR="114300">
            <wp:extent cx="5615305" cy="7919720"/>
            <wp:effectExtent l="0" t="0" r="4445" b="5080"/>
            <wp:docPr id="83" name="图片 83" descr="工程师证书-关键信息隐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工程师证书-关键信息隐去"/>
                    <pic:cNvPicPr>
                      <a:picLocks noChangeAspect="1"/>
                    </pic:cNvPicPr>
                  </pic:nvPicPr>
                  <pic:blipFill>
                    <a:blip r:embed="rId13"/>
                    <a:stretch>
                      <a:fillRect/>
                    </a:stretch>
                  </pic:blipFill>
                  <pic:spPr>
                    <a:xfrm>
                      <a:off x="0" y="0"/>
                      <a:ext cx="5615305" cy="7919720"/>
                    </a:xfrm>
                    <a:prstGeom prst="rect">
                      <a:avLst/>
                    </a:prstGeom>
                  </pic:spPr>
                </pic:pic>
              </a:graphicData>
            </a:graphic>
          </wp:inline>
        </w:drawing>
      </w:r>
    </w:p>
    <w:p w14:paraId="1AE5023E">
      <w:pPr>
        <w:rPr>
          <w:rFonts w:hint="eastAsia"/>
          <w:lang w:eastAsia="zh-CN"/>
        </w:rPr>
      </w:pPr>
      <w:r>
        <w:rPr>
          <w:rFonts w:hint="eastAsia"/>
          <w:lang w:eastAsia="zh-CN"/>
        </w:rPr>
        <w:br w:type="page"/>
      </w:r>
    </w:p>
    <w:p w14:paraId="791CBB0D">
      <w:pPr>
        <w:rPr>
          <w:rFonts w:hint="eastAsia" w:eastAsia="宋体"/>
          <w:lang w:eastAsia="zh-CN"/>
        </w:rPr>
      </w:pPr>
      <w:r>
        <w:rPr>
          <w:rFonts w:hint="eastAsia" w:eastAsia="宋体"/>
          <w:lang w:eastAsia="zh-CN"/>
        </w:rPr>
        <w:drawing>
          <wp:inline distT="0" distB="0" distL="114300" distR="114300">
            <wp:extent cx="5615305" cy="7942580"/>
            <wp:effectExtent l="0" t="0" r="4445" b="1270"/>
            <wp:docPr id="55" name="图片 55" descr="社保证明-4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社保证明-4月"/>
                    <pic:cNvPicPr>
                      <a:picLocks noChangeAspect="1"/>
                    </pic:cNvPicPr>
                  </pic:nvPicPr>
                  <pic:blipFill>
                    <a:blip r:embed="rId14"/>
                    <a:stretch>
                      <a:fillRect/>
                    </a:stretch>
                  </pic:blipFill>
                  <pic:spPr>
                    <a:xfrm>
                      <a:off x="0" y="0"/>
                      <a:ext cx="5615305" cy="7942580"/>
                    </a:xfrm>
                    <a:prstGeom prst="rect">
                      <a:avLst/>
                    </a:prstGeom>
                  </pic:spPr>
                </pic:pic>
              </a:graphicData>
            </a:graphic>
          </wp:inline>
        </w:drawing>
      </w:r>
    </w:p>
    <w:p w14:paraId="11418E8A">
      <w:pPr>
        <w:pStyle w:val="7"/>
        <w:rPr>
          <w:rFonts w:ascii="Times New Roman" w:hAnsi="Times New Roman" w:eastAsia="宋体" w:cs="宋体"/>
          <w:color w:val="auto"/>
          <w:sz w:val="36"/>
          <w:szCs w:val="36"/>
          <w:highlight w:val="none"/>
        </w:rPr>
      </w:pPr>
    </w:p>
    <w:p w14:paraId="3C28CE5D">
      <w:pPr>
        <w:pStyle w:val="7"/>
        <w:rPr>
          <w:rFonts w:ascii="Times New Roman" w:hAnsi="Times New Roman" w:eastAsia="宋体" w:cs="宋体"/>
          <w:color w:val="auto"/>
          <w:sz w:val="36"/>
          <w:szCs w:val="36"/>
          <w:highlight w:val="none"/>
        </w:rPr>
        <w:sectPr>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99F59B2">
      <w:pPr>
        <w:pStyle w:val="19"/>
        <w:jc w:val="center"/>
        <w:rPr>
          <w:rFonts w:ascii="Times New Roman" w:hAnsi="Times New Roman" w:eastAsia="宋体" w:cs="宋体"/>
          <w:snapToGrid w:val="0"/>
          <w:color w:val="auto"/>
          <w:sz w:val="36"/>
          <w:szCs w:val="36"/>
          <w:highlight w:val="none"/>
        </w:rPr>
      </w:pPr>
      <w:r>
        <w:rPr>
          <w:rFonts w:hint="eastAsia" w:ascii="Times New Roman" w:hAnsi="Times New Roman" w:eastAsia="宋体" w:cs="宋体"/>
          <w:snapToGrid w:val="0"/>
          <w:color w:val="auto"/>
          <w:sz w:val="36"/>
          <w:szCs w:val="36"/>
          <w:highlight w:val="none"/>
        </w:rPr>
        <w:t>目 录</w:t>
      </w:r>
    </w:p>
    <w:p w14:paraId="3D8C519E">
      <w:pPr>
        <w:pStyle w:val="17"/>
        <w:tabs>
          <w:tab w:val="right" w:leader="dot" w:pos="8844"/>
        </w:tabs>
        <w:spacing w:line="480" w:lineRule="auto"/>
        <w:rPr>
          <w:rFonts w:ascii="Times New Roman" w:hAnsi="Times New Roman" w:eastAsia="宋体" w:cs="宋体"/>
          <w:color w:val="auto"/>
          <w:sz w:val="28"/>
          <w:szCs w:val="28"/>
          <w:highlight w:val="none"/>
        </w:rPr>
      </w:pPr>
      <w:r>
        <w:rPr>
          <w:rFonts w:ascii="Times New Roman" w:hAnsi="Times New Roman" w:eastAsia="宋体" w:cs="宋体"/>
          <w:snapToGrid w:val="0"/>
          <w:color w:val="auto"/>
          <w:sz w:val="28"/>
          <w:szCs w:val="28"/>
          <w:highlight w:val="none"/>
        </w:rPr>
        <w:fldChar w:fldCharType="begin"/>
      </w:r>
      <w:r>
        <w:rPr>
          <w:rFonts w:ascii="Times New Roman" w:hAnsi="Times New Roman" w:eastAsia="宋体" w:cs="宋体"/>
          <w:snapToGrid w:val="0"/>
          <w:color w:val="auto"/>
          <w:sz w:val="28"/>
          <w:szCs w:val="28"/>
          <w:highlight w:val="none"/>
        </w:rPr>
        <w:instrText xml:space="preserve">TOC \o "1-1" \h \u </w:instrText>
      </w:r>
      <w:r>
        <w:rPr>
          <w:rFonts w:ascii="Times New Roman" w:hAnsi="Times New Roman" w:eastAsia="宋体" w:cs="宋体"/>
          <w:snapToGrid w:val="0"/>
          <w:color w:val="auto"/>
          <w:sz w:val="28"/>
          <w:szCs w:val="28"/>
          <w:highlight w:val="none"/>
        </w:rPr>
        <w:fldChar w:fldCharType="separate"/>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"_Toc20852"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一、建设项目基本情况</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_Toc20852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1</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p>
    <w:p w14:paraId="3C89A594">
      <w:pPr>
        <w:pStyle w:val="17"/>
        <w:tabs>
          <w:tab w:val="right" w:leader="dot" w:pos="8844"/>
        </w:tabs>
        <w:spacing w:line="480" w:lineRule="auto"/>
        <w:rPr>
          <w:rFonts w:ascii="Times New Roman" w:hAnsi="Times New Roman" w:eastAsia="宋体" w:cs="宋体"/>
          <w:color w:val="auto"/>
          <w:sz w:val="28"/>
          <w:szCs w:val="28"/>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"_Toc27408"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二、建设项目工程分析</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_Toc27408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32</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p>
    <w:p w14:paraId="108BB36C">
      <w:pPr>
        <w:pStyle w:val="17"/>
        <w:tabs>
          <w:tab w:val="right" w:leader="dot" w:pos="8844"/>
        </w:tabs>
        <w:spacing w:line="480" w:lineRule="auto"/>
        <w:rPr>
          <w:rFonts w:ascii="Times New Roman" w:hAnsi="Times New Roman" w:eastAsia="宋体" w:cs="宋体"/>
          <w:color w:val="auto"/>
          <w:sz w:val="28"/>
          <w:szCs w:val="28"/>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"_Toc1059"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三、区域环境质量现状、环境保护目标及评价标准</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_Toc1059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58</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p>
    <w:p w14:paraId="61544FF1">
      <w:pPr>
        <w:pStyle w:val="17"/>
        <w:tabs>
          <w:tab w:val="right" w:leader="dot" w:pos="8844"/>
        </w:tabs>
        <w:spacing w:line="480" w:lineRule="auto"/>
        <w:rPr>
          <w:rFonts w:ascii="Times New Roman" w:hAnsi="Times New Roman" w:eastAsia="宋体" w:cs="宋体"/>
          <w:color w:val="auto"/>
          <w:sz w:val="28"/>
          <w:szCs w:val="28"/>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"_Toc7978"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四、主要环境影响和保护措施</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_Toc7978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69</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p>
    <w:p w14:paraId="2236547F">
      <w:pPr>
        <w:pStyle w:val="17"/>
        <w:tabs>
          <w:tab w:val="right" w:leader="dot" w:pos="8844"/>
        </w:tabs>
        <w:spacing w:line="480" w:lineRule="auto"/>
        <w:rPr>
          <w:rFonts w:ascii="Times New Roman" w:hAnsi="Times New Roman" w:eastAsia="宋体" w:cs="宋体"/>
          <w:color w:val="auto"/>
          <w:sz w:val="28"/>
          <w:szCs w:val="28"/>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"_Toc4996"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五、环境保护措施监督检查清单</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_Toc4996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111</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p>
    <w:p w14:paraId="6CCBBB49">
      <w:pPr>
        <w:pStyle w:val="17"/>
        <w:tabs>
          <w:tab w:val="right" w:leader="dot" w:pos="8844"/>
        </w:tabs>
        <w:spacing w:line="480" w:lineRule="auto"/>
        <w:rPr>
          <w:rFonts w:ascii="Times New Roman" w:hAnsi="Times New Roman" w:eastAsia="宋体" w:cs="宋体"/>
          <w:snapToGrid w:val="0"/>
          <w:color w:val="auto"/>
          <w:sz w:val="28"/>
          <w:szCs w:val="28"/>
          <w:highlight w:val="none"/>
        </w:rPr>
      </w:pP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"_Toc15768" </w:instrText>
      </w:r>
      <w:r>
        <w:rPr>
          <w:rFonts w:ascii="Times New Roman" w:hAnsi="Times New Roman" w:eastAsia="宋体"/>
          <w:color w:val="auto"/>
          <w:highlight w:val="none"/>
        </w:rPr>
        <w:fldChar w:fldCharType="separate"/>
      </w:r>
      <w:r>
        <w:rPr>
          <w:rFonts w:hint="eastAsia" w:ascii="Times New Roman" w:hAnsi="Times New Roman" w:eastAsia="宋体" w:cs="宋体"/>
          <w:snapToGrid w:val="0"/>
          <w:color w:val="auto"/>
          <w:sz w:val="28"/>
          <w:szCs w:val="28"/>
          <w:highlight w:val="none"/>
        </w:rPr>
        <w:t>六、结论</w:t>
      </w:r>
      <w:r>
        <w:rPr>
          <w:rFonts w:ascii="Times New Roman" w:hAnsi="Times New Roman" w:eastAsia="宋体" w:cs="宋体"/>
          <w:color w:val="auto"/>
          <w:sz w:val="28"/>
          <w:szCs w:val="28"/>
          <w:highlight w:val="none"/>
        </w:rPr>
        <w:tab/>
      </w:r>
      <w:r>
        <w:rPr>
          <w:rFonts w:ascii="Times New Roman" w:hAnsi="Times New Roman" w:eastAsia="宋体" w:cs="宋体"/>
          <w:color w:val="auto"/>
          <w:sz w:val="28"/>
          <w:szCs w:val="28"/>
          <w:highlight w:val="none"/>
        </w:rPr>
        <w:fldChar w:fldCharType="begin"/>
      </w:r>
      <w:r>
        <w:rPr>
          <w:rFonts w:ascii="Times New Roman" w:hAnsi="Times New Roman" w:eastAsia="宋体" w:cs="宋体"/>
          <w:color w:val="auto"/>
          <w:sz w:val="28"/>
          <w:szCs w:val="28"/>
          <w:highlight w:val="none"/>
        </w:rPr>
        <w:instrText xml:space="preserve"> PAGEREF _Toc15768 \h </w:instrText>
      </w:r>
      <w:r>
        <w:rPr>
          <w:rFonts w:ascii="Times New Roman" w:hAnsi="Times New Roman" w:eastAsia="宋体" w:cs="宋体"/>
          <w:color w:val="auto"/>
          <w:sz w:val="28"/>
          <w:szCs w:val="28"/>
          <w:highlight w:val="none"/>
        </w:rPr>
        <w:fldChar w:fldCharType="separate"/>
      </w:r>
      <w:r>
        <w:rPr>
          <w:rFonts w:ascii="Times New Roman" w:hAnsi="Times New Roman" w:eastAsia="宋体" w:cs="宋体"/>
          <w:color w:val="auto"/>
          <w:sz w:val="28"/>
          <w:szCs w:val="28"/>
          <w:highlight w:val="none"/>
        </w:rPr>
        <w:t>113</w:t>
      </w:r>
      <w:r>
        <w:rPr>
          <w:rFonts w:ascii="Times New Roman" w:hAnsi="Times New Roman" w:eastAsia="宋体" w:cs="宋体"/>
          <w:color w:val="auto"/>
          <w:sz w:val="28"/>
          <w:szCs w:val="28"/>
          <w:highlight w:val="none"/>
        </w:rPr>
        <w:fldChar w:fldCharType="end"/>
      </w:r>
      <w:r>
        <w:rPr>
          <w:rFonts w:ascii="Times New Roman" w:hAnsi="Times New Roman" w:eastAsia="宋体" w:cs="宋体"/>
          <w:color w:val="auto"/>
          <w:sz w:val="28"/>
          <w:szCs w:val="28"/>
          <w:highlight w:val="none"/>
        </w:rPr>
        <w:fldChar w:fldCharType="end"/>
      </w:r>
      <w:r>
        <w:rPr>
          <w:rFonts w:ascii="Times New Roman" w:hAnsi="Times New Roman" w:eastAsia="宋体" w:cs="宋体"/>
          <w:snapToGrid w:val="0"/>
          <w:color w:val="auto"/>
          <w:sz w:val="28"/>
          <w:szCs w:val="28"/>
          <w:highlight w:val="none"/>
        </w:rPr>
        <w:fldChar w:fldCharType="end"/>
      </w:r>
    </w:p>
    <w:p w14:paraId="391936FB">
      <w:pPr>
        <w:rPr>
          <w:color w:val="auto"/>
        </w:rPr>
      </w:pPr>
      <w:r>
        <w:rPr>
          <w:rFonts w:ascii="Times New Roman" w:hAnsi="Times New Roman" w:eastAsia="宋体" w:cs="宋体"/>
          <w:snapToGrid w:val="0"/>
          <w:color w:val="auto"/>
          <w:sz w:val="28"/>
          <w:szCs w:val="28"/>
          <w:highlight w:val="none"/>
        </w:rPr>
        <w:br w:type="page"/>
      </w:r>
    </w:p>
    <w:p w14:paraId="47E0F741">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附件：</w:t>
      </w:r>
    </w:p>
    <w:p w14:paraId="2FCC886F">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zh-CN"/>
        </w:rPr>
        <w:t xml:space="preserve"> 环评委托书；</w:t>
      </w:r>
    </w:p>
    <w:p w14:paraId="6EFB7E1F">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附件2</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zh-CN"/>
        </w:rPr>
        <w:t xml:space="preserve"> </w:t>
      </w:r>
      <w:r>
        <w:rPr>
          <w:rFonts w:hint="default" w:ascii="Times New Roman" w:hAnsi="Times New Roman" w:cs="Times New Roman"/>
          <w:color w:val="auto"/>
          <w:lang w:val="en-US" w:eastAsia="zh-CN"/>
        </w:rPr>
        <w:t>江苏省投资项目备案证</w:t>
      </w:r>
      <w:r>
        <w:rPr>
          <w:rFonts w:hint="default" w:ascii="Times New Roman" w:hAnsi="Times New Roman" w:cs="Times New Roman"/>
          <w:color w:val="auto"/>
          <w:lang w:val="zh-CN"/>
        </w:rPr>
        <w:t>；</w:t>
      </w:r>
    </w:p>
    <w:p w14:paraId="3F783D3F">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 xml:space="preserve">附件3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zh-CN"/>
        </w:rPr>
        <w:t>营业执照；</w:t>
      </w:r>
    </w:p>
    <w:p w14:paraId="4CD09A3D">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附件4</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不动产权证</w:t>
      </w:r>
      <w:r>
        <w:rPr>
          <w:rFonts w:hint="default" w:ascii="Times New Roman" w:hAnsi="Times New Roman" w:cs="Times New Roman"/>
          <w:color w:val="auto"/>
          <w:lang w:val="zh-CN"/>
        </w:rPr>
        <w:t>；</w:t>
      </w:r>
    </w:p>
    <w:p w14:paraId="212F4B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附件</w:t>
      </w: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eastAsia="宋体" w:cs="Times New Roman"/>
          <w:color w:val="auto"/>
          <w:szCs w:val="21"/>
          <w:highlight w:val="none"/>
        </w:rPr>
        <w:t>原环评批复及验收意见、排污许可证等；</w:t>
      </w:r>
    </w:p>
    <w:p w14:paraId="50F72942">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zh-CN"/>
        </w:rPr>
        <w:t>附件</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原有项目例行监测报告</w:t>
      </w:r>
    </w:p>
    <w:p w14:paraId="11547EEF">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附件</w:t>
      </w:r>
      <w:r>
        <w:rPr>
          <w:rFonts w:hint="default" w:ascii="Times New Roman" w:hAnsi="Times New Roman" w:eastAsia="宋体" w:cs="Times New Roman"/>
          <w:color w:val="auto"/>
          <w:szCs w:val="21"/>
          <w:highlight w:val="none"/>
          <w:lang w:val="en-US" w:eastAsia="zh-CN"/>
        </w:rPr>
        <w:t>7</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lang w:val="en-US" w:eastAsia="zh-CN"/>
        </w:rPr>
        <w:t xml:space="preserve"> 危险废物处置合同</w:t>
      </w:r>
      <w:r>
        <w:rPr>
          <w:rFonts w:hint="default" w:ascii="Times New Roman" w:hAnsi="Times New Roman" w:eastAsia="宋体" w:cs="Times New Roman"/>
          <w:color w:val="auto"/>
          <w:szCs w:val="21"/>
          <w:highlight w:val="none"/>
        </w:rPr>
        <w:t>；</w:t>
      </w:r>
    </w:p>
    <w:p w14:paraId="65818594">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附件8  污水委托处理合同；</w:t>
      </w:r>
    </w:p>
    <w:p w14:paraId="71D2187F">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w:t>
      </w:r>
      <w:r>
        <w:rPr>
          <w:rFonts w:hint="eastAsia" w:ascii="Times New Roman" w:hAnsi="Times New Roman" w:cs="Times New Roman"/>
          <w:color w:val="auto"/>
          <w:lang w:val="en-US" w:eastAsia="zh-CN"/>
        </w:rPr>
        <w:t>9</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val="zh-CN"/>
        </w:rPr>
        <w:t>环境质量现状监测报告；</w:t>
      </w:r>
    </w:p>
    <w:p w14:paraId="27AC586C">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w:t>
      </w:r>
      <w:r>
        <w:rPr>
          <w:rFonts w:hint="default" w:ascii="Times New Roman" w:hAnsi="Times New Roman" w:cs="Times New Roman"/>
          <w:color w:val="auto"/>
          <w:lang w:val="en-US" w:eastAsia="zh-CN"/>
        </w:rPr>
        <w:t>1</w:t>
      </w:r>
      <w:r>
        <w:rPr>
          <w:rFonts w:hint="eastAsia" w:cs="Times New Roman"/>
          <w:color w:val="auto"/>
          <w:lang w:val="en-US" w:eastAsia="zh-CN"/>
        </w:rPr>
        <w:t>0</w:t>
      </w:r>
      <w:r>
        <w:rPr>
          <w:rFonts w:hint="default" w:ascii="Times New Roman" w:hAnsi="Times New Roman" w:cs="Times New Roman"/>
          <w:color w:val="auto"/>
        </w:rPr>
        <w:t xml:space="preserve"> </w:t>
      </w:r>
      <w:r>
        <w:rPr>
          <w:rFonts w:hint="default" w:ascii="Times New Roman" w:hAnsi="Times New Roman" w:cs="Times New Roman"/>
          <w:color w:val="auto"/>
          <w:lang w:val="zh-CN"/>
        </w:rPr>
        <w:t>工程师现场照片；</w:t>
      </w:r>
    </w:p>
    <w:p w14:paraId="3000DBD4">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lang w:val="zh-CN"/>
        </w:rPr>
      </w:pPr>
      <w:r>
        <w:rPr>
          <w:rFonts w:hint="default" w:ascii="Times New Roman" w:hAnsi="Times New Roman" w:cs="Times New Roman"/>
          <w:color w:val="auto"/>
          <w:lang w:val="zh-CN"/>
        </w:rPr>
        <w:t>附件</w:t>
      </w:r>
      <w:r>
        <w:rPr>
          <w:rFonts w:hint="default" w:ascii="Times New Roman" w:hAnsi="Times New Roman" w:cs="Times New Roman"/>
          <w:color w:val="auto"/>
          <w:lang w:val="en-US" w:eastAsia="zh-CN"/>
        </w:rPr>
        <w:t>1</w:t>
      </w:r>
      <w:r>
        <w:rPr>
          <w:rFonts w:hint="eastAsia" w:cs="Times New Roman"/>
          <w:color w:val="auto"/>
          <w:lang w:val="en-US" w:eastAsia="zh-CN"/>
        </w:rPr>
        <w:t>1</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环境影响报告全本信息公开证明材料</w:t>
      </w:r>
      <w:r>
        <w:rPr>
          <w:rFonts w:hint="default" w:ascii="Times New Roman" w:hAnsi="Times New Roman" w:cs="Times New Roman"/>
          <w:color w:val="auto"/>
          <w:lang w:val="zh-CN"/>
        </w:rPr>
        <w:t>；</w:t>
      </w:r>
    </w:p>
    <w:p w14:paraId="58ECB7E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附件1</w:t>
      </w:r>
      <w:r>
        <w:rPr>
          <w:rFonts w:hint="eastAsia" w:cs="Times New Roman"/>
          <w:color w:val="auto"/>
          <w:szCs w:val="21"/>
          <w:lang w:val="en-US" w:eastAsia="zh-CN"/>
        </w:rPr>
        <w:t>2</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en-US" w:eastAsia="zh-CN"/>
        </w:rPr>
        <w:t>关于金坛经济开发区发展规划环境影响评价审查意见（苏环审[2015]52号）</w:t>
      </w:r>
      <w:r>
        <w:rPr>
          <w:rFonts w:hint="default" w:ascii="Times New Roman" w:hAnsi="Times New Roman" w:cs="Times New Roman"/>
          <w:color w:val="auto"/>
          <w:szCs w:val="21"/>
        </w:rPr>
        <w:t>；</w:t>
      </w:r>
    </w:p>
    <w:p w14:paraId="2B5C3A6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附件1</w:t>
      </w:r>
      <w:r>
        <w:rPr>
          <w:rFonts w:hint="eastAsia" w:cs="Times New Roman"/>
          <w:color w:val="auto"/>
          <w:szCs w:val="21"/>
          <w:lang w:val="en-US" w:eastAsia="zh-CN"/>
        </w:rPr>
        <w:t>3</w:t>
      </w:r>
      <w:r>
        <w:rPr>
          <w:rFonts w:hint="default" w:ascii="Times New Roman" w:hAnsi="Times New Roman" w:cs="Times New Roman"/>
          <w:color w:val="auto"/>
          <w:szCs w:val="21"/>
        </w:rPr>
        <w:t xml:space="preserve"> </w:t>
      </w:r>
      <w:r>
        <w:rPr>
          <w:rFonts w:hint="default" w:ascii="Times New Roman" w:hAnsi="Times New Roman" w:cs="Times New Roman"/>
          <w:color w:val="auto"/>
          <w:szCs w:val="21"/>
          <w:lang w:val="en-US" w:eastAsia="zh-CN"/>
        </w:rPr>
        <w:t>关于</w:t>
      </w:r>
      <w:r>
        <w:rPr>
          <w:rFonts w:hint="eastAsia" w:ascii="Times New Roman" w:hAnsi="Times New Roman" w:cs="Times New Roman"/>
          <w:color w:val="auto"/>
          <w:szCs w:val="21"/>
          <w:lang w:val="en-US" w:eastAsia="zh-CN"/>
        </w:rPr>
        <w:t>对金坛市城市污水处理有限公司金坛市第二污水处理厂扩建工程项目环境影响报告书的审批意见（坛环开审[2014]9号）</w:t>
      </w:r>
      <w:r>
        <w:rPr>
          <w:rFonts w:hint="default" w:ascii="Times New Roman" w:hAnsi="Times New Roman" w:cs="Times New Roman"/>
          <w:color w:val="auto"/>
          <w:szCs w:val="21"/>
          <w:lang w:val="en-US" w:eastAsia="zh-CN"/>
        </w:rPr>
        <w:t>；</w:t>
      </w:r>
    </w:p>
    <w:p w14:paraId="4772E07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附件1</w:t>
      </w: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 xml:space="preserve"> 声明确认单；</w:t>
      </w:r>
    </w:p>
    <w:p w14:paraId="399326B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附件1</w:t>
      </w:r>
      <w:r>
        <w:rPr>
          <w:rFonts w:hint="eastAsia" w:cs="Times New Roman"/>
          <w:color w:val="auto"/>
          <w:szCs w:val="21"/>
          <w:lang w:val="en-US" w:eastAsia="zh-CN"/>
        </w:rPr>
        <w:t>5</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原辅材料msds</w:t>
      </w:r>
      <w:r>
        <w:rPr>
          <w:rFonts w:hint="eastAsia" w:ascii="Times New Roman" w:hAnsi="Times New Roman" w:cs="Times New Roman"/>
          <w:color w:val="auto"/>
          <w:szCs w:val="21"/>
          <w:lang w:val="en-US" w:eastAsia="zh-CN"/>
        </w:rPr>
        <w:t>；</w:t>
      </w:r>
    </w:p>
    <w:p w14:paraId="2E83AC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附件1</w:t>
      </w:r>
      <w:r>
        <w:rPr>
          <w:rFonts w:hint="eastAsia" w:cs="Times New Roman"/>
          <w:color w:val="auto"/>
          <w:szCs w:val="21"/>
          <w:lang w:val="en-US" w:eastAsia="zh-CN"/>
        </w:rPr>
        <w:t>6</w:t>
      </w:r>
      <w:r>
        <w:rPr>
          <w:rFonts w:hint="default" w:cs="Times New Roman"/>
          <w:color w:val="auto"/>
          <w:szCs w:val="21"/>
          <w:lang w:val="en-US" w:eastAsia="zh-CN"/>
        </w:rPr>
        <w:t>废旧设备处置协议</w:t>
      </w:r>
      <w:r>
        <w:rPr>
          <w:rFonts w:hint="eastAsia" w:ascii="Times New Roman" w:hAnsi="Times New Roman" w:cs="Times New Roman"/>
          <w:color w:val="auto"/>
          <w:szCs w:val="21"/>
          <w:lang w:val="en-US" w:eastAsia="zh-CN"/>
        </w:rPr>
        <w:t>；</w:t>
      </w:r>
    </w:p>
    <w:p w14:paraId="0DB9A3C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Times New Roman"/>
          <w:color w:val="auto"/>
          <w:szCs w:val="21"/>
          <w:lang w:val="en-US" w:eastAsia="zh-CN"/>
        </w:rPr>
      </w:pPr>
      <w:r>
        <w:rPr>
          <w:rFonts w:hint="eastAsia" w:cs="Times New Roman"/>
          <w:color w:val="auto"/>
          <w:szCs w:val="21"/>
          <w:lang w:val="en-US" w:eastAsia="zh-CN"/>
        </w:rPr>
        <w:t>附件17 工作时间承诺书、</w:t>
      </w:r>
      <w:r>
        <w:rPr>
          <w:rFonts w:hint="eastAsia" w:ascii="Times New Roman" w:hAnsi="Times New Roman" w:cs="Times New Roman"/>
          <w:color w:val="auto"/>
          <w:szCs w:val="21"/>
          <w:lang w:val="en-US" w:eastAsia="zh-CN"/>
        </w:rPr>
        <w:t>危废暂存承诺书</w:t>
      </w:r>
      <w:r>
        <w:rPr>
          <w:rFonts w:hint="eastAsia" w:cs="Times New Roman"/>
          <w:color w:val="auto"/>
          <w:szCs w:val="21"/>
          <w:lang w:val="en-US" w:eastAsia="zh-CN"/>
        </w:rPr>
        <w:t>；</w:t>
      </w:r>
    </w:p>
    <w:p w14:paraId="23AC8A2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Times New Roman"/>
          <w:color w:val="auto"/>
          <w:szCs w:val="21"/>
          <w:lang w:val="en-US" w:eastAsia="zh-CN"/>
        </w:rPr>
      </w:pPr>
      <w:r>
        <w:rPr>
          <w:rFonts w:hint="default" w:cs="Times New Roman"/>
          <w:color w:val="auto"/>
          <w:szCs w:val="21"/>
          <w:lang w:val="en-US" w:eastAsia="zh-CN"/>
        </w:rPr>
        <w:t>附件1</w:t>
      </w:r>
      <w:r>
        <w:rPr>
          <w:rFonts w:hint="eastAsia" w:cs="Times New Roman"/>
          <w:color w:val="auto"/>
          <w:szCs w:val="21"/>
          <w:lang w:val="en-US" w:eastAsia="zh-CN"/>
        </w:rPr>
        <w:t>8</w:t>
      </w:r>
      <w:r>
        <w:rPr>
          <w:rFonts w:hint="default"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建设单位环评单位承诺</w:t>
      </w:r>
      <w:r>
        <w:rPr>
          <w:rFonts w:hint="eastAsia" w:cs="Times New Roman"/>
          <w:color w:val="auto"/>
          <w:szCs w:val="21"/>
          <w:lang w:val="en-US" w:eastAsia="zh-CN"/>
        </w:rPr>
        <w:t>；</w:t>
      </w:r>
    </w:p>
    <w:p w14:paraId="2E6DC3A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Times New Roman"/>
          <w:color w:val="auto"/>
          <w:szCs w:val="21"/>
          <w:lang w:val="en-US" w:eastAsia="zh-CN"/>
        </w:rPr>
      </w:pPr>
      <w:r>
        <w:rPr>
          <w:rFonts w:hint="eastAsia" w:cs="Times New Roman"/>
          <w:color w:val="auto"/>
          <w:szCs w:val="21"/>
          <w:lang w:val="en-US" w:eastAsia="zh-CN"/>
        </w:rPr>
        <w:t>附件19 专家意见；</w:t>
      </w:r>
    </w:p>
    <w:p w14:paraId="539C517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szCs w:val="21"/>
          <w:lang w:val="zh-CN" w:eastAsia="zh-CN"/>
        </w:rPr>
      </w:pPr>
      <w:r>
        <w:rPr>
          <w:rFonts w:hint="eastAsia" w:cs="Times New Roman"/>
          <w:color w:val="auto"/>
          <w:szCs w:val="21"/>
          <w:lang w:val="en-US" w:eastAsia="zh-CN"/>
        </w:rPr>
        <w:t>附件20 修改清单</w:t>
      </w:r>
      <w:r>
        <w:rPr>
          <w:rFonts w:hint="eastAsia" w:cs="Times New Roman"/>
          <w:color w:val="auto"/>
          <w:szCs w:val="21"/>
          <w:lang w:val="zh-CN" w:eastAsia="zh-CN"/>
        </w:rPr>
        <w:t>；</w:t>
      </w:r>
    </w:p>
    <w:p w14:paraId="3EEB916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附件21 安全预评价专家组意见及设计变更单。</w:t>
      </w:r>
    </w:p>
    <w:p w14:paraId="73C37E7B">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zh-CN"/>
        </w:rPr>
        <w:t>附图：</w:t>
      </w:r>
    </w:p>
    <w:p w14:paraId="04E6B5F7">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lang w:val="zh-CN"/>
        </w:rPr>
        <w:t>附图</w:t>
      </w:r>
      <w:r>
        <w:rPr>
          <w:rFonts w:hint="default" w:ascii="Times New Roman" w:hAnsi="Times New Roman" w:cs="Times New Roman"/>
          <w:color w:val="auto"/>
        </w:rPr>
        <w:t>1 项目地理位置图；</w:t>
      </w:r>
    </w:p>
    <w:p w14:paraId="62E1581E">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 xml:space="preserve">附图2 </w:t>
      </w:r>
      <w:r>
        <w:rPr>
          <w:rFonts w:hint="eastAsia" w:ascii="Times New Roman" w:hAnsi="Times New Roman" w:cs="Times New Roman"/>
          <w:color w:val="auto"/>
          <w:lang w:val="en-US" w:eastAsia="zh-CN"/>
        </w:rPr>
        <w:t>项目周边环境状况</w:t>
      </w:r>
      <w:r>
        <w:rPr>
          <w:rFonts w:hint="default" w:ascii="Times New Roman" w:hAnsi="Times New Roman" w:cs="Times New Roman"/>
          <w:color w:val="auto"/>
        </w:rPr>
        <w:t>图；</w:t>
      </w:r>
    </w:p>
    <w:p w14:paraId="19B06221">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 xml:space="preserve">附图3 </w:t>
      </w:r>
      <w:r>
        <w:rPr>
          <w:rFonts w:hint="default" w:ascii="Times New Roman" w:hAnsi="Times New Roman" w:cs="Times New Roman"/>
          <w:color w:val="auto"/>
          <w:lang w:val="en-US" w:eastAsia="zh-CN"/>
        </w:rPr>
        <w:t>厂区</w:t>
      </w:r>
      <w:r>
        <w:rPr>
          <w:rFonts w:hint="default" w:ascii="Times New Roman" w:hAnsi="Times New Roman" w:cs="Times New Roman"/>
          <w:color w:val="auto"/>
        </w:rPr>
        <w:t>平面布置图</w:t>
      </w:r>
      <w:r>
        <w:rPr>
          <w:rFonts w:hint="default" w:ascii="Times New Roman" w:hAnsi="Times New Roman" w:cs="Times New Roman"/>
          <w:color w:val="auto"/>
          <w:lang w:eastAsia="zh-CN"/>
        </w:rPr>
        <w:t>；</w:t>
      </w:r>
    </w:p>
    <w:p w14:paraId="14C6F7D5">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附图4 车间平面布置图</w:t>
      </w:r>
      <w:r>
        <w:rPr>
          <w:rFonts w:hint="eastAsia" w:ascii="Times New Roman" w:hAnsi="Times New Roman" w:cs="Times New Roman"/>
          <w:color w:val="auto"/>
          <w:lang w:val="en-US" w:eastAsia="zh-CN"/>
        </w:rPr>
        <w:t>及区域防渗示意图</w:t>
      </w:r>
      <w:r>
        <w:rPr>
          <w:rFonts w:hint="default" w:ascii="Times New Roman" w:hAnsi="Times New Roman" w:cs="Times New Roman"/>
          <w:color w:val="auto"/>
        </w:rPr>
        <w:t>；</w:t>
      </w:r>
    </w:p>
    <w:p w14:paraId="6352FC00">
      <w:pPr>
        <w:pStyle w:val="11"/>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360" w:lineRule="exact"/>
        <w:ind w:left="0" w:right="0" w:firstLine="420" w:firstLineChars="2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附图5 常州市生态空间保护区域分布图；</w:t>
      </w:r>
    </w:p>
    <w:p w14:paraId="097F95E9">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附图</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常州市环境管控单元图；</w:t>
      </w:r>
    </w:p>
    <w:p w14:paraId="4952F33B">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lang w:val="zh-CN"/>
        </w:rPr>
        <w:t>附图</w:t>
      </w:r>
      <w:r>
        <w:rPr>
          <w:rFonts w:hint="default" w:ascii="Times New Roman" w:hAnsi="Times New Roman" w:cs="Times New Roman"/>
          <w:color w:val="auto"/>
          <w:lang w:val="en-US" w:eastAsia="zh-CN"/>
        </w:rPr>
        <w:t>7</w:t>
      </w:r>
      <w:r>
        <w:rPr>
          <w:rFonts w:hint="default" w:ascii="Times New Roman" w:hAnsi="Times New Roman" w:cs="Times New Roman"/>
          <w:color w:val="auto"/>
          <w:lang w:val="zh-CN"/>
        </w:rPr>
        <w:t xml:space="preserve"> </w:t>
      </w:r>
      <w:r>
        <w:rPr>
          <w:rFonts w:hint="default" w:ascii="Times New Roman" w:hAnsi="Times New Roman" w:cs="Times New Roman"/>
          <w:color w:val="auto"/>
          <w:kern w:val="0"/>
          <w:szCs w:val="21"/>
          <w:highlight w:val="none"/>
        </w:rPr>
        <w:t>常州市“三区三线”划定成果协调分析图</w:t>
      </w:r>
      <w:r>
        <w:rPr>
          <w:rFonts w:hint="default" w:ascii="Times New Roman" w:hAnsi="Times New Roman" w:cs="Times New Roman"/>
          <w:color w:val="auto"/>
        </w:rPr>
        <w:t>；</w:t>
      </w:r>
    </w:p>
    <w:p w14:paraId="0EE6A4ED">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 xml:space="preserve">附图8 </w:t>
      </w:r>
      <w:r>
        <w:rPr>
          <w:rFonts w:hint="default" w:ascii="Times New Roman" w:hAnsi="Times New Roman" w:cs="Times New Roman"/>
          <w:color w:val="auto"/>
          <w:lang w:val="en-US" w:eastAsia="zh-CN"/>
        </w:rPr>
        <w:t>金坛经济开发区土地利用</w:t>
      </w:r>
      <w:r>
        <w:rPr>
          <w:rFonts w:hint="default" w:ascii="Times New Roman" w:hAnsi="Times New Roman" w:cs="Times New Roman"/>
          <w:color w:val="auto"/>
        </w:rPr>
        <w:t>规划图；</w:t>
      </w:r>
    </w:p>
    <w:p w14:paraId="776DC55D">
      <w:pPr>
        <w:keepNext w:val="0"/>
        <w:keepLines w:val="0"/>
        <w:pageBreakBefore w:val="0"/>
        <w:widowControl w:val="0"/>
        <w:tabs>
          <w:tab w:val="left" w:pos="2040"/>
        </w:tabs>
        <w:kinsoku/>
        <w:wordWrap/>
        <w:overflowPunct/>
        <w:topLinePunct w:val="0"/>
        <w:autoSpaceDE/>
        <w:autoSpaceDN/>
        <w:bidi w:val="0"/>
        <w:adjustRightInd/>
        <w:snapToGrid/>
        <w:spacing w:line="360" w:lineRule="exact"/>
        <w:ind w:firstLine="420" w:firstLineChars="20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附图9 项目所在区域水系图</w:t>
      </w:r>
      <w:r>
        <w:rPr>
          <w:rFonts w:hint="eastAsia" w:cs="Times New Roman"/>
          <w:color w:val="auto"/>
          <w:lang w:eastAsia="zh-CN"/>
        </w:rPr>
        <w:t>。</w:t>
      </w:r>
    </w:p>
    <w:p w14:paraId="2755252F">
      <w:pPr>
        <w:rPr>
          <w:color w:val="auto"/>
        </w:rPr>
      </w:pPr>
    </w:p>
    <w:p w14:paraId="1E8B9E23">
      <w:pPr>
        <w:pStyle w:val="7"/>
        <w:rPr>
          <w:rFonts w:ascii="Times New Roman" w:hAnsi="Times New Roman" w:eastAsia="宋体" w:cs="宋体"/>
          <w:snapToGrid w:val="0"/>
          <w:color w:val="auto"/>
          <w:sz w:val="30"/>
          <w:szCs w:val="30"/>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7B5CBD7">
      <w:pPr>
        <w:pStyle w:val="19"/>
        <w:widowControl w:val="0"/>
        <w:jc w:val="center"/>
        <w:outlineLvl w:val="0"/>
        <w:rPr>
          <w:rFonts w:ascii="Times New Roman" w:hAnsi="Times New Roman" w:eastAsia="宋体" w:cs="宋体"/>
          <w:snapToGrid w:val="0"/>
          <w:color w:val="auto"/>
          <w:sz w:val="30"/>
          <w:szCs w:val="30"/>
          <w:highlight w:val="none"/>
        </w:rPr>
      </w:pPr>
      <w:bookmarkStart w:id="0" w:name="_Toc20852"/>
      <w:r>
        <w:rPr>
          <w:rFonts w:hint="eastAsia" w:ascii="Times New Roman" w:hAnsi="Times New Roman" w:eastAsia="宋体" w:cs="宋体"/>
          <w:snapToGrid w:val="0"/>
          <w:color w:val="auto"/>
          <w:sz w:val="30"/>
          <w:szCs w:val="30"/>
          <w:highlight w:val="none"/>
        </w:rPr>
        <w:t>一、建设项目基本情况</w:t>
      </w:r>
      <w:bookmarkEnd w:id="0"/>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4"/>
        <w:gridCol w:w="1254"/>
        <w:gridCol w:w="2034"/>
        <w:gridCol w:w="27"/>
        <w:gridCol w:w="2098"/>
        <w:gridCol w:w="2753"/>
      </w:tblGrid>
      <w:tr w14:paraId="3DCEA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74B14E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建设项目名称</w:t>
            </w:r>
          </w:p>
        </w:tc>
        <w:tc>
          <w:tcPr>
            <w:tcW w:w="6912" w:type="dxa"/>
            <w:gridSpan w:val="4"/>
            <w:vAlign w:val="center"/>
          </w:tcPr>
          <w:p w14:paraId="0EAB1E8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新能源高效铝压铸件生产线智能化提升项目</w:t>
            </w:r>
          </w:p>
        </w:tc>
      </w:tr>
      <w:tr w14:paraId="54BF2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5A224E8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项目代码</w:t>
            </w:r>
          </w:p>
        </w:tc>
        <w:tc>
          <w:tcPr>
            <w:tcW w:w="6912" w:type="dxa"/>
            <w:gridSpan w:val="4"/>
            <w:vAlign w:val="center"/>
          </w:tcPr>
          <w:p w14:paraId="3E6E74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240</w:t>
            </w:r>
            <w:r>
              <w:rPr>
                <w:rFonts w:hint="eastAsia" w:cs="宋体"/>
                <w:color w:val="auto"/>
                <w:szCs w:val="21"/>
                <w:highlight w:val="none"/>
                <w:lang w:val="en-US" w:eastAsia="zh-CN"/>
              </w:rPr>
              <w:t>6</w:t>
            </w:r>
            <w:r>
              <w:rPr>
                <w:rFonts w:hint="eastAsia" w:ascii="Times New Roman" w:hAnsi="Times New Roman" w:eastAsia="宋体" w:cs="宋体"/>
                <w:color w:val="auto"/>
                <w:szCs w:val="21"/>
                <w:highlight w:val="none"/>
                <w:lang w:val="en-US" w:eastAsia="zh-CN"/>
              </w:rPr>
              <w:t>-3204</w:t>
            </w:r>
            <w:r>
              <w:rPr>
                <w:rFonts w:hint="eastAsia" w:cs="宋体"/>
                <w:color w:val="auto"/>
                <w:szCs w:val="21"/>
                <w:highlight w:val="none"/>
                <w:lang w:val="en-US" w:eastAsia="zh-CN"/>
              </w:rPr>
              <w:t>58</w:t>
            </w:r>
            <w:r>
              <w:rPr>
                <w:rFonts w:hint="eastAsia" w:ascii="Times New Roman" w:hAnsi="Times New Roman" w:eastAsia="宋体" w:cs="宋体"/>
                <w:color w:val="auto"/>
                <w:szCs w:val="21"/>
                <w:highlight w:val="none"/>
                <w:lang w:val="en-US" w:eastAsia="zh-CN"/>
              </w:rPr>
              <w:t>-89-0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623480</w:t>
            </w:r>
          </w:p>
        </w:tc>
      </w:tr>
      <w:tr w14:paraId="56781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440673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建设单位联系人</w:t>
            </w:r>
          </w:p>
        </w:tc>
        <w:tc>
          <w:tcPr>
            <w:tcW w:w="2061" w:type="dxa"/>
            <w:gridSpan w:val="2"/>
            <w:vAlign w:val="center"/>
          </w:tcPr>
          <w:p w14:paraId="59A00AD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rPr>
              <w:t>李</w:t>
            </w:r>
            <w:r>
              <w:rPr>
                <w:rFonts w:hint="eastAsia" w:cs="宋体"/>
                <w:color w:val="auto"/>
                <w:szCs w:val="21"/>
                <w:highlight w:val="none"/>
                <w:lang w:val="en-US" w:eastAsia="zh-CN"/>
              </w:rPr>
              <w:t>*</w:t>
            </w:r>
          </w:p>
        </w:tc>
        <w:tc>
          <w:tcPr>
            <w:tcW w:w="2098" w:type="dxa"/>
            <w:vAlign w:val="center"/>
          </w:tcPr>
          <w:p w14:paraId="39D18B0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联系方式</w:t>
            </w:r>
          </w:p>
        </w:tc>
        <w:tc>
          <w:tcPr>
            <w:tcW w:w="2753" w:type="dxa"/>
            <w:vAlign w:val="center"/>
          </w:tcPr>
          <w:p w14:paraId="76116AD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185</w:t>
            </w:r>
            <w:r>
              <w:rPr>
                <w:rFonts w:hint="eastAsia" w:cs="宋体"/>
                <w:color w:val="auto"/>
                <w:szCs w:val="21"/>
                <w:highlight w:val="none"/>
                <w:lang w:val="en-US" w:eastAsia="zh-CN"/>
              </w:rPr>
              <w:t>****</w:t>
            </w:r>
            <w:r>
              <w:rPr>
                <w:rFonts w:hint="eastAsia" w:ascii="Times New Roman" w:hAnsi="Times New Roman" w:eastAsia="宋体" w:cs="宋体"/>
                <w:color w:val="auto"/>
                <w:szCs w:val="21"/>
                <w:highlight w:val="none"/>
              </w:rPr>
              <w:t>2333</w:t>
            </w:r>
          </w:p>
        </w:tc>
      </w:tr>
      <w:tr w14:paraId="3CDDC4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2CB35EA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建设地点</w:t>
            </w:r>
          </w:p>
        </w:tc>
        <w:tc>
          <w:tcPr>
            <w:tcW w:w="6912" w:type="dxa"/>
            <w:gridSpan w:val="4"/>
            <w:vAlign w:val="center"/>
          </w:tcPr>
          <w:p w14:paraId="056F7F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宋体"/>
                <w:color w:val="auto"/>
                <w:szCs w:val="21"/>
                <w:highlight w:val="none"/>
                <w:lang w:eastAsia="zh-CN"/>
              </w:rPr>
            </w:pPr>
            <w:r>
              <w:rPr>
                <w:rFonts w:hint="default" w:ascii="Times New Roman" w:hAnsi="Times New Roman" w:eastAsia="宋体" w:cs="Times New Roman"/>
                <w:color w:val="auto"/>
                <w:sz w:val="21"/>
                <w:szCs w:val="21"/>
                <w:u w:val="single"/>
              </w:rPr>
              <w:t>江苏省</w:t>
            </w:r>
            <w:r>
              <w:rPr>
                <w:rFonts w:hint="default" w:ascii="Times New Roman" w:hAnsi="Times New Roman" w:eastAsia="宋体" w:cs="Times New Roman"/>
                <w:color w:val="auto"/>
                <w:sz w:val="21"/>
                <w:szCs w:val="21"/>
              </w:rPr>
              <w:t>（自治区）</w:t>
            </w:r>
            <w:r>
              <w:rPr>
                <w:rFonts w:hint="default" w:ascii="Times New Roman" w:hAnsi="Times New Roman" w:cs="Times New Roman"/>
                <w:color w:val="auto"/>
                <w:sz w:val="21"/>
                <w:szCs w:val="21"/>
                <w:u w:val="single"/>
                <w:lang w:val="en-US" w:eastAsia="zh-CN"/>
              </w:rPr>
              <w:t>常州</w:t>
            </w:r>
            <w:r>
              <w:rPr>
                <w:rFonts w:hint="eastAsia" w:cs="Times New Roman"/>
                <w:color w:val="auto"/>
                <w:sz w:val="21"/>
                <w:szCs w:val="21"/>
                <w:u w:val="none"/>
                <w:lang w:val="en-US" w:eastAsia="zh-CN"/>
              </w:rPr>
              <w:t>（市）</w:t>
            </w:r>
            <w:r>
              <w:rPr>
                <w:rFonts w:hint="eastAsia" w:cs="Times New Roman"/>
                <w:color w:val="auto"/>
                <w:sz w:val="21"/>
                <w:szCs w:val="21"/>
                <w:u w:val="single"/>
                <w:lang w:val="en-US" w:eastAsia="zh-CN"/>
              </w:rPr>
              <w:t>金坛</w:t>
            </w:r>
            <w:r>
              <w:rPr>
                <w:rFonts w:hint="default" w:ascii="Times New Roman" w:hAnsi="Times New Roman" w:eastAsia="宋体" w:cs="Times New Roman"/>
                <w:color w:val="auto"/>
                <w:sz w:val="21"/>
                <w:szCs w:val="21"/>
                <w:u w:val="none"/>
                <w:lang w:val="en-US" w:eastAsia="zh-CN"/>
              </w:rPr>
              <w:t>（区） / 乡（街道）</w:t>
            </w:r>
            <w:r>
              <w:rPr>
                <w:rFonts w:hint="default" w:ascii="Times New Roman" w:hAnsi="Times New Roman" w:eastAsia="宋体" w:cs="Times New Roman"/>
                <w:color w:val="auto"/>
                <w:sz w:val="21"/>
                <w:szCs w:val="21"/>
                <w:u w:val="single"/>
                <w:lang w:val="en-US" w:eastAsia="zh-CN"/>
              </w:rPr>
              <w:t>河山环路26号</w:t>
            </w:r>
          </w:p>
        </w:tc>
      </w:tr>
      <w:tr w14:paraId="6A901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1FAB75D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地理坐标</w:t>
            </w:r>
          </w:p>
        </w:tc>
        <w:tc>
          <w:tcPr>
            <w:tcW w:w="6912" w:type="dxa"/>
            <w:gridSpan w:val="4"/>
            <w:vAlign w:val="center"/>
          </w:tcPr>
          <w:p w14:paraId="53CC15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东经</w:t>
            </w:r>
            <w:r>
              <w:rPr>
                <w:rFonts w:hint="eastAsia" w:ascii="Times New Roman" w:hAnsi="Times New Roman" w:eastAsia="宋体" w:cs="宋体"/>
                <w:color w:val="auto"/>
                <w:szCs w:val="21"/>
                <w:highlight w:val="none"/>
                <w:u w:val="single"/>
              </w:rPr>
              <w:t>1</w:t>
            </w:r>
            <w:r>
              <w:rPr>
                <w:rFonts w:hint="eastAsia" w:ascii="Times New Roman" w:hAnsi="Times New Roman" w:eastAsia="宋体" w:cs="宋体"/>
                <w:color w:val="auto"/>
                <w:szCs w:val="21"/>
                <w:highlight w:val="none"/>
                <w:u w:val="single"/>
                <w:lang w:val="en-US" w:eastAsia="zh-CN"/>
              </w:rPr>
              <w:t>19</w:t>
            </w:r>
            <w:r>
              <w:rPr>
                <w:rFonts w:ascii="Times New Roman" w:hAnsi="Times New Roman" w:eastAsia="宋体" w:cs="宋体"/>
                <w:color w:val="auto"/>
                <w:szCs w:val="21"/>
                <w:highlight w:val="none"/>
              </w:rPr>
              <w:t>度</w:t>
            </w:r>
            <w:r>
              <w:rPr>
                <w:rFonts w:hint="eastAsia" w:cs="宋体"/>
                <w:color w:val="auto"/>
                <w:szCs w:val="21"/>
                <w:highlight w:val="none"/>
                <w:u w:val="single"/>
                <w:lang w:val="en-US" w:eastAsia="zh-CN"/>
              </w:rPr>
              <w:t>39</w:t>
            </w:r>
            <w:r>
              <w:rPr>
                <w:rFonts w:ascii="Times New Roman" w:hAnsi="Times New Roman" w:eastAsia="宋体" w:cs="宋体"/>
                <w:color w:val="auto"/>
                <w:szCs w:val="21"/>
                <w:highlight w:val="none"/>
              </w:rPr>
              <w:t>分</w:t>
            </w:r>
            <w:r>
              <w:rPr>
                <w:rFonts w:hint="eastAsia" w:cs="宋体"/>
                <w:color w:val="auto"/>
                <w:szCs w:val="21"/>
                <w:highlight w:val="none"/>
                <w:u w:val="single"/>
                <w:lang w:val="en-US" w:eastAsia="zh-CN"/>
              </w:rPr>
              <w:t>51.292</w:t>
            </w:r>
            <w:r>
              <w:rPr>
                <w:rFonts w:ascii="Times New Roman" w:hAnsi="Times New Roman" w:eastAsia="宋体" w:cs="宋体"/>
                <w:color w:val="auto"/>
                <w:szCs w:val="21"/>
                <w:highlight w:val="none"/>
              </w:rPr>
              <w:t>秒，</w:t>
            </w:r>
            <w:r>
              <w:rPr>
                <w:rFonts w:hint="eastAsia" w:ascii="Times New Roman" w:hAnsi="Times New Roman" w:eastAsia="宋体" w:cs="宋体"/>
                <w:color w:val="auto"/>
                <w:szCs w:val="21"/>
                <w:highlight w:val="none"/>
              </w:rPr>
              <w:t>北纬</w:t>
            </w:r>
            <w:r>
              <w:rPr>
                <w:rFonts w:hint="eastAsia" w:ascii="Times New Roman" w:hAnsi="Times New Roman" w:eastAsia="宋体" w:cs="宋体"/>
                <w:color w:val="auto"/>
                <w:szCs w:val="21"/>
                <w:highlight w:val="none"/>
                <w:u w:val="single"/>
              </w:rPr>
              <w:t>31</w:t>
            </w:r>
            <w:r>
              <w:rPr>
                <w:rFonts w:ascii="Times New Roman" w:hAnsi="Times New Roman" w:eastAsia="宋体" w:cs="宋体"/>
                <w:color w:val="auto"/>
                <w:szCs w:val="21"/>
                <w:highlight w:val="none"/>
              </w:rPr>
              <w:t>度</w:t>
            </w:r>
            <w:r>
              <w:rPr>
                <w:rFonts w:hint="eastAsia" w:cs="宋体"/>
                <w:color w:val="auto"/>
                <w:szCs w:val="21"/>
                <w:highlight w:val="none"/>
                <w:u w:val="single"/>
                <w:lang w:val="en-US" w:eastAsia="zh-CN"/>
              </w:rPr>
              <w:t>45</w:t>
            </w:r>
            <w:r>
              <w:rPr>
                <w:rFonts w:ascii="Times New Roman" w:hAnsi="Times New Roman" w:eastAsia="宋体" w:cs="宋体"/>
                <w:color w:val="auto"/>
                <w:szCs w:val="21"/>
                <w:highlight w:val="none"/>
              </w:rPr>
              <w:t>分</w:t>
            </w:r>
            <w:r>
              <w:rPr>
                <w:rFonts w:hint="eastAsia" w:cs="宋体"/>
                <w:color w:val="auto"/>
                <w:szCs w:val="21"/>
                <w:highlight w:val="none"/>
                <w:u w:val="single"/>
                <w:lang w:val="en-US" w:eastAsia="zh-CN"/>
              </w:rPr>
              <w:t>34.446</w:t>
            </w:r>
            <w:r>
              <w:rPr>
                <w:rFonts w:ascii="Times New Roman" w:hAnsi="Times New Roman" w:eastAsia="宋体" w:cs="宋体"/>
                <w:color w:val="auto"/>
                <w:szCs w:val="21"/>
                <w:highlight w:val="none"/>
              </w:rPr>
              <w:t>秒）</w:t>
            </w:r>
          </w:p>
        </w:tc>
      </w:tr>
      <w:tr w14:paraId="2FEAE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635AA4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国民经济行业类别</w:t>
            </w:r>
          </w:p>
        </w:tc>
        <w:tc>
          <w:tcPr>
            <w:tcW w:w="2061" w:type="dxa"/>
            <w:gridSpan w:val="2"/>
            <w:vAlign w:val="center"/>
          </w:tcPr>
          <w:p w14:paraId="62AF81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C3392有色金属铸造</w:t>
            </w:r>
          </w:p>
        </w:tc>
        <w:tc>
          <w:tcPr>
            <w:tcW w:w="2098" w:type="dxa"/>
            <w:vAlign w:val="center"/>
          </w:tcPr>
          <w:p w14:paraId="20B2B2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bookmarkStart w:id="1" w:name="_Hlk49843745"/>
            <w:r>
              <w:rPr>
                <w:rFonts w:hint="eastAsia" w:ascii="Times New Roman" w:hAnsi="Times New Roman" w:eastAsia="宋体" w:cs="宋体"/>
                <w:color w:val="auto"/>
                <w:szCs w:val="21"/>
                <w:highlight w:val="none"/>
              </w:rPr>
              <w:t>建设项目行业类别</w:t>
            </w:r>
            <w:bookmarkEnd w:id="1"/>
          </w:p>
        </w:tc>
        <w:tc>
          <w:tcPr>
            <w:tcW w:w="2753" w:type="dxa"/>
            <w:vAlign w:val="center"/>
          </w:tcPr>
          <w:p w14:paraId="420AD936">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三十</w:t>
            </w:r>
            <w:r>
              <w:rPr>
                <w:rFonts w:hint="eastAsia" w:ascii="Times New Roman" w:hAnsi="Times New Roman" w:eastAsia="宋体" w:cs="宋体"/>
                <w:color w:val="auto"/>
                <w:szCs w:val="21"/>
                <w:highlight w:val="none"/>
                <w:lang w:val="en-US" w:eastAsia="zh-CN"/>
              </w:rPr>
              <w:t>五</w:t>
            </w:r>
            <w:r>
              <w:rPr>
                <w:rFonts w:ascii="Times New Roman" w:hAnsi="Times New Roman" w:eastAsia="宋体" w:cs="宋体"/>
                <w:color w:val="auto"/>
                <w:szCs w:val="21"/>
                <w:highlight w:val="none"/>
              </w:rPr>
              <w:t>、</w:t>
            </w:r>
            <w:r>
              <w:rPr>
                <w:rFonts w:hint="eastAsia" w:cs="宋体"/>
                <w:color w:val="auto"/>
                <w:szCs w:val="21"/>
                <w:highlight w:val="none"/>
                <w:lang w:val="en-US" w:eastAsia="zh-CN"/>
              </w:rPr>
              <w:t>金属制品</w:t>
            </w:r>
            <w:r>
              <w:rPr>
                <w:rFonts w:hint="eastAsia" w:ascii="Times New Roman" w:hAnsi="Times New Roman" w:eastAsia="宋体" w:cs="宋体"/>
                <w:color w:val="auto"/>
                <w:szCs w:val="21"/>
                <w:highlight w:val="none"/>
                <w:lang w:val="en-US" w:eastAsia="zh-CN"/>
              </w:rPr>
              <w:t>业</w:t>
            </w:r>
            <w:r>
              <w:rPr>
                <w:rFonts w:hint="eastAsia" w:cs="宋体"/>
                <w:color w:val="auto"/>
                <w:szCs w:val="21"/>
                <w:highlight w:val="none"/>
                <w:lang w:val="en-US" w:eastAsia="zh-CN"/>
              </w:rPr>
              <w:t>68.铸造及其他金属制品制造339</w:t>
            </w:r>
            <w:r>
              <w:rPr>
                <w:rFonts w:hint="eastAsia" w:ascii="Times New Roman" w:hAnsi="Times New Roman" w:eastAsia="宋体" w:cs="宋体"/>
                <w:color w:val="auto"/>
                <w:szCs w:val="21"/>
                <w:highlight w:val="none"/>
              </w:rPr>
              <w:t>“其他</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仅分割、焊接、组装的除外</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w:t>
            </w:r>
          </w:p>
        </w:tc>
      </w:tr>
      <w:tr w14:paraId="1810D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640D1F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建设性质</w:t>
            </w:r>
          </w:p>
        </w:tc>
        <w:tc>
          <w:tcPr>
            <w:tcW w:w="2061" w:type="dxa"/>
            <w:gridSpan w:val="2"/>
            <w:vAlign w:val="center"/>
          </w:tcPr>
          <w:p w14:paraId="1B78D70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cs="宋体"/>
                <w:color w:val="auto"/>
                <w:szCs w:val="21"/>
                <w:highlight w:val="none"/>
                <w:lang w:eastAsia="zh-CN"/>
              </w:rPr>
              <w:t>□</w:t>
            </w:r>
            <w:r>
              <w:rPr>
                <w:rFonts w:hint="eastAsia" w:ascii="Times New Roman" w:hAnsi="Times New Roman" w:eastAsia="宋体" w:cs="宋体"/>
                <w:color w:val="auto"/>
                <w:szCs w:val="21"/>
                <w:highlight w:val="none"/>
              </w:rPr>
              <w:t>新建（迁建）</w:t>
            </w:r>
          </w:p>
          <w:p w14:paraId="10A6DBA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rPr>
              <w:t>改建</w:t>
            </w:r>
          </w:p>
          <w:p w14:paraId="29BCD81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□扩建</w:t>
            </w:r>
          </w:p>
          <w:p w14:paraId="59BEEF4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cs="宋体"/>
                <w:color w:val="auto"/>
                <w:szCs w:val="21"/>
                <w:highlight w:val="none"/>
                <w:lang w:eastAsia="zh-CN"/>
              </w:rPr>
              <w:t>☑</w:t>
            </w:r>
            <w:r>
              <w:rPr>
                <w:rFonts w:hint="eastAsia" w:ascii="Times New Roman" w:hAnsi="Times New Roman" w:eastAsia="宋体" w:cs="宋体"/>
                <w:color w:val="auto"/>
                <w:szCs w:val="21"/>
                <w:highlight w:val="none"/>
              </w:rPr>
              <w:t>技术改造</w:t>
            </w:r>
          </w:p>
        </w:tc>
        <w:tc>
          <w:tcPr>
            <w:tcW w:w="2098" w:type="dxa"/>
            <w:vAlign w:val="center"/>
          </w:tcPr>
          <w:p w14:paraId="0F8709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建设项目申报情形</w:t>
            </w:r>
          </w:p>
        </w:tc>
        <w:tc>
          <w:tcPr>
            <w:tcW w:w="2753" w:type="dxa"/>
            <w:vAlign w:val="center"/>
          </w:tcPr>
          <w:p w14:paraId="73E94EB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☑首次申报项目</w:t>
            </w:r>
          </w:p>
          <w:p w14:paraId="3458A3F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□不予批准后再次申报项目</w:t>
            </w:r>
          </w:p>
          <w:p w14:paraId="2DD71274">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□超五年重新审核项目</w:t>
            </w:r>
          </w:p>
          <w:p w14:paraId="2E1865FB">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□重大变动重新报批项目</w:t>
            </w:r>
          </w:p>
        </w:tc>
      </w:tr>
      <w:tr w14:paraId="57052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2A003E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项目审批</w:t>
            </w:r>
          </w:p>
          <w:p w14:paraId="678F59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（核准</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备案）部门</w:t>
            </w:r>
          </w:p>
        </w:tc>
        <w:tc>
          <w:tcPr>
            <w:tcW w:w="2061" w:type="dxa"/>
            <w:gridSpan w:val="2"/>
            <w:vAlign w:val="center"/>
          </w:tcPr>
          <w:p w14:paraId="745CCD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江苏金坛经济开发区经济发展局</w:t>
            </w:r>
          </w:p>
        </w:tc>
        <w:tc>
          <w:tcPr>
            <w:tcW w:w="2098" w:type="dxa"/>
            <w:vAlign w:val="center"/>
          </w:tcPr>
          <w:p w14:paraId="6820A10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项目审批</w:t>
            </w:r>
          </w:p>
          <w:p w14:paraId="0D4AE34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（核准</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备案）文号</w:t>
            </w:r>
          </w:p>
        </w:tc>
        <w:tc>
          <w:tcPr>
            <w:tcW w:w="2753" w:type="dxa"/>
            <w:vAlign w:val="center"/>
          </w:tcPr>
          <w:p w14:paraId="15AD71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坛开经发</w:t>
            </w:r>
            <w:r>
              <w:rPr>
                <w:rFonts w:hint="eastAsia" w:ascii="Times New Roman" w:hAnsi="Times New Roman" w:eastAsia="宋体" w:cs="宋体"/>
                <w:color w:val="auto"/>
                <w:szCs w:val="21"/>
                <w:highlight w:val="none"/>
              </w:rPr>
              <w:t>备</w:t>
            </w:r>
            <w:r>
              <w:rPr>
                <w:rFonts w:hint="eastAsia" w:cs="宋体"/>
                <w:color w:val="auto"/>
                <w:szCs w:val="21"/>
                <w:highlight w:val="none"/>
                <w:lang w:val="en-US" w:eastAsia="zh-CN"/>
              </w:rPr>
              <w:t>字</w:t>
            </w:r>
            <w:r>
              <w:rPr>
                <w:rFonts w:hint="eastAsia" w:ascii="Times New Roman" w:hAnsi="Times New Roman" w:eastAsia="宋体" w:cs="宋体"/>
                <w:color w:val="auto"/>
                <w:szCs w:val="21"/>
                <w:highlight w:val="none"/>
              </w:rPr>
              <w:t>〔2024〕</w:t>
            </w:r>
            <w:r>
              <w:rPr>
                <w:rFonts w:hint="eastAsia" w:cs="宋体"/>
                <w:color w:val="auto"/>
                <w:szCs w:val="21"/>
                <w:highlight w:val="none"/>
                <w:lang w:val="en-US" w:eastAsia="zh-CN"/>
              </w:rPr>
              <w:t>135</w:t>
            </w:r>
            <w:r>
              <w:rPr>
                <w:rFonts w:hint="eastAsia" w:ascii="Times New Roman" w:hAnsi="Times New Roman" w:eastAsia="宋体" w:cs="宋体"/>
                <w:color w:val="auto"/>
                <w:szCs w:val="21"/>
                <w:highlight w:val="none"/>
              </w:rPr>
              <w:t>号</w:t>
            </w:r>
          </w:p>
        </w:tc>
      </w:tr>
      <w:tr w14:paraId="3998D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015DD1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总投资（万元）</w:t>
            </w:r>
          </w:p>
        </w:tc>
        <w:tc>
          <w:tcPr>
            <w:tcW w:w="2061" w:type="dxa"/>
            <w:gridSpan w:val="2"/>
            <w:vAlign w:val="center"/>
          </w:tcPr>
          <w:p w14:paraId="38342A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1500</w:t>
            </w:r>
          </w:p>
        </w:tc>
        <w:tc>
          <w:tcPr>
            <w:tcW w:w="2098" w:type="dxa"/>
            <w:tcMar>
              <w:top w:w="16" w:type="dxa"/>
              <w:left w:w="16" w:type="dxa"/>
              <w:right w:w="16" w:type="dxa"/>
            </w:tcMar>
            <w:vAlign w:val="center"/>
          </w:tcPr>
          <w:p w14:paraId="7ECC161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环保投资（万元）</w:t>
            </w:r>
          </w:p>
        </w:tc>
        <w:tc>
          <w:tcPr>
            <w:tcW w:w="2753" w:type="dxa"/>
            <w:vAlign w:val="center"/>
          </w:tcPr>
          <w:p w14:paraId="32F20E5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50</w:t>
            </w:r>
          </w:p>
        </w:tc>
      </w:tr>
      <w:tr w14:paraId="08D4E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33A20F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环保投资占比（</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w:t>
            </w:r>
          </w:p>
        </w:tc>
        <w:tc>
          <w:tcPr>
            <w:tcW w:w="2061" w:type="dxa"/>
            <w:gridSpan w:val="2"/>
            <w:vAlign w:val="center"/>
          </w:tcPr>
          <w:p w14:paraId="5A5C6C6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3.33</w:t>
            </w:r>
          </w:p>
        </w:tc>
        <w:tc>
          <w:tcPr>
            <w:tcW w:w="2098" w:type="dxa"/>
            <w:tcMar>
              <w:top w:w="16" w:type="dxa"/>
              <w:left w:w="16" w:type="dxa"/>
              <w:right w:w="16" w:type="dxa"/>
            </w:tcMar>
            <w:vAlign w:val="center"/>
          </w:tcPr>
          <w:p w14:paraId="067D7BE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施工工期</w:t>
            </w:r>
          </w:p>
        </w:tc>
        <w:tc>
          <w:tcPr>
            <w:tcW w:w="2753" w:type="dxa"/>
            <w:vAlign w:val="center"/>
          </w:tcPr>
          <w:p w14:paraId="2A86B38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1</w:t>
            </w:r>
            <w:r>
              <w:rPr>
                <w:rFonts w:hint="eastAsia" w:ascii="Times New Roman" w:hAnsi="Times New Roman" w:eastAsia="宋体" w:cs="宋体"/>
                <w:color w:val="auto"/>
                <w:szCs w:val="21"/>
                <w:highlight w:val="none"/>
              </w:rPr>
              <w:t>月</w:t>
            </w:r>
          </w:p>
        </w:tc>
      </w:tr>
      <w:tr w14:paraId="67381D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958" w:type="dxa"/>
            <w:gridSpan w:val="2"/>
            <w:tcMar>
              <w:top w:w="16" w:type="dxa"/>
              <w:left w:w="16" w:type="dxa"/>
              <w:right w:w="16" w:type="dxa"/>
            </w:tcMar>
            <w:vAlign w:val="center"/>
          </w:tcPr>
          <w:p w14:paraId="6CFF41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是否开工建设</w:t>
            </w:r>
          </w:p>
        </w:tc>
        <w:tc>
          <w:tcPr>
            <w:tcW w:w="2061" w:type="dxa"/>
            <w:gridSpan w:val="2"/>
            <w:vAlign w:val="center"/>
          </w:tcPr>
          <w:p w14:paraId="49514DAA">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☑否</w:t>
            </w:r>
          </w:p>
          <w:p w14:paraId="0D953FF7">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□是：</w:t>
            </w:r>
          </w:p>
        </w:tc>
        <w:tc>
          <w:tcPr>
            <w:tcW w:w="2098" w:type="dxa"/>
            <w:tcMar>
              <w:top w:w="16" w:type="dxa"/>
              <w:left w:w="16" w:type="dxa"/>
              <w:right w:w="16" w:type="dxa"/>
            </w:tcMar>
            <w:vAlign w:val="center"/>
          </w:tcPr>
          <w:p w14:paraId="708CAB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pacing w:val="-6"/>
                <w:szCs w:val="21"/>
                <w:highlight w:val="none"/>
              </w:rPr>
              <w:t>用地（用海）面积（</w:t>
            </w:r>
            <w:r>
              <w:rPr>
                <w:rFonts w:ascii="Times New Roman" w:hAnsi="Times New Roman" w:eastAsia="宋体" w:cs="宋体"/>
                <w:color w:val="auto"/>
                <w:spacing w:val="-6"/>
                <w:szCs w:val="21"/>
                <w:highlight w:val="none"/>
              </w:rPr>
              <w:t>m</w:t>
            </w:r>
            <w:r>
              <w:rPr>
                <w:rFonts w:ascii="Times New Roman" w:hAnsi="Times New Roman" w:eastAsia="宋体" w:cs="宋体"/>
                <w:color w:val="auto"/>
                <w:spacing w:val="-6"/>
                <w:szCs w:val="21"/>
                <w:highlight w:val="none"/>
                <w:vertAlign w:val="superscript"/>
              </w:rPr>
              <w:t>2</w:t>
            </w:r>
            <w:r>
              <w:rPr>
                <w:rFonts w:hint="eastAsia" w:ascii="Times New Roman" w:hAnsi="Times New Roman" w:eastAsia="宋体" w:cs="宋体"/>
                <w:color w:val="auto"/>
                <w:spacing w:val="-6"/>
                <w:szCs w:val="21"/>
                <w:highlight w:val="none"/>
              </w:rPr>
              <w:t>）</w:t>
            </w:r>
          </w:p>
        </w:tc>
        <w:tc>
          <w:tcPr>
            <w:tcW w:w="2753" w:type="dxa"/>
            <w:vAlign w:val="center"/>
          </w:tcPr>
          <w:p w14:paraId="33EEE8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12642</w:t>
            </w:r>
          </w:p>
        </w:tc>
      </w:tr>
      <w:tr w14:paraId="0A877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58" w:type="dxa"/>
            <w:gridSpan w:val="2"/>
            <w:vAlign w:val="center"/>
          </w:tcPr>
          <w:p w14:paraId="7333CDDD">
            <w:pPr>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专项评价设置情况</w:t>
            </w:r>
          </w:p>
        </w:tc>
        <w:tc>
          <w:tcPr>
            <w:tcW w:w="6912" w:type="dxa"/>
            <w:gridSpan w:val="4"/>
            <w:vAlign w:val="center"/>
          </w:tcPr>
          <w:p w14:paraId="77B582CE">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表1-1  专项评价设置对照表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1"/>
              <w:gridCol w:w="3162"/>
              <w:gridCol w:w="2619"/>
            </w:tblGrid>
            <w:tr w14:paraId="337BD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1BE8D93F">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b/>
                      <w:bCs/>
                      <w:color w:val="auto"/>
                      <w:kern w:val="0"/>
                      <w:szCs w:val="21"/>
                      <w:highlight w:val="none"/>
                    </w:rPr>
                  </w:pPr>
                  <w:r>
                    <w:rPr>
                      <w:rFonts w:ascii="Times New Roman" w:hAnsi="Times New Roman" w:eastAsia="宋体" w:cs="宋体"/>
                      <w:b/>
                      <w:bCs/>
                      <w:color w:val="auto"/>
                      <w:kern w:val="0"/>
                      <w:szCs w:val="21"/>
                      <w:highlight w:val="none"/>
                    </w:rPr>
                    <w:t>专项评价的类别</w:t>
                  </w:r>
                </w:p>
              </w:tc>
              <w:tc>
                <w:tcPr>
                  <w:tcW w:w="2362" w:type="pct"/>
                  <w:vAlign w:val="center"/>
                </w:tcPr>
                <w:p w14:paraId="522278FD">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b/>
                      <w:bCs/>
                      <w:color w:val="auto"/>
                      <w:kern w:val="0"/>
                      <w:szCs w:val="21"/>
                      <w:highlight w:val="none"/>
                    </w:rPr>
                  </w:pPr>
                  <w:r>
                    <w:rPr>
                      <w:rFonts w:ascii="Times New Roman" w:hAnsi="Times New Roman" w:eastAsia="宋体" w:cs="宋体"/>
                      <w:b/>
                      <w:bCs/>
                      <w:color w:val="auto"/>
                      <w:kern w:val="0"/>
                      <w:szCs w:val="21"/>
                      <w:highlight w:val="none"/>
                    </w:rPr>
                    <w:t>设置原则</w:t>
                  </w:r>
                </w:p>
              </w:tc>
              <w:tc>
                <w:tcPr>
                  <w:tcW w:w="1956" w:type="pct"/>
                  <w:vAlign w:val="center"/>
                </w:tcPr>
                <w:p w14:paraId="021310D5">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b/>
                      <w:bCs/>
                      <w:color w:val="auto"/>
                      <w:kern w:val="0"/>
                      <w:szCs w:val="21"/>
                      <w:highlight w:val="none"/>
                    </w:rPr>
                  </w:pPr>
                  <w:r>
                    <w:rPr>
                      <w:rFonts w:ascii="Times New Roman" w:hAnsi="Times New Roman" w:eastAsia="宋体" w:cs="宋体"/>
                      <w:b/>
                      <w:bCs/>
                      <w:color w:val="auto"/>
                      <w:kern w:val="0"/>
                      <w:szCs w:val="21"/>
                      <w:highlight w:val="none"/>
                    </w:rPr>
                    <w:t>对照</w:t>
                  </w:r>
                </w:p>
              </w:tc>
            </w:tr>
            <w:tr w14:paraId="1C8DD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43537163">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大气</w:t>
                  </w:r>
                </w:p>
              </w:tc>
              <w:tc>
                <w:tcPr>
                  <w:tcW w:w="2362" w:type="pct"/>
                  <w:vAlign w:val="center"/>
                </w:tcPr>
                <w:p w14:paraId="5F46E292">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排放废气含有有毒污染物</w:t>
                  </w:r>
                  <w:r>
                    <w:rPr>
                      <w:rFonts w:hint="eastAsia" w:ascii="Times New Roman" w:hAnsi="Times New Roman" w:eastAsia="宋体" w:cs="宋体"/>
                      <w:color w:val="auto"/>
                      <w:kern w:val="0"/>
                      <w:szCs w:val="21"/>
                      <w:highlight w:val="none"/>
                      <w:vertAlign w:val="superscript"/>
                    </w:rPr>
                    <w:t>1</w:t>
                  </w:r>
                  <w:r>
                    <w:rPr>
                      <w:rFonts w:hint="eastAsia" w:ascii="Times New Roman" w:hAnsi="Times New Roman" w:eastAsia="宋体" w:cs="宋体"/>
                      <w:color w:val="auto"/>
                      <w:kern w:val="0"/>
                      <w:szCs w:val="21"/>
                      <w:highlight w:val="none"/>
                    </w:rPr>
                    <w:t>、二噁英、苯并[α]芘、氰化物、氯气且厂界外500米范围内有环境空气保护目标</w:t>
                  </w:r>
                  <w:r>
                    <w:rPr>
                      <w:rFonts w:hint="eastAsia" w:ascii="Times New Roman" w:hAnsi="Times New Roman" w:eastAsia="宋体" w:cs="宋体"/>
                      <w:color w:val="auto"/>
                      <w:kern w:val="0"/>
                      <w:szCs w:val="21"/>
                      <w:highlight w:val="none"/>
                      <w:vertAlign w:val="superscript"/>
                    </w:rPr>
                    <w:t>2</w:t>
                  </w:r>
                  <w:r>
                    <w:rPr>
                      <w:rFonts w:hint="eastAsia" w:ascii="Times New Roman" w:hAnsi="Times New Roman" w:eastAsia="宋体" w:cs="宋体"/>
                      <w:color w:val="auto"/>
                      <w:kern w:val="0"/>
                      <w:szCs w:val="21"/>
                      <w:highlight w:val="none"/>
                    </w:rPr>
                    <w:t>的建设项目</w:t>
                  </w:r>
                </w:p>
              </w:tc>
              <w:tc>
                <w:tcPr>
                  <w:tcW w:w="1956" w:type="pct"/>
                  <w:vAlign w:val="center"/>
                </w:tcPr>
                <w:p w14:paraId="523311DF">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本项目排放废气不含有毒污染物</w:t>
                  </w:r>
                  <w:r>
                    <w:rPr>
                      <w:rFonts w:hint="eastAsia" w:ascii="Times New Roman" w:hAnsi="Times New Roman" w:eastAsia="宋体" w:cs="宋体"/>
                      <w:color w:val="auto"/>
                      <w:kern w:val="0"/>
                      <w:szCs w:val="21"/>
                      <w:highlight w:val="none"/>
                    </w:rPr>
                    <w:t>等前述的污染因子，无需设置大气专项评价</w:t>
                  </w:r>
                </w:p>
              </w:tc>
            </w:tr>
            <w:tr w14:paraId="63363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7DB7BF04">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地表水</w:t>
                  </w:r>
                </w:p>
              </w:tc>
              <w:tc>
                <w:tcPr>
                  <w:tcW w:w="2362" w:type="pct"/>
                  <w:vAlign w:val="center"/>
                </w:tcPr>
                <w:p w14:paraId="4099EACB">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新增工业废水直排建设项目</w:t>
                  </w:r>
                  <w:r>
                    <w:rPr>
                      <w:rFonts w:hint="eastAsia" w:ascii="Times New Roman" w:hAnsi="Times New Roman" w:eastAsia="宋体" w:cs="宋体"/>
                      <w:color w:val="auto"/>
                      <w:kern w:val="0"/>
                      <w:szCs w:val="21"/>
                      <w:highlight w:val="none"/>
                    </w:rPr>
                    <w:t>（槽罐车外送污水处理厂的除外）；新增废水直排的污水集中处理厂</w:t>
                  </w:r>
                </w:p>
              </w:tc>
              <w:tc>
                <w:tcPr>
                  <w:tcW w:w="1956" w:type="pct"/>
                  <w:vAlign w:val="center"/>
                </w:tcPr>
                <w:p w14:paraId="2E280BB8">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本项目无工业废水直排</w:t>
                  </w:r>
                  <w:r>
                    <w:rPr>
                      <w:rFonts w:hint="eastAsia" w:ascii="Times New Roman" w:hAnsi="Times New Roman" w:eastAsia="宋体" w:cs="宋体"/>
                      <w:color w:val="auto"/>
                      <w:kern w:val="0"/>
                      <w:szCs w:val="21"/>
                      <w:highlight w:val="none"/>
                    </w:rPr>
                    <w:t>，无需设置地表水专项评价</w:t>
                  </w:r>
                </w:p>
              </w:tc>
            </w:tr>
            <w:tr w14:paraId="6295F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0636B5B4">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环境风险</w:t>
                  </w:r>
                </w:p>
              </w:tc>
              <w:tc>
                <w:tcPr>
                  <w:tcW w:w="2362" w:type="pct"/>
                  <w:vAlign w:val="center"/>
                </w:tcPr>
                <w:p w14:paraId="330FF834">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有毒有害和易燃易爆危险物质存储量超过临界量</w:t>
                  </w:r>
                  <w:r>
                    <w:rPr>
                      <w:rFonts w:hint="eastAsia" w:ascii="Times New Roman" w:hAnsi="Times New Roman" w:eastAsia="宋体" w:cs="宋体"/>
                      <w:color w:val="auto"/>
                      <w:kern w:val="0"/>
                      <w:szCs w:val="21"/>
                      <w:highlight w:val="none"/>
                      <w:vertAlign w:val="superscript"/>
                    </w:rPr>
                    <w:t>3</w:t>
                  </w:r>
                  <w:r>
                    <w:rPr>
                      <w:rFonts w:ascii="Times New Roman" w:hAnsi="Times New Roman" w:eastAsia="宋体" w:cs="宋体"/>
                      <w:color w:val="auto"/>
                      <w:kern w:val="0"/>
                      <w:szCs w:val="21"/>
                      <w:highlight w:val="none"/>
                    </w:rPr>
                    <w:t>的建设项目</w:t>
                  </w:r>
                </w:p>
              </w:tc>
              <w:tc>
                <w:tcPr>
                  <w:tcW w:w="1956" w:type="pct"/>
                  <w:vAlign w:val="center"/>
                </w:tcPr>
                <w:p w14:paraId="113DE32B">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本项目各危险物质存储量均未超过临界量</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无需设置环境风险专项评价</w:t>
                  </w:r>
                </w:p>
              </w:tc>
            </w:tr>
            <w:tr w14:paraId="62629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1F5093A7">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生态</w:t>
                  </w:r>
                </w:p>
              </w:tc>
              <w:tc>
                <w:tcPr>
                  <w:tcW w:w="2362" w:type="pct"/>
                  <w:vAlign w:val="center"/>
                </w:tcPr>
                <w:p w14:paraId="6896C077">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取水口下游</w:t>
                  </w:r>
                  <w:r>
                    <w:rPr>
                      <w:rFonts w:hint="eastAsia" w:ascii="Times New Roman" w:hAnsi="Times New Roman" w:eastAsia="宋体" w:cs="宋体"/>
                      <w:color w:val="auto"/>
                      <w:kern w:val="0"/>
                      <w:szCs w:val="21"/>
                      <w:highlight w:val="none"/>
                    </w:rPr>
                    <w:t>500米范围内有重要水生生物的自然产卵场、索饵场、越冬场和洄游通道的新增河道取水的污染类建设项目</w:t>
                  </w:r>
                </w:p>
              </w:tc>
              <w:tc>
                <w:tcPr>
                  <w:tcW w:w="1956" w:type="pct"/>
                  <w:vAlign w:val="center"/>
                </w:tcPr>
                <w:p w14:paraId="3C152441">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本项目无河道取水</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无需设置生态专项评价</w:t>
                  </w:r>
                </w:p>
              </w:tc>
            </w:tr>
            <w:tr w14:paraId="4CA86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0" w:type="pct"/>
                  <w:vAlign w:val="center"/>
                </w:tcPr>
                <w:p w14:paraId="5B4112E9">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海洋</w:t>
                  </w:r>
                </w:p>
              </w:tc>
              <w:tc>
                <w:tcPr>
                  <w:tcW w:w="2362" w:type="pct"/>
                  <w:vAlign w:val="center"/>
                </w:tcPr>
                <w:p w14:paraId="2E7D0C00">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直接向海排放污染物的</w:t>
                  </w:r>
                  <w:r>
                    <w:rPr>
                      <w:rFonts w:hint="eastAsia" w:ascii="Times New Roman" w:hAnsi="Times New Roman" w:eastAsia="宋体" w:cs="宋体"/>
                      <w:color w:val="auto"/>
                      <w:kern w:val="0"/>
                      <w:szCs w:val="21"/>
                      <w:highlight w:val="none"/>
                    </w:rPr>
                    <w:t>海洋</w:t>
                  </w:r>
                  <w:r>
                    <w:rPr>
                      <w:rFonts w:ascii="Times New Roman" w:hAnsi="Times New Roman" w:eastAsia="宋体" w:cs="宋体"/>
                      <w:color w:val="auto"/>
                      <w:kern w:val="0"/>
                      <w:szCs w:val="21"/>
                      <w:highlight w:val="none"/>
                    </w:rPr>
                    <w:t>工程建设项目</w:t>
                  </w:r>
                </w:p>
              </w:tc>
              <w:tc>
                <w:tcPr>
                  <w:tcW w:w="1956" w:type="pct"/>
                  <w:vAlign w:val="center"/>
                </w:tcPr>
                <w:p w14:paraId="1058FFCD">
                  <w:pPr>
                    <w:keepNext w:val="0"/>
                    <w:keepLines w:val="0"/>
                    <w:pageBreakBefore w:val="0"/>
                    <w:widowControl w:val="0"/>
                    <w:kinsoku/>
                    <w:wordWrap/>
                    <w:overflowPunct/>
                    <w:topLinePunct w:val="0"/>
                    <w:autoSpaceDE w:val="0"/>
                    <w:autoSpaceDN w:val="0"/>
                    <w:bidi w:val="0"/>
                    <w:adjustRightInd/>
                    <w:snapToGrid w:val="0"/>
                    <w:spacing w:line="26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本项目不属于海洋工程建设项目</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不直接向海排放污染物</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无需设置海洋专项评价</w:t>
                  </w:r>
                </w:p>
              </w:tc>
            </w:tr>
          </w:tbl>
          <w:p w14:paraId="4A627254">
            <w:pPr>
              <w:autoSpaceDE w:val="0"/>
              <w:autoSpaceDN w:val="0"/>
              <w:adjustRightInd w:val="0"/>
              <w:snapToGrid w:val="0"/>
              <w:jc w:val="left"/>
              <w:rPr>
                <w:rFonts w:ascii="Times New Roman" w:hAnsi="Times New Roman" w:eastAsia="宋体" w:cs="宋体"/>
                <w:color w:val="auto"/>
                <w:kern w:val="0"/>
                <w:sz w:val="18"/>
                <w:szCs w:val="21"/>
                <w:highlight w:val="none"/>
              </w:rPr>
            </w:pPr>
            <w:r>
              <w:rPr>
                <w:rFonts w:ascii="Times New Roman" w:hAnsi="Times New Roman" w:eastAsia="宋体" w:cs="宋体"/>
                <w:color w:val="auto"/>
                <w:kern w:val="0"/>
                <w:sz w:val="18"/>
                <w:szCs w:val="21"/>
                <w:highlight w:val="none"/>
              </w:rPr>
              <w:t>注</w:t>
            </w:r>
            <w:r>
              <w:rPr>
                <w:rFonts w:hint="eastAsia" w:ascii="Times New Roman" w:hAnsi="Times New Roman" w:eastAsia="宋体" w:cs="宋体"/>
                <w:color w:val="auto"/>
                <w:kern w:val="0"/>
                <w:sz w:val="18"/>
                <w:szCs w:val="21"/>
                <w:highlight w:val="none"/>
              </w:rPr>
              <w:t>：1、废气中有毒有害污染物指纳入《有毒有害大气污染物名录》的污染物（不包括无排放标准的污染物）。</w:t>
            </w:r>
          </w:p>
          <w:p w14:paraId="62A37C0F">
            <w:pPr>
              <w:autoSpaceDE w:val="0"/>
              <w:autoSpaceDN w:val="0"/>
              <w:adjustRightInd w:val="0"/>
              <w:snapToGrid w:val="0"/>
              <w:ind w:firstLine="360" w:firstLineChars="200"/>
              <w:jc w:val="left"/>
              <w:rPr>
                <w:rFonts w:ascii="Times New Roman" w:hAnsi="Times New Roman" w:eastAsia="宋体" w:cs="宋体"/>
                <w:color w:val="auto"/>
                <w:kern w:val="0"/>
                <w:sz w:val="18"/>
                <w:szCs w:val="21"/>
                <w:highlight w:val="none"/>
              </w:rPr>
            </w:pPr>
            <w:r>
              <w:rPr>
                <w:rFonts w:hint="eastAsia" w:ascii="Times New Roman" w:hAnsi="Times New Roman" w:eastAsia="宋体" w:cs="宋体"/>
                <w:color w:val="auto"/>
                <w:kern w:val="0"/>
                <w:sz w:val="18"/>
                <w:szCs w:val="21"/>
                <w:highlight w:val="none"/>
              </w:rPr>
              <w:t>2、环境空气保护目标指自然保护区、风景名胜区、居住区、文化区和农村地区中人群较集中的区域。</w:t>
            </w:r>
          </w:p>
          <w:p w14:paraId="7F52DF44">
            <w:pPr>
              <w:autoSpaceDE w:val="0"/>
              <w:autoSpaceDN w:val="0"/>
              <w:adjustRightInd w:val="0"/>
              <w:snapToGrid w:val="0"/>
              <w:ind w:firstLine="360" w:firstLineChars="200"/>
              <w:jc w:val="left"/>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 w:val="18"/>
                <w:szCs w:val="21"/>
                <w:highlight w:val="none"/>
              </w:rPr>
              <w:t>3、临界量及其计算方法可参考《建设项目环境风向评价技术导则》（HJ169）附录B、附录C。</w:t>
            </w:r>
          </w:p>
        </w:tc>
      </w:tr>
      <w:tr w14:paraId="6AA09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restart"/>
            <w:vAlign w:val="center"/>
          </w:tcPr>
          <w:p w14:paraId="6D865050">
            <w:pPr>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szCs w:val="21"/>
                <w:highlight w:val="none"/>
              </w:rPr>
              <w:t>规划情况</w:t>
            </w:r>
          </w:p>
        </w:tc>
        <w:tc>
          <w:tcPr>
            <w:tcW w:w="2034" w:type="dxa"/>
            <w:vAlign w:val="center"/>
          </w:tcPr>
          <w:p w14:paraId="0C6B6F8F">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规划名称</w:t>
            </w:r>
          </w:p>
        </w:tc>
        <w:tc>
          <w:tcPr>
            <w:tcW w:w="4878" w:type="dxa"/>
            <w:gridSpan w:val="3"/>
            <w:vAlign w:val="center"/>
          </w:tcPr>
          <w:p w14:paraId="5D9316AB">
            <w:pPr>
              <w:keepLines/>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《金坛经济开发区发展规划》</w:t>
            </w:r>
          </w:p>
        </w:tc>
      </w:tr>
      <w:tr w14:paraId="28AB6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continue"/>
            <w:vAlign w:val="center"/>
          </w:tcPr>
          <w:p w14:paraId="19961A6E">
            <w:pPr>
              <w:autoSpaceDE w:val="0"/>
              <w:autoSpaceDN w:val="0"/>
              <w:adjustRightInd w:val="0"/>
              <w:snapToGrid w:val="0"/>
              <w:jc w:val="center"/>
              <w:rPr>
                <w:rFonts w:ascii="Times New Roman" w:hAnsi="Times New Roman" w:eastAsia="宋体" w:cs="宋体"/>
                <w:color w:val="auto"/>
                <w:szCs w:val="21"/>
                <w:highlight w:val="none"/>
              </w:rPr>
            </w:pPr>
          </w:p>
        </w:tc>
        <w:tc>
          <w:tcPr>
            <w:tcW w:w="2034" w:type="dxa"/>
            <w:vAlign w:val="center"/>
          </w:tcPr>
          <w:p w14:paraId="7A8746BA">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审批机关</w:t>
            </w:r>
          </w:p>
        </w:tc>
        <w:tc>
          <w:tcPr>
            <w:tcW w:w="4878" w:type="dxa"/>
            <w:gridSpan w:val="3"/>
            <w:vAlign w:val="center"/>
          </w:tcPr>
          <w:p w14:paraId="4A6DD0F3">
            <w:pPr>
              <w:keepLines/>
              <w:autoSpaceDE w:val="0"/>
              <w:autoSpaceDN w:val="0"/>
              <w:adjustRightInd w:val="0"/>
              <w:snapToGrid w:val="0"/>
              <w:jc w:val="center"/>
              <w:rPr>
                <w:rFonts w:ascii="Times New Roman" w:hAnsi="Times New Roman" w:eastAsia="宋体" w:cs="宋体"/>
                <w:color w:val="auto"/>
                <w:kern w:val="0"/>
                <w:szCs w:val="21"/>
                <w:highlight w:val="none"/>
              </w:rPr>
            </w:pPr>
            <w:r>
              <w:rPr>
                <w:color w:val="auto"/>
              </w:rPr>
              <w:t>江苏省人民政府</w:t>
            </w:r>
          </w:p>
        </w:tc>
      </w:tr>
      <w:tr w14:paraId="60D65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continue"/>
            <w:vAlign w:val="center"/>
          </w:tcPr>
          <w:p w14:paraId="49775E51">
            <w:pPr>
              <w:autoSpaceDE w:val="0"/>
              <w:autoSpaceDN w:val="0"/>
              <w:adjustRightInd w:val="0"/>
              <w:snapToGrid w:val="0"/>
              <w:jc w:val="center"/>
              <w:rPr>
                <w:rFonts w:ascii="Times New Roman" w:hAnsi="Times New Roman" w:eastAsia="宋体" w:cs="宋体"/>
                <w:color w:val="auto"/>
                <w:szCs w:val="21"/>
                <w:highlight w:val="none"/>
              </w:rPr>
            </w:pPr>
          </w:p>
        </w:tc>
        <w:tc>
          <w:tcPr>
            <w:tcW w:w="2034" w:type="dxa"/>
            <w:vAlign w:val="center"/>
          </w:tcPr>
          <w:p w14:paraId="1C68F6CA">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审批文件文号</w:t>
            </w:r>
          </w:p>
        </w:tc>
        <w:tc>
          <w:tcPr>
            <w:tcW w:w="4878" w:type="dxa"/>
            <w:gridSpan w:val="3"/>
            <w:vAlign w:val="center"/>
          </w:tcPr>
          <w:p w14:paraId="5B53DF9A">
            <w:pPr>
              <w:keepNext/>
              <w:keepLines/>
              <w:autoSpaceDE w:val="0"/>
              <w:autoSpaceDN w:val="0"/>
              <w:jc w:val="center"/>
              <w:rPr>
                <w:rFonts w:ascii="Times New Roman" w:hAnsi="Times New Roman" w:eastAsia="宋体" w:cs="宋体"/>
                <w:color w:val="auto"/>
                <w:kern w:val="0"/>
                <w:szCs w:val="21"/>
                <w:highlight w:val="none"/>
              </w:rPr>
            </w:pPr>
            <w:r>
              <w:rPr>
                <w:color w:val="auto"/>
              </w:rPr>
              <w:t>苏政复[1993]60号</w:t>
            </w:r>
          </w:p>
        </w:tc>
      </w:tr>
      <w:tr w14:paraId="69E04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restart"/>
            <w:vAlign w:val="center"/>
          </w:tcPr>
          <w:p w14:paraId="3D8C3721">
            <w:pPr>
              <w:adjustRightInd w:val="0"/>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规划环境影响评价情况</w:t>
            </w:r>
          </w:p>
        </w:tc>
        <w:tc>
          <w:tcPr>
            <w:tcW w:w="2034" w:type="dxa"/>
            <w:vAlign w:val="center"/>
          </w:tcPr>
          <w:p w14:paraId="72B1E6B7">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规划环境影响评价文件名称</w:t>
            </w:r>
          </w:p>
        </w:tc>
        <w:tc>
          <w:tcPr>
            <w:tcW w:w="4878" w:type="dxa"/>
            <w:gridSpan w:val="3"/>
            <w:vAlign w:val="center"/>
          </w:tcPr>
          <w:p w14:paraId="7BA14873">
            <w:pPr>
              <w:autoSpaceDE w:val="0"/>
              <w:autoSpaceDN w:val="0"/>
              <w:adjustRightInd w:val="0"/>
              <w:snapToGrid w:val="0"/>
              <w:jc w:val="center"/>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rPr>
              <w:t>《金坛经济开发区发展规划环境影响报告书》</w:t>
            </w:r>
            <w:r>
              <w:rPr>
                <w:rFonts w:hint="eastAsia"/>
                <w:color w:val="auto"/>
                <w:lang w:eastAsia="zh-CN"/>
              </w:rPr>
              <w:t>（</w:t>
            </w:r>
            <w:r>
              <w:rPr>
                <w:rFonts w:hint="eastAsia" w:ascii="Times New Roman" w:hAnsi="Times New Roman" w:eastAsia="宋体" w:cs="Times New Roman"/>
                <w:color w:val="auto"/>
                <w:spacing w:val="0"/>
                <w:sz w:val="21"/>
              </w:rPr>
              <w:t>目前《江苏金坛经济开发区发展规划环境影响评价报告书》正在委托江苏龙环环境科技有限公司更新编制中</w:t>
            </w:r>
            <w:r>
              <w:rPr>
                <w:rFonts w:hint="eastAsia"/>
                <w:color w:val="auto"/>
                <w:lang w:eastAsia="zh-CN"/>
              </w:rPr>
              <w:t>）</w:t>
            </w:r>
          </w:p>
        </w:tc>
      </w:tr>
      <w:tr w14:paraId="7F697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continue"/>
            <w:vAlign w:val="center"/>
          </w:tcPr>
          <w:p w14:paraId="24E32131">
            <w:pPr>
              <w:adjustRightInd w:val="0"/>
              <w:snapToGrid w:val="0"/>
              <w:jc w:val="center"/>
              <w:rPr>
                <w:rFonts w:ascii="Times New Roman" w:hAnsi="Times New Roman" w:eastAsia="宋体" w:cs="宋体"/>
                <w:color w:val="auto"/>
                <w:szCs w:val="21"/>
                <w:highlight w:val="none"/>
              </w:rPr>
            </w:pPr>
          </w:p>
        </w:tc>
        <w:tc>
          <w:tcPr>
            <w:tcW w:w="2034" w:type="dxa"/>
            <w:vAlign w:val="center"/>
          </w:tcPr>
          <w:p w14:paraId="0CC41646">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召集审查机关</w:t>
            </w:r>
          </w:p>
        </w:tc>
        <w:tc>
          <w:tcPr>
            <w:tcW w:w="4878" w:type="dxa"/>
            <w:gridSpan w:val="3"/>
            <w:vAlign w:val="center"/>
          </w:tcPr>
          <w:p w14:paraId="2AC8E483">
            <w:pPr>
              <w:keepLines/>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原江苏省环境保护厅</w:t>
            </w:r>
          </w:p>
        </w:tc>
      </w:tr>
      <w:tr w14:paraId="5D3D4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continue"/>
            <w:vAlign w:val="center"/>
          </w:tcPr>
          <w:p w14:paraId="2F5B7977">
            <w:pPr>
              <w:adjustRightInd w:val="0"/>
              <w:snapToGrid w:val="0"/>
              <w:jc w:val="center"/>
              <w:rPr>
                <w:rFonts w:ascii="Times New Roman" w:hAnsi="Times New Roman" w:eastAsia="宋体" w:cs="宋体"/>
                <w:color w:val="auto"/>
                <w:szCs w:val="21"/>
                <w:highlight w:val="none"/>
              </w:rPr>
            </w:pPr>
          </w:p>
        </w:tc>
        <w:tc>
          <w:tcPr>
            <w:tcW w:w="2034" w:type="dxa"/>
            <w:vAlign w:val="center"/>
          </w:tcPr>
          <w:p w14:paraId="38C9441B">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审查文件名称</w:t>
            </w:r>
          </w:p>
        </w:tc>
        <w:tc>
          <w:tcPr>
            <w:tcW w:w="4878" w:type="dxa"/>
            <w:gridSpan w:val="3"/>
            <w:vAlign w:val="center"/>
          </w:tcPr>
          <w:p w14:paraId="0FABBA70">
            <w:pPr>
              <w:keepLines/>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《关于金坛经济开发区发展规划环境影响评价审查意见》</w:t>
            </w:r>
          </w:p>
        </w:tc>
      </w:tr>
      <w:tr w14:paraId="1FD9B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58" w:type="dxa"/>
            <w:gridSpan w:val="2"/>
            <w:vMerge w:val="continue"/>
            <w:vAlign w:val="center"/>
          </w:tcPr>
          <w:p w14:paraId="3BEE0D17">
            <w:pPr>
              <w:adjustRightInd w:val="0"/>
              <w:snapToGrid w:val="0"/>
              <w:jc w:val="center"/>
              <w:rPr>
                <w:rFonts w:ascii="Times New Roman" w:hAnsi="Times New Roman" w:eastAsia="宋体" w:cs="宋体"/>
                <w:color w:val="auto"/>
                <w:szCs w:val="21"/>
                <w:highlight w:val="none"/>
              </w:rPr>
            </w:pPr>
          </w:p>
        </w:tc>
        <w:tc>
          <w:tcPr>
            <w:tcW w:w="2034" w:type="dxa"/>
            <w:vAlign w:val="center"/>
          </w:tcPr>
          <w:p w14:paraId="26B5E1E4">
            <w:pPr>
              <w:keepNext/>
              <w:keepLines/>
              <w:autoSpaceDE w:val="0"/>
              <w:autoSpaceDN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审查文件文号</w:t>
            </w:r>
          </w:p>
        </w:tc>
        <w:tc>
          <w:tcPr>
            <w:tcW w:w="4878" w:type="dxa"/>
            <w:gridSpan w:val="3"/>
            <w:vAlign w:val="center"/>
          </w:tcPr>
          <w:p w14:paraId="79470F2F">
            <w:pPr>
              <w:keepLines/>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苏环审【2015】52号</w:t>
            </w:r>
          </w:p>
        </w:tc>
      </w:tr>
      <w:tr w14:paraId="6A8BA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8" w:type="dxa"/>
            <w:gridSpan w:val="2"/>
            <w:vAlign w:val="center"/>
          </w:tcPr>
          <w:p w14:paraId="5F0F1B0C">
            <w:pPr>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规划及规划环境影响评价符合性分析</w:t>
            </w:r>
          </w:p>
        </w:tc>
        <w:tc>
          <w:tcPr>
            <w:tcW w:w="6912" w:type="dxa"/>
            <w:gridSpan w:val="4"/>
            <w:vAlign w:val="center"/>
          </w:tcPr>
          <w:p w14:paraId="54D4DEF9">
            <w:pPr>
              <w:keepLines/>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ascii="Times New Roman" w:hAnsi="Times New Roman" w:eastAsia="宋体"/>
                <w:b/>
                <w:bCs/>
                <w:smallCaps w:val="0"/>
                <w:color w:val="auto"/>
                <w:sz w:val="24"/>
                <w:szCs w:val="32"/>
                <w:highlight w:val="none"/>
              </w:rPr>
            </w:pPr>
            <w:r>
              <w:rPr>
                <w:rFonts w:hint="eastAsia"/>
                <w:b/>
                <w:bCs/>
                <w:smallCaps w:val="0"/>
                <w:color w:val="auto"/>
                <w:sz w:val="24"/>
                <w:szCs w:val="32"/>
                <w:highlight w:val="none"/>
                <w:lang w:val="en-US" w:eastAsia="zh-CN"/>
              </w:rPr>
              <w:t>1</w:t>
            </w:r>
            <w:r>
              <w:rPr>
                <w:rFonts w:hint="eastAsia" w:ascii="Times New Roman" w:hAnsi="Times New Roman" w:eastAsia="宋体"/>
                <w:b/>
                <w:bCs/>
                <w:smallCaps w:val="0"/>
                <w:color w:val="auto"/>
                <w:sz w:val="24"/>
                <w:szCs w:val="32"/>
                <w:highlight w:val="none"/>
                <w:lang w:val="en-US" w:eastAsia="zh-CN"/>
              </w:rPr>
              <w:t>、</w:t>
            </w:r>
            <w:r>
              <w:rPr>
                <w:rFonts w:hint="eastAsia" w:ascii="Times New Roman" w:hAnsi="Times New Roman" w:eastAsia="宋体"/>
                <w:b/>
                <w:bCs/>
                <w:smallCaps w:val="0"/>
                <w:color w:val="auto"/>
                <w:sz w:val="24"/>
                <w:szCs w:val="32"/>
                <w:highlight w:val="none"/>
              </w:rPr>
              <w:t>规划相符性分析</w:t>
            </w:r>
          </w:p>
          <w:p w14:paraId="6ECC8B3B">
            <w:pPr>
              <w:tabs>
                <w:tab w:val="left" w:pos="4410"/>
              </w:tabs>
              <w:spacing w:line="360" w:lineRule="auto"/>
              <w:ind w:firstLine="480" w:firstLineChars="200"/>
              <w:rPr>
                <w:color w:val="auto"/>
                <w:sz w:val="24"/>
                <w:szCs w:val="24"/>
              </w:rPr>
            </w:pPr>
            <w:r>
              <w:rPr>
                <w:color w:val="auto"/>
                <w:sz w:val="24"/>
                <w:szCs w:val="24"/>
              </w:rPr>
              <w:t>本项目与《金坛经济开发区发展规划》相符性分析见</w:t>
            </w:r>
            <w:r>
              <w:rPr>
                <w:rFonts w:hint="eastAsia"/>
                <w:color w:val="auto"/>
                <w:sz w:val="24"/>
                <w:szCs w:val="24"/>
                <w:lang w:val="en-US" w:eastAsia="zh-CN"/>
              </w:rPr>
              <w:t>下表</w:t>
            </w:r>
            <w:r>
              <w:rPr>
                <w:color w:val="auto"/>
                <w:sz w:val="24"/>
                <w:szCs w:val="24"/>
              </w:rPr>
              <w:t>。</w:t>
            </w:r>
          </w:p>
          <w:p w14:paraId="1AC44FAA">
            <w:pPr>
              <w:autoSpaceDE w:val="0"/>
              <w:autoSpaceDN w:val="0"/>
              <w:adjustRightInd w:val="0"/>
              <w:snapToGrid w:val="0"/>
              <w:jc w:val="center"/>
              <w:rPr>
                <w:b/>
                <w:color w:val="auto"/>
                <w:kern w:val="0"/>
                <w:szCs w:val="21"/>
              </w:rPr>
            </w:pPr>
            <w:r>
              <w:rPr>
                <w:b/>
                <w:color w:val="auto"/>
                <w:kern w:val="0"/>
                <w:szCs w:val="21"/>
              </w:rPr>
              <w:t>表1</w:t>
            </w:r>
            <w:r>
              <w:rPr>
                <w:rFonts w:hint="eastAsia"/>
                <w:b/>
                <w:color w:val="auto"/>
                <w:kern w:val="0"/>
                <w:szCs w:val="21"/>
                <w:lang w:val="en-US" w:eastAsia="zh-CN"/>
              </w:rPr>
              <w:t>.1</w:t>
            </w:r>
            <w:r>
              <w:rPr>
                <w:b/>
                <w:color w:val="auto"/>
                <w:kern w:val="0"/>
                <w:szCs w:val="21"/>
              </w:rPr>
              <w:t>-</w:t>
            </w:r>
            <w:r>
              <w:rPr>
                <w:rFonts w:hint="eastAsia"/>
                <w:b/>
                <w:color w:val="auto"/>
                <w:kern w:val="0"/>
                <w:szCs w:val="21"/>
                <w:lang w:val="en-US" w:eastAsia="zh-CN"/>
              </w:rPr>
              <w:t>1</w:t>
            </w:r>
            <w:r>
              <w:rPr>
                <w:b/>
                <w:color w:val="auto"/>
                <w:kern w:val="0"/>
                <w:szCs w:val="21"/>
              </w:rPr>
              <w:t xml:space="preserve"> 项目与金坛经济开发区发展规划相符性分析一览表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288"/>
              <w:gridCol w:w="2200"/>
              <w:gridCol w:w="683"/>
            </w:tblGrid>
            <w:tr w14:paraId="5C7DFA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noWrap w:val="0"/>
                  <w:tcMar>
                    <w:top w:w="0" w:type="dxa"/>
                    <w:left w:w="0" w:type="dxa"/>
                    <w:bottom w:w="0" w:type="dxa"/>
                    <w:right w:w="0" w:type="dxa"/>
                  </w:tcMar>
                  <w:vAlign w:val="center"/>
                </w:tcPr>
                <w:p w14:paraId="7218550E">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b/>
                      <w:bCs/>
                      <w:color w:val="auto"/>
                      <w:kern w:val="0"/>
                      <w:szCs w:val="21"/>
                    </w:rPr>
                  </w:pPr>
                  <w:r>
                    <w:rPr>
                      <w:b/>
                      <w:bCs/>
                      <w:color w:val="auto"/>
                      <w:kern w:val="0"/>
                      <w:szCs w:val="21"/>
                    </w:rPr>
                    <w:t>序号</w:t>
                  </w:r>
                </w:p>
              </w:tc>
              <w:tc>
                <w:tcPr>
                  <w:tcW w:w="3288" w:type="dxa"/>
                  <w:noWrap w:val="0"/>
                  <w:tcMar>
                    <w:top w:w="0" w:type="dxa"/>
                    <w:left w:w="0" w:type="dxa"/>
                    <w:bottom w:w="0" w:type="dxa"/>
                    <w:right w:w="0" w:type="dxa"/>
                  </w:tcMar>
                  <w:vAlign w:val="center"/>
                </w:tcPr>
                <w:p w14:paraId="7B5104E0">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b/>
                      <w:bCs/>
                      <w:color w:val="auto"/>
                      <w:kern w:val="0"/>
                      <w:szCs w:val="21"/>
                    </w:rPr>
                  </w:pPr>
                  <w:r>
                    <w:rPr>
                      <w:b/>
                      <w:bCs/>
                      <w:color w:val="auto"/>
                      <w:kern w:val="0"/>
                      <w:szCs w:val="21"/>
                    </w:rPr>
                    <w:t>规划情况</w:t>
                  </w:r>
                </w:p>
              </w:tc>
              <w:tc>
                <w:tcPr>
                  <w:tcW w:w="2200" w:type="dxa"/>
                  <w:noWrap w:val="0"/>
                  <w:tcMar>
                    <w:top w:w="0" w:type="dxa"/>
                    <w:left w:w="0" w:type="dxa"/>
                    <w:bottom w:w="0" w:type="dxa"/>
                    <w:right w:w="0" w:type="dxa"/>
                  </w:tcMar>
                  <w:vAlign w:val="center"/>
                </w:tcPr>
                <w:p w14:paraId="4DE30AED">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b/>
                      <w:bCs/>
                      <w:color w:val="auto"/>
                      <w:kern w:val="0"/>
                      <w:szCs w:val="21"/>
                    </w:rPr>
                  </w:pPr>
                  <w:r>
                    <w:rPr>
                      <w:b/>
                      <w:bCs/>
                      <w:color w:val="auto"/>
                      <w:kern w:val="0"/>
                      <w:szCs w:val="21"/>
                    </w:rPr>
                    <w:t>本项目情况</w:t>
                  </w:r>
                </w:p>
              </w:tc>
              <w:tc>
                <w:tcPr>
                  <w:tcW w:w="683" w:type="dxa"/>
                  <w:noWrap w:val="0"/>
                  <w:tcMar>
                    <w:top w:w="0" w:type="dxa"/>
                    <w:left w:w="0" w:type="dxa"/>
                    <w:bottom w:w="0" w:type="dxa"/>
                    <w:right w:w="0" w:type="dxa"/>
                  </w:tcMar>
                  <w:vAlign w:val="center"/>
                </w:tcPr>
                <w:p w14:paraId="794AC583">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b/>
                      <w:bCs/>
                      <w:color w:val="auto"/>
                      <w:kern w:val="0"/>
                      <w:szCs w:val="21"/>
                    </w:rPr>
                  </w:pPr>
                  <w:r>
                    <w:rPr>
                      <w:b/>
                      <w:bCs/>
                      <w:color w:val="auto"/>
                      <w:kern w:val="0"/>
                      <w:szCs w:val="21"/>
                    </w:rPr>
                    <w:t>相符性</w:t>
                  </w:r>
                </w:p>
              </w:tc>
            </w:tr>
            <w:tr w14:paraId="2034B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noWrap w:val="0"/>
                  <w:tcMar>
                    <w:top w:w="0" w:type="dxa"/>
                    <w:left w:w="0" w:type="dxa"/>
                    <w:bottom w:w="0" w:type="dxa"/>
                    <w:right w:w="0" w:type="dxa"/>
                  </w:tcMar>
                  <w:vAlign w:val="center"/>
                </w:tcPr>
                <w:p w14:paraId="161F53EE">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1</w:t>
                  </w:r>
                </w:p>
              </w:tc>
              <w:tc>
                <w:tcPr>
                  <w:tcW w:w="3288" w:type="dxa"/>
                  <w:noWrap w:val="0"/>
                  <w:tcMar>
                    <w:top w:w="0" w:type="dxa"/>
                    <w:left w:w="0" w:type="dxa"/>
                    <w:bottom w:w="0" w:type="dxa"/>
                    <w:right w:w="0" w:type="dxa"/>
                  </w:tcMar>
                  <w:vAlign w:val="center"/>
                </w:tcPr>
                <w:p w14:paraId="3FC32E09">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规划范围：东至在建省道203（东环路），南至规划沿江城际铁路，西至金湖路（金宜路）-S340-丹金溧漕河，北近开发区行政界线，距金坛和丹阳市界500m处，总面积71.3km</w:t>
                  </w:r>
                  <w:r>
                    <w:rPr>
                      <w:color w:val="auto"/>
                      <w:kern w:val="0"/>
                      <w:szCs w:val="21"/>
                      <w:vertAlign w:val="superscript"/>
                    </w:rPr>
                    <w:t>2</w:t>
                  </w:r>
                  <w:r>
                    <w:rPr>
                      <w:color w:val="auto"/>
                      <w:kern w:val="0"/>
                      <w:szCs w:val="21"/>
                    </w:rPr>
                    <w:t>。金坛经济开发区按照产业划分形成传统产业园区（产业北区）和创新型产业园区（产业南区）。</w:t>
                  </w:r>
                </w:p>
                <w:p w14:paraId="41ED6768">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传统产业园区：位于金武公路以北，主要发展以服装、电子、机械、新材料和新能源等为主导的产业，规划整合为盐化工产业园、综合制造产业园、高端制造产业园、中小企业园、新能源新材料产业园。</w:t>
                  </w:r>
                </w:p>
                <w:p w14:paraId="074D5F3B">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创新产业园：位于延政西路以南，从事高新技术产品的研制、开发或提供技术外包服务和业务流程外包服务的企业用地，主要发展以新医药、环保、新传感网等新兴产业的研发、设计与营销为主。</w:t>
                  </w:r>
                </w:p>
              </w:tc>
              <w:tc>
                <w:tcPr>
                  <w:tcW w:w="2200" w:type="dxa"/>
                  <w:noWrap w:val="0"/>
                  <w:tcMar>
                    <w:top w:w="0" w:type="dxa"/>
                    <w:left w:w="0" w:type="dxa"/>
                    <w:bottom w:w="0" w:type="dxa"/>
                    <w:right w:w="0" w:type="dxa"/>
                  </w:tcMar>
                  <w:vAlign w:val="center"/>
                </w:tcPr>
                <w:p w14:paraId="4FAE81C1">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rFonts w:hint="eastAsia"/>
                      <w:color w:val="auto"/>
                      <w:kern w:val="0"/>
                      <w:szCs w:val="21"/>
                    </w:rPr>
                  </w:pPr>
                  <w:r>
                    <w:rPr>
                      <w:color w:val="auto"/>
                      <w:kern w:val="0"/>
                      <w:szCs w:val="21"/>
                    </w:rPr>
                    <w:t>项目建设地位于</w:t>
                  </w:r>
                  <w:r>
                    <w:rPr>
                      <w:rFonts w:hint="eastAsia"/>
                      <w:color w:val="auto"/>
                      <w:kern w:val="0"/>
                      <w:szCs w:val="21"/>
                    </w:rPr>
                    <w:t>江苏省金坛区河山环路26号</w:t>
                  </w:r>
                  <w:r>
                    <w:rPr>
                      <w:color w:val="auto"/>
                      <w:kern w:val="0"/>
                      <w:szCs w:val="21"/>
                    </w:rPr>
                    <w:t>，位于传统产业园区内</w:t>
                  </w:r>
                  <w:r>
                    <w:rPr>
                      <w:rFonts w:hint="eastAsia"/>
                      <w:color w:val="auto"/>
                      <w:kern w:val="0"/>
                      <w:szCs w:val="21"/>
                    </w:rPr>
                    <w:t>；公司从事铝压铸件和机械加工生产制造，配套机械电子及新能源制造领域，延伸了产业链增值环节，提升了相关产业的附加值，不属于金坛经济开发区禁止引入类项目，与金坛经济开发区的发展定位相符。</w:t>
                  </w:r>
                </w:p>
              </w:tc>
              <w:tc>
                <w:tcPr>
                  <w:tcW w:w="683" w:type="dxa"/>
                  <w:noWrap w:val="0"/>
                  <w:tcMar>
                    <w:top w:w="0" w:type="dxa"/>
                    <w:left w:w="0" w:type="dxa"/>
                    <w:bottom w:w="0" w:type="dxa"/>
                    <w:right w:w="0" w:type="dxa"/>
                  </w:tcMar>
                  <w:vAlign w:val="center"/>
                </w:tcPr>
                <w:p w14:paraId="30E80323">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符合</w:t>
                  </w:r>
                </w:p>
              </w:tc>
            </w:tr>
            <w:tr w14:paraId="44FFA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noWrap w:val="0"/>
                  <w:tcMar>
                    <w:top w:w="0" w:type="dxa"/>
                    <w:left w:w="0" w:type="dxa"/>
                    <w:bottom w:w="0" w:type="dxa"/>
                    <w:right w:w="0" w:type="dxa"/>
                  </w:tcMar>
                  <w:vAlign w:val="center"/>
                </w:tcPr>
                <w:p w14:paraId="5D786AD3">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2</w:t>
                  </w:r>
                </w:p>
              </w:tc>
              <w:tc>
                <w:tcPr>
                  <w:tcW w:w="3288" w:type="dxa"/>
                  <w:noWrap w:val="0"/>
                  <w:tcMar>
                    <w:top w:w="0" w:type="dxa"/>
                    <w:left w:w="0" w:type="dxa"/>
                    <w:bottom w:w="0" w:type="dxa"/>
                    <w:right w:w="0" w:type="dxa"/>
                  </w:tcMar>
                  <w:vAlign w:val="center"/>
                </w:tcPr>
                <w:p w14:paraId="107DA7CC">
                  <w:pPr>
                    <w:keepNext w:val="0"/>
                    <w:keepLines w:val="0"/>
                    <w:pageBreakBefore w:val="0"/>
                    <w:widowControl w:val="0"/>
                    <w:kinsoku/>
                    <w:wordWrap/>
                    <w:overflowPunct/>
                    <w:topLinePunct w:val="0"/>
                    <w:bidi w:val="0"/>
                    <w:spacing w:line="240" w:lineRule="exact"/>
                    <w:jc w:val="center"/>
                    <w:textAlignment w:val="auto"/>
                    <w:rPr>
                      <w:color w:val="auto"/>
                      <w:kern w:val="0"/>
                      <w:szCs w:val="21"/>
                    </w:rPr>
                  </w:pPr>
                  <w:r>
                    <w:rPr>
                      <w:color w:val="auto"/>
                      <w:kern w:val="0"/>
                      <w:szCs w:val="21"/>
                    </w:rPr>
                    <w:t>用地布局：总用地为7130hm</w:t>
                  </w:r>
                  <w:r>
                    <w:rPr>
                      <w:color w:val="auto"/>
                      <w:kern w:val="0"/>
                      <w:szCs w:val="21"/>
                      <w:vertAlign w:val="superscript"/>
                    </w:rPr>
                    <w:t>2</w:t>
                  </w:r>
                  <w:r>
                    <w:rPr>
                      <w:color w:val="auto"/>
                      <w:kern w:val="0"/>
                      <w:szCs w:val="21"/>
                    </w:rPr>
                    <w:t>。其中城市建设用地为6411.2</w:t>
                  </w:r>
                  <w:r>
                    <w:rPr>
                      <w:color w:val="auto"/>
                      <w:kern w:val="0"/>
                      <w:szCs w:val="21"/>
                      <w:lang w:bidi="ar"/>
                    </w:rPr>
                    <w:t>hm</w:t>
                  </w:r>
                  <w:r>
                    <w:rPr>
                      <w:color w:val="auto"/>
                      <w:kern w:val="0"/>
                      <w:szCs w:val="21"/>
                      <w:vertAlign w:val="superscript"/>
                      <w:lang w:bidi="ar"/>
                    </w:rPr>
                    <w:t>2</w:t>
                  </w:r>
                  <w:r>
                    <w:rPr>
                      <w:color w:val="auto"/>
                      <w:kern w:val="0"/>
                      <w:szCs w:val="21"/>
                      <w:lang w:bidi="ar"/>
                    </w:rPr>
                    <w:t>（工业用地2278.55</w:t>
                  </w:r>
                  <w:r>
                    <w:rPr>
                      <w:rFonts w:hint="eastAsia"/>
                      <w:color w:val="auto"/>
                      <w:kern w:val="0"/>
                      <w:szCs w:val="21"/>
                      <w:lang w:bidi="ar"/>
                    </w:rPr>
                    <w:t>h</w:t>
                  </w:r>
                  <w:r>
                    <w:rPr>
                      <w:color w:val="auto"/>
                      <w:kern w:val="0"/>
                      <w:szCs w:val="21"/>
                      <w:lang w:bidi="ar"/>
                    </w:rPr>
                    <w:t>m</w:t>
                  </w:r>
                  <w:r>
                    <w:rPr>
                      <w:color w:val="auto"/>
                      <w:kern w:val="0"/>
                      <w:szCs w:val="21"/>
                      <w:vertAlign w:val="superscript"/>
                      <w:lang w:bidi="ar"/>
                    </w:rPr>
                    <w:t>2</w:t>
                  </w:r>
                  <w:r>
                    <w:rPr>
                      <w:color w:val="auto"/>
                      <w:kern w:val="0"/>
                      <w:szCs w:val="21"/>
                      <w:lang w:bidi="ar"/>
                    </w:rPr>
                    <w:t>），非建设用地为334.4hm</w:t>
                  </w:r>
                  <w:r>
                    <w:rPr>
                      <w:color w:val="auto"/>
                      <w:kern w:val="0"/>
                      <w:szCs w:val="21"/>
                      <w:vertAlign w:val="superscript"/>
                      <w:lang w:bidi="ar"/>
                    </w:rPr>
                    <w:t>2</w:t>
                  </w:r>
                  <w:r>
                    <w:rPr>
                      <w:color w:val="auto"/>
                      <w:kern w:val="0"/>
                      <w:szCs w:val="21"/>
                      <w:lang w:bidi="ar"/>
                    </w:rPr>
                    <w:t>（水域面积258.3hm</w:t>
                  </w:r>
                  <w:r>
                    <w:rPr>
                      <w:color w:val="auto"/>
                      <w:kern w:val="0"/>
                      <w:szCs w:val="21"/>
                      <w:vertAlign w:val="superscript"/>
                      <w:lang w:bidi="ar"/>
                    </w:rPr>
                    <w:t>2</w:t>
                  </w:r>
                  <w:r>
                    <w:rPr>
                      <w:color w:val="auto"/>
                      <w:kern w:val="0"/>
                      <w:szCs w:val="21"/>
                      <w:lang w:bidi="ar"/>
                    </w:rPr>
                    <w:t>），发展备用地384.4hm</w:t>
                  </w:r>
                  <w:r>
                    <w:rPr>
                      <w:color w:val="auto"/>
                      <w:kern w:val="0"/>
                      <w:szCs w:val="21"/>
                      <w:vertAlign w:val="superscript"/>
                      <w:lang w:bidi="ar"/>
                    </w:rPr>
                    <w:t>2</w:t>
                  </w:r>
                  <w:r>
                    <w:rPr>
                      <w:color w:val="auto"/>
                      <w:kern w:val="0"/>
                      <w:szCs w:val="21"/>
                      <w:lang w:bidi="ar"/>
                    </w:rPr>
                    <w:t>。</w:t>
                  </w:r>
                </w:p>
              </w:tc>
              <w:tc>
                <w:tcPr>
                  <w:tcW w:w="2200" w:type="dxa"/>
                  <w:noWrap w:val="0"/>
                  <w:tcMar>
                    <w:top w:w="0" w:type="dxa"/>
                    <w:left w:w="0" w:type="dxa"/>
                    <w:bottom w:w="0" w:type="dxa"/>
                    <w:right w:w="0" w:type="dxa"/>
                  </w:tcMar>
                  <w:vAlign w:val="center"/>
                </w:tcPr>
                <w:p w14:paraId="38A25C7A">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spacing w:val="-11"/>
                      <w:kern w:val="0"/>
                      <w:sz w:val="21"/>
                      <w:szCs w:val="21"/>
                    </w:rPr>
                    <w:t>项目建设地属于工业用地。</w:t>
                  </w:r>
                </w:p>
              </w:tc>
              <w:tc>
                <w:tcPr>
                  <w:tcW w:w="683" w:type="dxa"/>
                  <w:noWrap w:val="0"/>
                  <w:tcMar>
                    <w:top w:w="0" w:type="dxa"/>
                    <w:left w:w="0" w:type="dxa"/>
                    <w:bottom w:w="0" w:type="dxa"/>
                    <w:right w:w="0" w:type="dxa"/>
                  </w:tcMar>
                  <w:vAlign w:val="center"/>
                </w:tcPr>
                <w:p w14:paraId="6C7D0B64">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符合</w:t>
                  </w:r>
                </w:p>
              </w:tc>
            </w:tr>
            <w:tr w14:paraId="30B97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noWrap w:val="0"/>
                  <w:tcMar>
                    <w:top w:w="0" w:type="dxa"/>
                    <w:left w:w="0" w:type="dxa"/>
                    <w:bottom w:w="0" w:type="dxa"/>
                    <w:right w:w="0" w:type="dxa"/>
                  </w:tcMar>
                  <w:vAlign w:val="center"/>
                </w:tcPr>
                <w:p w14:paraId="035B20B3">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3</w:t>
                  </w:r>
                </w:p>
              </w:tc>
              <w:tc>
                <w:tcPr>
                  <w:tcW w:w="3288" w:type="dxa"/>
                  <w:noWrap w:val="0"/>
                  <w:tcMar>
                    <w:top w:w="0" w:type="dxa"/>
                    <w:left w:w="0" w:type="dxa"/>
                    <w:bottom w:w="0" w:type="dxa"/>
                    <w:right w:w="0" w:type="dxa"/>
                  </w:tcMar>
                  <w:vAlign w:val="center"/>
                </w:tcPr>
                <w:p w14:paraId="621A3E51">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环保基础设施规划：采用雨污分流排水体制，污水经收集后排入金坛第二污水处理</w:t>
                  </w:r>
                  <w:r>
                    <w:rPr>
                      <w:rFonts w:hint="eastAsia"/>
                      <w:color w:val="auto"/>
                      <w:kern w:val="0"/>
                      <w:szCs w:val="21"/>
                    </w:rPr>
                    <w:t>有限公司</w:t>
                  </w:r>
                  <w:r>
                    <w:rPr>
                      <w:color w:val="auto"/>
                      <w:kern w:val="0"/>
                      <w:szCs w:val="21"/>
                    </w:rPr>
                    <w:t>集中处理。</w:t>
                  </w:r>
                </w:p>
              </w:tc>
              <w:tc>
                <w:tcPr>
                  <w:tcW w:w="2200" w:type="dxa"/>
                  <w:noWrap w:val="0"/>
                  <w:tcMar>
                    <w:top w:w="0" w:type="dxa"/>
                    <w:left w:w="0" w:type="dxa"/>
                    <w:bottom w:w="0" w:type="dxa"/>
                    <w:right w:w="0" w:type="dxa"/>
                  </w:tcMar>
                  <w:vAlign w:val="center"/>
                </w:tcPr>
                <w:p w14:paraId="099D1520">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spacing w:val="-6"/>
                      <w:kern w:val="0"/>
                      <w:sz w:val="21"/>
                      <w:szCs w:val="21"/>
                    </w:rPr>
                    <w:t>项目</w:t>
                  </w:r>
                  <w:r>
                    <w:rPr>
                      <w:rStyle w:val="27"/>
                      <w:color w:val="auto"/>
                      <w:spacing w:val="-6"/>
                      <w:sz w:val="21"/>
                    </w:rPr>
                    <w:t>所在地已</w:t>
                  </w:r>
                  <w:r>
                    <w:rPr>
                      <w:color w:val="auto"/>
                      <w:spacing w:val="-6"/>
                      <w:kern w:val="0"/>
                      <w:sz w:val="21"/>
                      <w:szCs w:val="21"/>
                    </w:rPr>
                    <w:t>采用雨污分流制；项目不</w:t>
                  </w:r>
                  <w:r>
                    <w:rPr>
                      <w:rFonts w:hint="eastAsia"/>
                      <w:color w:val="auto"/>
                      <w:spacing w:val="-6"/>
                      <w:kern w:val="0"/>
                      <w:sz w:val="21"/>
                      <w:szCs w:val="21"/>
                    </w:rPr>
                    <w:t>排放</w:t>
                  </w:r>
                  <w:r>
                    <w:rPr>
                      <w:color w:val="auto"/>
                      <w:spacing w:val="-6"/>
                      <w:kern w:val="0"/>
                      <w:sz w:val="21"/>
                      <w:szCs w:val="21"/>
                    </w:rPr>
                    <w:t>生产废水，生活污水接管至</w:t>
                  </w:r>
                  <w:r>
                    <w:rPr>
                      <w:rFonts w:hint="eastAsia"/>
                      <w:color w:val="auto"/>
                      <w:spacing w:val="-6"/>
                      <w:kern w:val="0"/>
                      <w:sz w:val="21"/>
                      <w:szCs w:val="21"/>
                    </w:rPr>
                    <w:t>常州</w:t>
                  </w:r>
                  <w:r>
                    <w:rPr>
                      <w:color w:val="auto"/>
                      <w:spacing w:val="-6"/>
                      <w:kern w:val="0"/>
                      <w:sz w:val="21"/>
                      <w:szCs w:val="21"/>
                    </w:rPr>
                    <w:t>金坛</w:t>
                  </w:r>
                  <w:r>
                    <w:rPr>
                      <w:rFonts w:hint="eastAsia"/>
                      <w:color w:val="auto"/>
                      <w:spacing w:val="-6"/>
                      <w:kern w:val="0"/>
                      <w:sz w:val="21"/>
                      <w:szCs w:val="21"/>
                    </w:rPr>
                    <w:t>区</w:t>
                  </w:r>
                  <w:r>
                    <w:rPr>
                      <w:color w:val="auto"/>
                      <w:spacing w:val="-6"/>
                      <w:kern w:val="0"/>
                      <w:sz w:val="21"/>
                      <w:szCs w:val="21"/>
                    </w:rPr>
                    <w:t>第二污水处理</w:t>
                  </w:r>
                  <w:r>
                    <w:rPr>
                      <w:rFonts w:hint="eastAsia"/>
                      <w:color w:val="auto"/>
                      <w:spacing w:val="-6"/>
                      <w:kern w:val="0"/>
                      <w:sz w:val="21"/>
                      <w:szCs w:val="21"/>
                    </w:rPr>
                    <w:t>有限公司</w:t>
                  </w:r>
                  <w:r>
                    <w:rPr>
                      <w:color w:val="auto"/>
                      <w:spacing w:val="-6"/>
                      <w:kern w:val="0"/>
                      <w:sz w:val="21"/>
                      <w:szCs w:val="21"/>
                    </w:rPr>
                    <w:t>集中处理。</w:t>
                  </w:r>
                </w:p>
              </w:tc>
              <w:tc>
                <w:tcPr>
                  <w:tcW w:w="683" w:type="dxa"/>
                  <w:noWrap w:val="0"/>
                  <w:tcMar>
                    <w:top w:w="0" w:type="dxa"/>
                    <w:left w:w="0" w:type="dxa"/>
                    <w:bottom w:w="0" w:type="dxa"/>
                    <w:right w:w="0" w:type="dxa"/>
                  </w:tcMar>
                  <w:vAlign w:val="center"/>
                </w:tcPr>
                <w:p w14:paraId="1B19DAFA">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符合</w:t>
                  </w:r>
                </w:p>
              </w:tc>
            </w:tr>
            <w:tr w14:paraId="798F1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dxa"/>
                  <w:noWrap w:val="0"/>
                  <w:tcMar>
                    <w:top w:w="0" w:type="dxa"/>
                    <w:left w:w="0" w:type="dxa"/>
                    <w:bottom w:w="0" w:type="dxa"/>
                    <w:right w:w="0" w:type="dxa"/>
                  </w:tcMar>
                  <w:vAlign w:val="center"/>
                </w:tcPr>
                <w:p w14:paraId="65D35DEB">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4</w:t>
                  </w:r>
                </w:p>
              </w:tc>
              <w:tc>
                <w:tcPr>
                  <w:tcW w:w="3288" w:type="dxa"/>
                  <w:noWrap w:val="0"/>
                  <w:tcMar>
                    <w:top w:w="0" w:type="dxa"/>
                    <w:left w:w="0" w:type="dxa"/>
                    <w:bottom w:w="0" w:type="dxa"/>
                    <w:right w:w="0" w:type="dxa"/>
                  </w:tcMar>
                  <w:vAlign w:val="center"/>
                </w:tcPr>
                <w:p w14:paraId="2DD10661">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环卫：采用垃圾分类处理方式，分类后的无机物、废品垃圾尽量回收利用，有机垃圾以焚烧为主。</w:t>
                  </w:r>
                </w:p>
              </w:tc>
              <w:tc>
                <w:tcPr>
                  <w:tcW w:w="2200" w:type="dxa"/>
                  <w:noWrap w:val="0"/>
                  <w:tcMar>
                    <w:top w:w="0" w:type="dxa"/>
                    <w:left w:w="0" w:type="dxa"/>
                    <w:bottom w:w="0" w:type="dxa"/>
                    <w:right w:w="0" w:type="dxa"/>
                  </w:tcMar>
                  <w:vAlign w:val="center"/>
                </w:tcPr>
                <w:p w14:paraId="602D2D91">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项目生活垃圾由环卫部门统一清运处置。</w:t>
                  </w:r>
                </w:p>
              </w:tc>
              <w:tc>
                <w:tcPr>
                  <w:tcW w:w="683" w:type="dxa"/>
                  <w:noWrap w:val="0"/>
                  <w:tcMar>
                    <w:top w:w="0" w:type="dxa"/>
                    <w:left w:w="0" w:type="dxa"/>
                    <w:bottom w:w="0" w:type="dxa"/>
                    <w:right w:w="0" w:type="dxa"/>
                  </w:tcMar>
                  <w:vAlign w:val="center"/>
                </w:tcPr>
                <w:p w14:paraId="1B8696B3">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kern w:val="0"/>
                      <w:szCs w:val="21"/>
                    </w:rPr>
                  </w:pPr>
                  <w:r>
                    <w:rPr>
                      <w:color w:val="auto"/>
                      <w:kern w:val="0"/>
                      <w:szCs w:val="21"/>
                    </w:rPr>
                    <w:t>符合</w:t>
                  </w:r>
                </w:p>
              </w:tc>
            </w:tr>
          </w:tbl>
          <w:p w14:paraId="753F199B">
            <w:pPr>
              <w:keepLines/>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宋体"/>
                <w:b w:val="0"/>
                <w:bCs w:val="0"/>
                <w:smallCaps w:val="0"/>
                <w:color w:val="auto"/>
                <w:kern w:val="0"/>
                <w:sz w:val="24"/>
                <w:szCs w:val="24"/>
                <w:highlight w:val="none"/>
                <w:lang w:eastAsia="zh-CN"/>
              </w:rPr>
            </w:pPr>
            <w:r>
              <w:rPr>
                <w:rFonts w:hint="eastAsia" w:cs="宋体"/>
                <w:b w:val="0"/>
                <w:bCs w:val="0"/>
                <w:smallCaps w:val="0"/>
                <w:color w:val="auto"/>
                <w:kern w:val="0"/>
                <w:sz w:val="24"/>
                <w:szCs w:val="24"/>
                <w:highlight w:val="none"/>
                <w:lang w:val="en-US" w:eastAsia="zh-CN"/>
              </w:rPr>
              <w:t>本</w:t>
            </w:r>
            <w:r>
              <w:rPr>
                <w:rFonts w:hint="eastAsia" w:ascii="Times New Roman" w:hAnsi="Times New Roman" w:eastAsia="宋体" w:cs="宋体"/>
                <w:b w:val="0"/>
                <w:bCs w:val="0"/>
                <w:smallCaps w:val="0"/>
                <w:color w:val="auto"/>
                <w:kern w:val="0"/>
                <w:sz w:val="24"/>
                <w:szCs w:val="24"/>
                <w:highlight w:val="none"/>
                <w:lang w:eastAsia="zh-CN"/>
              </w:rPr>
              <w:t>项目选址用地性质为金坛经济开发区规划的工业用地范围内，符合用地规划要求。项目所在地区已采用雨污分流制，项目无生产废水排放，生活污水经已建规范化排放口接管至常州金坛区第二污水处理有限公司处理；生活垃圾由环卫部门统一清运处置。因此项目建设符合《金坛经济开发区发展规划》中相关要求。</w:t>
            </w:r>
          </w:p>
          <w:p w14:paraId="46050957">
            <w:pPr>
              <w:keepLines/>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ascii="Times New Roman" w:hAnsi="Times New Roman" w:eastAsia="宋体"/>
                <w:b/>
                <w:bCs/>
                <w:smallCaps w:val="0"/>
                <w:color w:val="auto"/>
                <w:sz w:val="24"/>
                <w:szCs w:val="32"/>
                <w:highlight w:val="none"/>
              </w:rPr>
            </w:pPr>
            <w:r>
              <w:rPr>
                <w:rFonts w:hint="eastAsia"/>
                <w:b/>
                <w:bCs/>
                <w:smallCaps w:val="0"/>
                <w:color w:val="auto"/>
                <w:sz w:val="24"/>
                <w:szCs w:val="32"/>
                <w:highlight w:val="none"/>
                <w:lang w:val="en-US" w:eastAsia="zh-CN"/>
              </w:rPr>
              <w:t>2</w:t>
            </w:r>
            <w:r>
              <w:rPr>
                <w:rFonts w:hint="eastAsia" w:ascii="Times New Roman" w:hAnsi="Times New Roman" w:eastAsia="宋体"/>
                <w:b/>
                <w:bCs/>
                <w:smallCaps w:val="0"/>
                <w:color w:val="auto"/>
                <w:sz w:val="24"/>
                <w:szCs w:val="32"/>
                <w:highlight w:val="none"/>
                <w:lang w:val="en-US" w:eastAsia="zh-CN"/>
              </w:rPr>
              <w:t>、</w:t>
            </w:r>
            <w:r>
              <w:rPr>
                <w:rFonts w:hint="eastAsia" w:ascii="Times New Roman" w:hAnsi="Times New Roman" w:eastAsia="宋体"/>
                <w:b/>
                <w:bCs/>
                <w:smallCaps w:val="0"/>
                <w:color w:val="auto"/>
                <w:sz w:val="24"/>
                <w:szCs w:val="32"/>
                <w:highlight w:val="none"/>
              </w:rPr>
              <w:t>规划</w:t>
            </w:r>
            <w:r>
              <w:rPr>
                <w:rFonts w:hint="eastAsia" w:ascii="Times New Roman" w:hAnsi="Times New Roman" w:eastAsia="宋体"/>
                <w:b/>
                <w:bCs/>
                <w:smallCaps w:val="0"/>
                <w:color w:val="auto"/>
                <w:sz w:val="24"/>
                <w:szCs w:val="32"/>
                <w:highlight w:val="none"/>
                <w:lang w:val="en-US" w:eastAsia="zh-CN"/>
              </w:rPr>
              <w:t>环境影响评价</w:t>
            </w:r>
            <w:r>
              <w:rPr>
                <w:rFonts w:hint="eastAsia" w:ascii="Times New Roman" w:hAnsi="Times New Roman" w:eastAsia="宋体"/>
                <w:b/>
                <w:bCs/>
                <w:smallCaps w:val="0"/>
                <w:color w:val="auto"/>
                <w:sz w:val="24"/>
                <w:szCs w:val="32"/>
                <w:highlight w:val="none"/>
              </w:rPr>
              <w:t>相符性分析</w:t>
            </w:r>
          </w:p>
          <w:p w14:paraId="7D8AC1A6">
            <w:pPr>
              <w:keepNext/>
              <w:keepLines/>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本项目与《金坛经济开发区发展规划环境影响评价审查意见》相符性分析见下表。</w:t>
            </w:r>
          </w:p>
          <w:p w14:paraId="103E3558">
            <w:pPr>
              <w:pStyle w:val="8"/>
              <w:snapToGrid/>
              <w:spacing w:before="0" w:line="240" w:lineRule="auto"/>
              <w:ind w:firstLine="0"/>
              <w:jc w:val="center"/>
              <w:rPr>
                <w:b/>
                <w:color w:val="auto"/>
                <w:sz w:val="21"/>
                <w:szCs w:val="21"/>
              </w:rPr>
            </w:pPr>
            <w:r>
              <w:rPr>
                <w:b/>
                <w:color w:val="auto"/>
                <w:sz w:val="21"/>
                <w:szCs w:val="21"/>
              </w:rPr>
              <w:t>表1</w:t>
            </w:r>
            <w:r>
              <w:rPr>
                <w:rFonts w:hint="eastAsia"/>
                <w:b/>
                <w:color w:val="auto"/>
                <w:sz w:val="21"/>
                <w:szCs w:val="21"/>
              </w:rPr>
              <w:t>-3</w:t>
            </w:r>
            <w:r>
              <w:rPr>
                <w:b/>
                <w:color w:val="auto"/>
                <w:sz w:val="21"/>
                <w:szCs w:val="21"/>
              </w:rPr>
              <w:t xml:space="preserve"> 本项目与金坛经济开发区发展规划环境影响</w:t>
            </w:r>
            <w:r>
              <w:rPr>
                <w:rFonts w:hint="eastAsia"/>
                <w:b/>
                <w:color w:val="auto"/>
                <w:sz w:val="21"/>
                <w:szCs w:val="21"/>
              </w:rPr>
              <w:t>评价</w:t>
            </w:r>
            <w:r>
              <w:rPr>
                <w:b/>
                <w:color w:val="auto"/>
                <w:sz w:val="21"/>
                <w:szCs w:val="21"/>
              </w:rPr>
              <w:t>审查意见相符性分析一览表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1"/>
              <w:gridCol w:w="2761"/>
              <w:gridCol w:w="2916"/>
              <w:gridCol w:w="615"/>
            </w:tblGrid>
            <w:tr w14:paraId="049EB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14EDA6EA">
                  <w:pPr>
                    <w:keepNext w:val="0"/>
                    <w:keepLines w:val="0"/>
                    <w:pageBreakBefore w:val="0"/>
                    <w:widowControl w:val="0"/>
                    <w:kinsoku/>
                    <w:wordWrap/>
                    <w:overflowPunct/>
                    <w:topLinePunct w:val="0"/>
                    <w:bidi w:val="0"/>
                    <w:spacing w:line="240" w:lineRule="exact"/>
                    <w:jc w:val="center"/>
                    <w:textAlignment w:val="auto"/>
                    <w:rPr>
                      <w:b/>
                      <w:color w:val="auto"/>
                      <w:sz w:val="21"/>
                      <w:szCs w:val="21"/>
                    </w:rPr>
                  </w:pPr>
                  <w:r>
                    <w:rPr>
                      <w:b/>
                      <w:color w:val="auto"/>
                      <w:sz w:val="21"/>
                      <w:szCs w:val="21"/>
                    </w:rPr>
                    <w:t>序号</w:t>
                  </w:r>
                </w:p>
              </w:tc>
              <w:tc>
                <w:tcPr>
                  <w:tcW w:w="2062" w:type="pct"/>
                  <w:noWrap w:val="0"/>
                  <w:tcMar>
                    <w:top w:w="0" w:type="dxa"/>
                    <w:left w:w="0" w:type="dxa"/>
                    <w:bottom w:w="0" w:type="dxa"/>
                    <w:right w:w="0" w:type="dxa"/>
                  </w:tcMar>
                  <w:vAlign w:val="center"/>
                </w:tcPr>
                <w:p w14:paraId="5BA32A2A">
                  <w:pPr>
                    <w:keepNext w:val="0"/>
                    <w:keepLines w:val="0"/>
                    <w:pageBreakBefore w:val="0"/>
                    <w:widowControl w:val="0"/>
                    <w:kinsoku/>
                    <w:wordWrap/>
                    <w:overflowPunct/>
                    <w:topLinePunct w:val="0"/>
                    <w:bidi w:val="0"/>
                    <w:spacing w:line="240" w:lineRule="exact"/>
                    <w:jc w:val="center"/>
                    <w:textAlignment w:val="auto"/>
                    <w:rPr>
                      <w:b/>
                      <w:color w:val="auto"/>
                      <w:sz w:val="21"/>
                      <w:szCs w:val="21"/>
                    </w:rPr>
                  </w:pPr>
                  <w:r>
                    <w:rPr>
                      <w:b/>
                      <w:color w:val="auto"/>
                      <w:sz w:val="21"/>
                      <w:szCs w:val="21"/>
                    </w:rPr>
                    <w:t>审查意见要求</w:t>
                  </w:r>
                </w:p>
              </w:tc>
              <w:tc>
                <w:tcPr>
                  <w:tcW w:w="2178" w:type="pct"/>
                  <w:noWrap w:val="0"/>
                  <w:tcMar>
                    <w:top w:w="0" w:type="dxa"/>
                    <w:left w:w="0" w:type="dxa"/>
                    <w:bottom w:w="0" w:type="dxa"/>
                    <w:right w:w="0" w:type="dxa"/>
                  </w:tcMar>
                  <w:vAlign w:val="center"/>
                </w:tcPr>
                <w:p w14:paraId="59DFDAC7">
                  <w:pPr>
                    <w:keepNext w:val="0"/>
                    <w:keepLines w:val="0"/>
                    <w:pageBreakBefore w:val="0"/>
                    <w:widowControl w:val="0"/>
                    <w:kinsoku/>
                    <w:wordWrap/>
                    <w:overflowPunct/>
                    <w:topLinePunct w:val="0"/>
                    <w:bidi w:val="0"/>
                    <w:spacing w:line="240" w:lineRule="exact"/>
                    <w:jc w:val="center"/>
                    <w:textAlignment w:val="auto"/>
                    <w:rPr>
                      <w:b/>
                      <w:color w:val="auto"/>
                      <w:sz w:val="21"/>
                      <w:szCs w:val="21"/>
                    </w:rPr>
                  </w:pPr>
                  <w:r>
                    <w:rPr>
                      <w:b/>
                      <w:color w:val="auto"/>
                      <w:sz w:val="21"/>
                      <w:szCs w:val="21"/>
                    </w:rPr>
                    <w:t>本项目</w:t>
                  </w:r>
                </w:p>
              </w:tc>
              <w:tc>
                <w:tcPr>
                  <w:tcW w:w="459" w:type="pct"/>
                  <w:noWrap w:val="0"/>
                  <w:tcMar>
                    <w:top w:w="0" w:type="dxa"/>
                    <w:left w:w="0" w:type="dxa"/>
                    <w:bottom w:w="0" w:type="dxa"/>
                    <w:right w:w="0" w:type="dxa"/>
                  </w:tcMar>
                  <w:vAlign w:val="center"/>
                </w:tcPr>
                <w:p w14:paraId="211734A4">
                  <w:pPr>
                    <w:keepNext w:val="0"/>
                    <w:keepLines w:val="0"/>
                    <w:pageBreakBefore w:val="0"/>
                    <w:widowControl w:val="0"/>
                    <w:kinsoku/>
                    <w:wordWrap/>
                    <w:overflowPunct/>
                    <w:topLinePunct w:val="0"/>
                    <w:bidi w:val="0"/>
                    <w:spacing w:line="240" w:lineRule="exact"/>
                    <w:jc w:val="center"/>
                    <w:textAlignment w:val="auto"/>
                    <w:rPr>
                      <w:b/>
                      <w:color w:val="auto"/>
                      <w:sz w:val="21"/>
                      <w:szCs w:val="21"/>
                    </w:rPr>
                  </w:pPr>
                  <w:r>
                    <w:rPr>
                      <w:b/>
                      <w:color w:val="auto"/>
                      <w:sz w:val="21"/>
                      <w:szCs w:val="21"/>
                    </w:rPr>
                    <w:t>相符性</w:t>
                  </w:r>
                </w:p>
              </w:tc>
            </w:tr>
            <w:tr w14:paraId="0636A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7DEE5989">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1</w:t>
                  </w:r>
                </w:p>
              </w:tc>
              <w:tc>
                <w:tcPr>
                  <w:tcW w:w="2062" w:type="pct"/>
                  <w:noWrap w:val="0"/>
                  <w:tcMar>
                    <w:top w:w="0" w:type="dxa"/>
                    <w:left w:w="0" w:type="dxa"/>
                    <w:bottom w:w="0" w:type="dxa"/>
                    <w:right w:w="0" w:type="dxa"/>
                  </w:tcMar>
                  <w:vAlign w:val="center"/>
                </w:tcPr>
                <w:p w14:paraId="120DFBA8">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规划期：2013-2030年，其中，近期为2013-2018年，远期为2019-2030年，远景为2030年以后。</w:t>
                  </w:r>
                </w:p>
              </w:tc>
              <w:tc>
                <w:tcPr>
                  <w:tcW w:w="2178" w:type="pct"/>
                  <w:noWrap w:val="0"/>
                  <w:tcMar>
                    <w:top w:w="0" w:type="dxa"/>
                    <w:left w:w="0" w:type="dxa"/>
                    <w:bottom w:w="0" w:type="dxa"/>
                    <w:right w:w="0" w:type="dxa"/>
                  </w:tcMar>
                  <w:vAlign w:val="center"/>
                </w:tcPr>
                <w:p w14:paraId="0A9C7E57">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本项目在规划期远期内。</w:t>
                  </w:r>
                </w:p>
              </w:tc>
              <w:tc>
                <w:tcPr>
                  <w:tcW w:w="459" w:type="pct"/>
                  <w:noWrap w:val="0"/>
                  <w:tcMar>
                    <w:top w:w="0" w:type="dxa"/>
                    <w:left w:w="0" w:type="dxa"/>
                    <w:bottom w:w="0" w:type="dxa"/>
                    <w:right w:w="0" w:type="dxa"/>
                  </w:tcMar>
                  <w:vAlign w:val="center"/>
                </w:tcPr>
                <w:p w14:paraId="4DE74318">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60A1F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37279F3B">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2</w:t>
                  </w:r>
                </w:p>
              </w:tc>
              <w:tc>
                <w:tcPr>
                  <w:tcW w:w="2062" w:type="pct"/>
                  <w:noWrap w:val="0"/>
                  <w:tcMar>
                    <w:top w:w="0" w:type="dxa"/>
                    <w:left w:w="0" w:type="dxa"/>
                    <w:bottom w:w="0" w:type="dxa"/>
                    <w:right w:w="0" w:type="dxa"/>
                  </w:tcMar>
                  <w:vAlign w:val="center"/>
                </w:tcPr>
                <w:p w14:paraId="5EA4C8EE">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空间布局：规划形成两条轴线、两个片区（新镇）中心和四大功能区的规划结构，其中四大功能区为华罗康科技园区、生态居住区、传统产业园区（产业北区）和创新型产业园区（产业南区）。产业定位：纺织服装、机械电子、高端装备制造、盐化工、新能源、新材料、节能环保、新医药、研发服务。盐化工区产业定位为盐化工及其延伸产品、化工新材料。</w:t>
                  </w:r>
                </w:p>
              </w:tc>
              <w:tc>
                <w:tcPr>
                  <w:tcW w:w="2178" w:type="pct"/>
                  <w:noWrap w:val="0"/>
                  <w:tcMar>
                    <w:top w:w="0" w:type="dxa"/>
                    <w:left w:w="0" w:type="dxa"/>
                    <w:bottom w:w="0" w:type="dxa"/>
                    <w:right w:w="0" w:type="dxa"/>
                  </w:tcMar>
                  <w:vAlign w:val="center"/>
                </w:tcPr>
                <w:p w14:paraId="74712699">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kern w:val="0"/>
                      <w:sz w:val="21"/>
                      <w:szCs w:val="21"/>
                    </w:rPr>
                    <w:t>项目建</w:t>
                  </w:r>
                  <w:r>
                    <w:rPr>
                      <w:color w:val="auto"/>
                      <w:sz w:val="21"/>
                      <w:szCs w:val="21"/>
                    </w:rPr>
                    <w:t>设地位于</w:t>
                  </w:r>
                  <w:r>
                    <w:rPr>
                      <w:rFonts w:hint="eastAsia"/>
                      <w:color w:val="auto"/>
                      <w:sz w:val="21"/>
                      <w:szCs w:val="21"/>
                    </w:rPr>
                    <w:t>江苏省常州市金坛区河山环路26号</w:t>
                  </w:r>
                  <w:r>
                    <w:rPr>
                      <w:color w:val="auto"/>
                      <w:sz w:val="21"/>
                      <w:szCs w:val="21"/>
                    </w:rPr>
                    <w:t>，位于传统产业园区内</w:t>
                  </w:r>
                  <w:r>
                    <w:rPr>
                      <w:rFonts w:hint="eastAsia"/>
                      <w:color w:val="auto"/>
                      <w:sz w:val="21"/>
                      <w:szCs w:val="21"/>
                    </w:rPr>
                    <w:t>；</w:t>
                  </w:r>
                  <w:r>
                    <w:rPr>
                      <w:color w:val="auto"/>
                      <w:sz w:val="21"/>
                      <w:szCs w:val="21"/>
                    </w:rPr>
                    <w:t>行业类别为</w:t>
                  </w:r>
                  <w:r>
                    <w:rPr>
                      <w:rFonts w:hint="eastAsia" w:ascii="Times New Roman" w:hAnsi="Times New Roman" w:eastAsia="宋体" w:cs="宋体"/>
                      <w:color w:val="auto"/>
                      <w:sz w:val="21"/>
                      <w:szCs w:val="21"/>
                      <w:highlight w:val="none"/>
                    </w:rPr>
                    <w:t>C3392有色金属铸造</w:t>
                  </w:r>
                  <w:r>
                    <w:rPr>
                      <w:rFonts w:hint="eastAsia"/>
                      <w:color w:val="auto"/>
                      <w:kern w:val="0"/>
                      <w:sz w:val="21"/>
                      <w:szCs w:val="21"/>
                    </w:rPr>
                    <w:t>，</w:t>
                  </w:r>
                  <w:r>
                    <w:rPr>
                      <w:rFonts w:hint="eastAsia"/>
                      <w:color w:val="auto"/>
                      <w:kern w:val="0"/>
                      <w:sz w:val="21"/>
                      <w:szCs w:val="21"/>
                      <w:lang w:val="en-US" w:eastAsia="zh-CN"/>
                    </w:rPr>
                    <w:t>配套新能源产业链，</w:t>
                  </w:r>
                  <w:r>
                    <w:rPr>
                      <w:rFonts w:hint="eastAsia"/>
                      <w:color w:val="auto"/>
                      <w:kern w:val="0"/>
                      <w:sz w:val="21"/>
                      <w:szCs w:val="21"/>
                    </w:rPr>
                    <w:t>属于</w:t>
                  </w:r>
                  <w:r>
                    <w:rPr>
                      <w:rFonts w:hint="eastAsia"/>
                      <w:color w:val="auto"/>
                      <w:sz w:val="21"/>
                      <w:szCs w:val="21"/>
                    </w:rPr>
                    <w:t>高端装备制造</w:t>
                  </w:r>
                  <w:r>
                    <w:rPr>
                      <w:rFonts w:hint="eastAsia"/>
                      <w:color w:val="auto"/>
                      <w:kern w:val="0"/>
                      <w:sz w:val="21"/>
                      <w:szCs w:val="21"/>
                    </w:rPr>
                    <w:t>，</w:t>
                  </w:r>
                  <w:r>
                    <w:rPr>
                      <w:color w:val="auto"/>
                      <w:kern w:val="0"/>
                      <w:sz w:val="21"/>
                      <w:szCs w:val="21"/>
                    </w:rPr>
                    <w:t>符合传统产业园区产业定位</w:t>
                  </w:r>
                  <w:r>
                    <w:rPr>
                      <w:rFonts w:hint="eastAsia"/>
                      <w:color w:val="auto"/>
                      <w:kern w:val="0"/>
                      <w:sz w:val="21"/>
                      <w:szCs w:val="21"/>
                    </w:rPr>
                    <w:t>。</w:t>
                  </w:r>
                </w:p>
              </w:tc>
              <w:tc>
                <w:tcPr>
                  <w:tcW w:w="459" w:type="pct"/>
                  <w:noWrap w:val="0"/>
                  <w:tcMar>
                    <w:top w:w="0" w:type="dxa"/>
                    <w:left w:w="0" w:type="dxa"/>
                    <w:bottom w:w="0" w:type="dxa"/>
                    <w:right w:w="0" w:type="dxa"/>
                  </w:tcMar>
                  <w:vAlign w:val="center"/>
                </w:tcPr>
                <w:p w14:paraId="0FF33D0C">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703BB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7758F0DE">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3</w:t>
                  </w:r>
                </w:p>
              </w:tc>
              <w:tc>
                <w:tcPr>
                  <w:tcW w:w="2062" w:type="pct"/>
                  <w:noWrap w:val="0"/>
                  <w:tcMar>
                    <w:top w:w="0" w:type="dxa"/>
                    <w:left w:w="0" w:type="dxa"/>
                    <w:bottom w:w="0" w:type="dxa"/>
                    <w:right w:w="0" w:type="dxa"/>
                  </w:tcMar>
                  <w:vAlign w:val="center"/>
                </w:tcPr>
                <w:p w14:paraId="05A77166">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开发区应引进科技含量高、产品附加值高、无污染或程度低的项目，其生产工艺、装备水平污染治理技术，以及单位产品能耗、物耗、污染物排放和资源利用率均须达到同行业国际先进水平，至少是国内先进水平。</w:t>
                  </w:r>
                </w:p>
              </w:tc>
              <w:tc>
                <w:tcPr>
                  <w:tcW w:w="2178" w:type="pct"/>
                  <w:noWrap w:val="0"/>
                  <w:tcMar>
                    <w:top w:w="0" w:type="dxa"/>
                    <w:left w:w="0" w:type="dxa"/>
                    <w:bottom w:w="0" w:type="dxa"/>
                    <w:right w:w="0" w:type="dxa"/>
                  </w:tcMar>
                  <w:vAlign w:val="center"/>
                </w:tcPr>
                <w:p w14:paraId="42846332">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本项目产品为</w:t>
                  </w:r>
                  <w:r>
                    <w:rPr>
                      <w:rFonts w:hint="eastAsia"/>
                      <w:color w:val="auto"/>
                      <w:sz w:val="21"/>
                      <w:szCs w:val="21"/>
                    </w:rPr>
                    <w:t>电机壳体配套压铸件</w:t>
                  </w:r>
                  <w:r>
                    <w:rPr>
                      <w:rFonts w:hint="eastAsia"/>
                      <w:color w:val="auto"/>
                      <w:sz w:val="21"/>
                      <w:szCs w:val="21"/>
                      <w:lang w:eastAsia="zh-CN"/>
                    </w:rPr>
                    <w:t>、新能源光伏配套压铸件、氢能源汽车配套压铸件</w:t>
                  </w:r>
                  <w:r>
                    <w:rPr>
                      <w:rFonts w:hint="eastAsia"/>
                      <w:color w:val="auto"/>
                      <w:sz w:val="21"/>
                      <w:szCs w:val="21"/>
                      <w:lang w:val="en-US" w:eastAsia="zh-CN"/>
                    </w:rPr>
                    <w:t>及医疗器械配套压铸件</w:t>
                  </w:r>
                  <w:r>
                    <w:rPr>
                      <w:color w:val="auto"/>
                      <w:sz w:val="21"/>
                      <w:szCs w:val="21"/>
                    </w:rPr>
                    <w:t>，污染物经处理后</w:t>
                  </w:r>
                  <w:r>
                    <w:rPr>
                      <w:rFonts w:hint="eastAsia"/>
                      <w:color w:val="auto"/>
                      <w:sz w:val="21"/>
                      <w:szCs w:val="21"/>
                    </w:rPr>
                    <w:t>达标</w:t>
                  </w:r>
                  <w:r>
                    <w:rPr>
                      <w:color w:val="auto"/>
                      <w:sz w:val="21"/>
                      <w:szCs w:val="21"/>
                    </w:rPr>
                    <w:t>排放</w:t>
                  </w:r>
                  <w:r>
                    <w:rPr>
                      <w:rFonts w:hint="eastAsia"/>
                      <w:color w:val="auto"/>
                      <w:sz w:val="21"/>
                      <w:szCs w:val="21"/>
                    </w:rPr>
                    <w:t>，污染物排放量较低；</w:t>
                  </w:r>
                  <w:r>
                    <w:rPr>
                      <w:color w:val="auto"/>
                      <w:sz w:val="21"/>
                      <w:szCs w:val="21"/>
                    </w:rPr>
                    <w:t>根据建设单位提供的资料，本项目投产后年产值约</w:t>
                  </w:r>
                  <w:r>
                    <w:rPr>
                      <w:rFonts w:hint="eastAsia"/>
                      <w:color w:val="auto"/>
                      <w:sz w:val="21"/>
                      <w:szCs w:val="21"/>
                      <w:lang w:val="en-US" w:eastAsia="zh-CN"/>
                    </w:rPr>
                    <w:t>8</w:t>
                  </w:r>
                  <w:r>
                    <w:rPr>
                      <w:rFonts w:hint="eastAsia"/>
                      <w:color w:val="auto"/>
                      <w:sz w:val="21"/>
                      <w:szCs w:val="21"/>
                    </w:rPr>
                    <w:t>000</w:t>
                  </w:r>
                  <w:r>
                    <w:rPr>
                      <w:color w:val="auto"/>
                      <w:sz w:val="21"/>
                      <w:szCs w:val="21"/>
                    </w:rPr>
                    <w:t>万元。经计算，本项目GDP水耗为</w:t>
                  </w:r>
                  <w:r>
                    <w:rPr>
                      <w:rFonts w:hint="eastAsia"/>
                      <w:color w:val="auto"/>
                      <w:sz w:val="21"/>
                      <w:szCs w:val="21"/>
                      <w:lang w:val="en-US" w:eastAsia="zh-CN"/>
                    </w:rPr>
                    <w:t>0</w:t>
                  </w:r>
                  <w:r>
                    <w:rPr>
                      <w:rFonts w:hint="eastAsia"/>
                      <w:color w:val="auto"/>
                      <w:sz w:val="21"/>
                      <w:szCs w:val="21"/>
                    </w:rPr>
                    <w:t>.</w:t>
                  </w:r>
                  <w:r>
                    <w:rPr>
                      <w:rFonts w:hint="eastAsia"/>
                      <w:color w:val="auto"/>
                      <w:sz w:val="21"/>
                      <w:szCs w:val="21"/>
                      <w:lang w:val="en-US" w:eastAsia="zh-CN"/>
                    </w:rPr>
                    <w:t>1</w:t>
                  </w:r>
                  <w:r>
                    <w:rPr>
                      <w:rFonts w:hint="eastAsia"/>
                      <w:color w:val="auto"/>
                      <w:sz w:val="21"/>
                      <w:szCs w:val="21"/>
                    </w:rPr>
                    <w:t>7</w:t>
                  </w:r>
                  <w:r>
                    <w:rPr>
                      <w:color w:val="auto"/>
                      <w:sz w:val="21"/>
                      <w:szCs w:val="21"/>
                    </w:rPr>
                    <w:t>m</w:t>
                  </w:r>
                  <w:r>
                    <w:rPr>
                      <w:color w:val="auto"/>
                      <w:sz w:val="21"/>
                      <w:szCs w:val="21"/>
                      <w:vertAlign w:val="superscript"/>
                    </w:rPr>
                    <w:t>3</w:t>
                  </w:r>
                  <w:r>
                    <w:rPr>
                      <w:color w:val="auto"/>
                      <w:sz w:val="21"/>
                      <w:szCs w:val="21"/>
                    </w:rPr>
                    <w:t>/万元，GDP能耗为</w:t>
                  </w:r>
                  <w:r>
                    <w:rPr>
                      <w:rFonts w:hint="eastAsia"/>
                      <w:color w:val="auto"/>
                      <w:sz w:val="21"/>
                      <w:szCs w:val="21"/>
                    </w:rPr>
                    <w:t>0.079</w:t>
                  </w:r>
                  <w:r>
                    <w:rPr>
                      <w:color w:val="auto"/>
                      <w:sz w:val="21"/>
                      <w:szCs w:val="21"/>
                    </w:rPr>
                    <w:t>吨标准煤/万元，均低于《金坛经济开发区发展规划环境影响报告书》中的设计值（参考2030年），即单位GDP水耗为6m</w:t>
                  </w:r>
                  <w:r>
                    <w:rPr>
                      <w:color w:val="auto"/>
                      <w:sz w:val="21"/>
                      <w:szCs w:val="21"/>
                      <w:vertAlign w:val="superscript"/>
                    </w:rPr>
                    <w:t>3</w:t>
                  </w:r>
                  <w:r>
                    <w:rPr>
                      <w:color w:val="auto"/>
                      <w:sz w:val="21"/>
                      <w:szCs w:val="21"/>
                    </w:rPr>
                    <w:t>/万元，单位GDP能耗≤0.25吨标准煤/万元，满足开发区的资源指标要求。</w:t>
                  </w:r>
                </w:p>
              </w:tc>
              <w:tc>
                <w:tcPr>
                  <w:tcW w:w="459" w:type="pct"/>
                  <w:noWrap w:val="0"/>
                  <w:tcMar>
                    <w:top w:w="0" w:type="dxa"/>
                    <w:left w:w="0" w:type="dxa"/>
                    <w:bottom w:w="0" w:type="dxa"/>
                    <w:right w:w="0" w:type="dxa"/>
                  </w:tcMar>
                  <w:vAlign w:val="center"/>
                </w:tcPr>
                <w:p w14:paraId="6417D51F">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41E73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5F7930FD">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4</w:t>
                  </w:r>
                </w:p>
              </w:tc>
              <w:tc>
                <w:tcPr>
                  <w:tcW w:w="2062" w:type="pct"/>
                  <w:noWrap w:val="0"/>
                  <w:tcMar>
                    <w:top w:w="0" w:type="dxa"/>
                    <w:left w:w="0" w:type="dxa"/>
                    <w:bottom w:w="0" w:type="dxa"/>
                    <w:right w:w="0" w:type="dxa"/>
                  </w:tcMar>
                  <w:vAlign w:val="center"/>
                </w:tcPr>
                <w:p w14:paraId="5C5CDA80">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bCs/>
                      <w:color w:val="auto"/>
                      <w:kern w:val="0"/>
                      <w:sz w:val="21"/>
                      <w:szCs w:val="21"/>
                    </w:rPr>
                    <w:t>机械装备、电子行业禁止引进电镀、表面处理类项目，化工行业禁止引进与盐化工及下游产品生产不相关的化工项目、农药项目，新材料禁止引进太阳能电池切片、钢铁等传统型金属材料、水泥等传统型非金属材料的生产项目，纺织禁止引进废水排放量较大的纯印染和纯染整类企业和项目。在园区大气中HC</w:t>
                  </w:r>
                  <w:r>
                    <w:rPr>
                      <w:rFonts w:hint="eastAsia"/>
                      <w:bCs/>
                      <w:color w:val="auto"/>
                      <w:kern w:val="0"/>
                      <w:sz w:val="21"/>
                      <w:szCs w:val="21"/>
                      <w:lang w:val="en-US" w:eastAsia="zh-CN"/>
                    </w:rPr>
                    <w:t>l</w:t>
                  </w:r>
                  <w:r>
                    <w:rPr>
                      <w:rFonts w:hint="eastAsia"/>
                      <w:bCs/>
                      <w:color w:val="auto"/>
                      <w:kern w:val="0"/>
                      <w:sz w:val="21"/>
                      <w:szCs w:val="21"/>
                    </w:rPr>
                    <w:t>稳定达标前禁止引进排放大气</w:t>
                  </w:r>
                  <w:r>
                    <w:rPr>
                      <w:rFonts w:hint="eastAsia"/>
                      <w:color w:val="auto"/>
                      <w:kern w:val="0"/>
                      <w:sz w:val="21"/>
                      <w:szCs w:val="21"/>
                    </w:rPr>
                    <w:t>污染物HCl的企业和项目。</w:t>
                  </w:r>
                </w:p>
              </w:tc>
              <w:tc>
                <w:tcPr>
                  <w:tcW w:w="2178" w:type="pct"/>
                  <w:noWrap w:val="0"/>
                  <w:tcMar>
                    <w:top w:w="0" w:type="dxa"/>
                    <w:left w:w="0" w:type="dxa"/>
                    <w:bottom w:w="0" w:type="dxa"/>
                    <w:right w:w="0" w:type="dxa"/>
                  </w:tcMar>
                  <w:vAlign w:val="center"/>
                </w:tcPr>
                <w:p w14:paraId="07F490F9">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pacing w:val="-6"/>
                      <w:kern w:val="0"/>
                      <w:sz w:val="21"/>
                      <w:szCs w:val="21"/>
                      <w:lang w:val="en-US" w:eastAsia="zh-CN"/>
                    </w:rPr>
                    <w:t>本项目不涉及HCl产生及排放</w:t>
                  </w:r>
                </w:p>
              </w:tc>
              <w:tc>
                <w:tcPr>
                  <w:tcW w:w="459" w:type="pct"/>
                  <w:noWrap w:val="0"/>
                  <w:tcMar>
                    <w:top w:w="0" w:type="dxa"/>
                    <w:left w:w="0" w:type="dxa"/>
                    <w:bottom w:w="0" w:type="dxa"/>
                    <w:right w:w="0" w:type="dxa"/>
                  </w:tcMar>
                  <w:vAlign w:val="center"/>
                </w:tcPr>
                <w:p w14:paraId="1DECD168">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3F0F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7C797455">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5</w:t>
                  </w:r>
                </w:p>
              </w:tc>
              <w:tc>
                <w:tcPr>
                  <w:tcW w:w="2062" w:type="pct"/>
                  <w:noWrap w:val="0"/>
                  <w:tcMar>
                    <w:top w:w="0" w:type="dxa"/>
                    <w:left w:w="0" w:type="dxa"/>
                    <w:bottom w:w="0" w:type="dxa"/>
                    <w:right w:w="0" w:type="dxa"/>
                  </w:tcMar>
                  <w:vAlign w:val="center"/>
                </w:tcPr>
                <w:p w14:paraId="4412E7EB">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加强区域大气环境保护，强化恶臭、VOCs等特征污染物的控制与治理，严格控制SO</w:t>
                  </w:r>
                  <w:r>
                    <w:rPr>
                      <w:color w:val="auto"/>
                      <w:sz w:val="21"/>
                      <w:szCs w:val="21"/>
                      <w:vertAlign w:val="subscript"/>
                    </w:rPr>
                    <w:t>2</w:t>
                  </w:r>
                  <w:r>
                    <w:rPr>
                      <w:color w:val="auto"/>
                      <w:sz w:val="21"/>
                      <w:szCs w:val="21"/>
                    </w:rPr>
                    <w:t>、NOx、VOCs等大气污染物排放总量，确保重点区域大气环境质量如期改善与稳定达标。</w:t>
                  </w:r>
                </w:p>
              </w:tc>
              <w:tc>
                <w:tcPr>
                  <w:tcW w:w="2178" w:type="pct"/>
                  <w:noWrap w:val="0"/>
                  <w:tcMar>
                    <w:top w:w="0" w:type="dxa"/>
                    <w:left w:w="0" w:type="dxa"/>
                    <w:bottom w:w="0" w:type="dxa"/>
                    <w:right w:w="0" w:type="dxa"/>
                  </w:tcMar>
                  <w:vAlign w:val="center"/>
                </w:tcPr>
                <w:p w14:paraId="5218F31D">
                  <w:pPr>
                    <w:pStyle w:val="6"/>
                    <w:keepNext w:val="0"/>
                    <w:keepLines w:val="0"/>
                    <w:pageBreakBefore w:val="0"/>
                    <w:widowControl w:val="0"/>
                    <w:kinsoku/>
                    <w:wordWrap/>
                    <w:overflowPunct/>
                    <w:topLinePunct w:val="0"/>
                    <w:bidi w:val="0"/>
                    <w:spacing w:line="240" w:lineRule="exact"/>
                    <w:jc w:val="center"/>
                    <w:textAlignment w:val="auto"/>
                    <w:rPr>
                      <w:color w:val="auto"/>
                      <w:sz w:val="21"/>
                      <w:szCs w:val="21"/>
                    </w:rPr>
                  </w:pPr>
                  <w:r>
                    <w:rPr>
                      <w:rFonts w:hint="eastAsia"/>
                      <w:color w:val="auto"/>
                      <w:sz w:val="21"/>
                      <w:szCs w:val="21"/>
                    </w:rPr>
                    <w:t>项目废气均收集处理后排放，废气经处理后均可达标排放，</w:t>
                  </w:r>
                  <w:r>
                    <w:rPr>
                      <w:color w:val="auto"/>
                      <w:sz w:val="21"/>
                      <w:szCs w:val="21"/>
                    </w:rPr>
                    <w:t>对大气环境影响较小</w:t>
                  </w:r>
                  <w:r>
                    <w:rPr>
                      <w:rFonts w:hint="eastAsia"/>
                      <w:color w:val="auto"/>
                      <w:sz w:val="21"/>
                      <w:szCs w:val="21"/>
                    </w:rPr>
                    <w:t>，</w:t>
                  </w:r>
                  <w:r>
                    <w:rPr>
                      <w:color w:val="auto"/>
                      <w:sz w:val="21"/>
                      <w:szCs w:val="21"/>
                    </w:rPr>
                    <w:t>不会对区域大气环境质量造成明显。</w:t>
                  </w:r>
                </w:p>
              </w:tc>
              <w:tc>
                <w:tcPr>
                  <w:tcW w:w="459" w:type="pct"/>
                  <w:noWrap w:val="0"/>
                  <w:tcMar>
                    <w:top w:w="0" w:type="dxa"/>
                    <w:left w:w="0" w:type="dxa"/>
                    <w:bottom w:w="0" w:type="dxa"/>
                    <w:right w:w="0" w:type="dxa"/>
                  </w:tcMar>
                  <w:vAlign w:val="center"/>
                </w:tcPr>
                <w:p w14:paraId="77711F44">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160E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42456941">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6</w:t>
                  </w:r>
                </w:p>
              </w:tc>
              <w:tc>
                <w:tcPr>
                  <w:tcW w:w="2062" w:type="pct"/>
                  <w:noWrap w:val="0"/>
                  <w:tcMar>
                    <w:top w:w="0" w:type="dxa"/>
                    <w:left w:w="0" w:type="dxa"/>
                    <w:bottom w:w="0" w:type="dxa"/>
                    <w:right w:w="0" w:type="dxa"/>
                  </w:tcMar>
                  <w:vAlign w:val="center"/>
                </w:tcPr>
                <w:p w14:paraId="2E585A47">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与钱资荡生态红线区边界邻近2000米内布置为污染程度低的工业项目。</w:t>
                  </w:r>
                </w:p>
              </w:tc>
              <w:tc>
                <w:tcPr>
                  <w:tcW w:w="2178" w:type="pct"/>
                  <w:noWrap w:val="0"/>
                  <w:tcMar>
                    <w:top w:w="0" w:type="dxa"/>
                    <w:left w:w="0" w:type="dxa"/>
                    <w:bottom w:w="0" w:type="dxa"/>
                    <w:right w:w="0" w:type="dxa"/>
                  </w:tcMar>
                  <w:vAlign w:val="center"/>
                </w:tcPr>
                <w:p w14:paraId="38987A78">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本项目距离钱资荡生态红线区边界</w:t>
                  </w:r>
                  <w:r>
                    <w:rPr>
                      <w:rFonts w:hint="eastAsia"/>
                      <w:color w:val="auto"/>
                      <w:sz w:val="21"/>
                      <w:szCs w:val="21"/>
                      <w:lang w:val="en-US" w:eastAsia="zh-CN"/>
                    </w:rPr>
                    <w:t>6.5km</w:t>
                  </w:r>
                  <w:r>
                    <w:rPr>
                      <w:color w:val="auto"/>
                      <w:sz w:val="21"/>
                      <w:szCs w:val="21"/>
                    </w:rPr>
                    <w:t>，项目排放污染物均得到有效处置，污染物排放总量降为最低，满足环保主管部门指标的要求。项目不涉及重金属排放。</w:t>
                  </w:r>
                  <w:r>
                    <w:rPr>
                      <w:rFonts w:hint="eastAsia"/>
                      <w:color w:val="auto"/>
                      <w:sz w:val="21"/>
                      <w:szCs w:val="21"/>
                    </w:rPr>
                    <w:t>生活</w:t>
                  </w:r>
                  <w:r>
                    <w:rPr>
                      <w:color w:val="auto"/>
                      <w:sz w:val="21"/>
                      <w:szCs w:val="21"/>
                    </w:rPr>
                    <w:t>污水达标排入</w:t>
                  </w:r>
                  <w:r>
                    <w:rPr>
                      <w:rFonts w:hint="eastAsia"/>
                      <w:color w:val="auto"/>
                      <w:sz w:val="21"/>
                      <w:szCs w:val="21"/>
                    </w:rPr>
                    <w:t>常州</w:t>
                  </w:r>
                  <w:r>
                    <w:rPr>
                      <w:color w:val="auto"/>
                      <w:sz w:val="21"/>
                      <w:szCs w:val="21"/>
                    </w:rPr>
                    <w:t>金坛</w:t>
                  </w:r>
                  <w:r>
                    <w:rPr>
                      <w:rFonts w:hint="eastAsia"/>
                      <w:color w:val="auto"/>
                      <w:sz w:val="21"/>
                      <w:szCs w:val="21"/>
                    </w:rPr>
                    <w:t>区</w:t>
                  </w:r>
                  <w:r>
                    <w:rPr>
                      <w:color w:val="auto"/>
                      <w:sz w:val="21"/>
                      <w:szCs w:val="21"/>
                    </w:rPr>
                    <w:t>第二污水处理</w:t>
                  </w:r>
                  <w:r>
                    <w:rPr>
                      <w:rFonts w:hint="eastAsia"/>
                      <w:color w:val="auto"/>
                      <w:sz w:val="21"/>
                      <w:szCs w:val="21"/>
                    </w:rPr>
                    <w:t>有限公司</w:t>
                  </w:r>
                  <w:r>
                    <w:rPr>
                      <w:color w:val="auto"/>
                      <w:sz w:val="21"/>
                      <w:szCs w:val="21"/>
                    </w:rPr>
                    <w:t>。项目属于</w:t>
                  </w:r>
                  <w:r>
                    <w:rPr>
                      <w:rFonts w:hint="eastAsia"/>
                      <w:color w:val="auto"/>
                      <w:sz w:val="21"/>
                      <w:szCs w:val="21"/>
                    </w:rPr>
                    <w:t>“</w:t>
                  </w:r>
                  <w:r>
                    <w:rPr>
                      <w:color w:val="auto"/>
                      <w:sz w:val="21"/>
                      <w:szCs w:val="21"/>
                    </w:rPr>
                    <w:t>污染程度低的工业项目</w:t>
                  </w:r>
                  <w:r>
                    <w:rPr>
                      <w:rFonts w:hint="eastAsia"/>
                      <w:color w:val="auto"/>
                      <w:sz w:val="21"/>
                      <w:szCs w:val="21"/>
                    </w:rPr>
                    <w:t>”</w:t>
                  </w:r>
                  <w:r>
                    <w:rPr>
                      <w:color w:val="auto"/>
                      <w:sz w:val="21"/>
                      <w:szCs w:val="21"/>
                    </w:rPr>
                    <w:t>。</w:t>
                  </w:r>
                </w:p>
              </w:tc>
              <w:tc>
                <w:tcPr>
                  <w:tcW w:w="459" w:type="pct"/>
                  <w:noWrap w:val="0"/>
                  <w:tcMar>
                    <w:top w:w="0" w:type="dxa"/>
                    <w:left w:w="0" w:type="dxa"/>
                    <w:bottom w:w="0" w:type="dxa"/>
                    <w:right w:w="0" w:type="dxa"/>
                  </w:tcMar>
                  <w:vAlign w:val="center"/>
                </w:tcPr>
                <w:p w14:paraId="3E5FAC92">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291C0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59681372">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7</w:t>
                  </w:r>
                </w:p>
              </w:tc>
              <w:tc>
                <w:tcPr>
                  <w:tcW w:w="2062" w:type="pct"/>
                  <w:noWrap w:val="0"/>
                  <w:tcMar>
                    <w:top w:w="0" w:type="dxa"/>
                    <w:left w:w="0" w:type="dxa"/>
                    <w:bottom w:w="0" w:type="dxa"/>
                    <w:right w:w="0" w:type="dxa"/>
                  </w:tcMar>
                  <w:vAlign w:val="center"/>
                </w:tcPr>
                <w:p w14:paraId="057C6DAD">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color w:val="auto"/>
                      <w:sz w:val="21"/>
                      <w:szCs w:val="21"/>
                    </w:rPr>
                    <w:t>加快环保基础设施建设。</w:t>
                  </w:r>
                  <w:r>
                    <w:rPr>
                      <w:rFonts w:hint="eastAsia"/>
                      <w:color w:val="auto"/>
                      <w:sz w:val="21"/>
                      <w:szCs w:val="21"/>
                    </w:rPr>
                    <w:t>园区</w:t>
                  </w:r>
                  <w:r>
                    <w:rPr>
                      <w:color w:val="auto"/>
                      <w:sz w:val="21"/>
                      <w:szCs w:val="21"/>
                    </w:rPr>
                    <w:t>实现雨污分流、清污分流和污水集中处理。加强固体废物的集中处理处置，危险废物交由有资质的单位处置</w:t>
                  </w:r>
                  <w:r>
                    <w:rPr>
                      <w:rFonts w:hint="eastAsia"/>
                      <w:color w:val="auto"/>
                      <w:sz w:val="21"/>
                      <w:szCs w:val="21"/>
                    </w:rPr>
                    <w:t>。</w:t>
                  </w:r>
                </w:p>
              </w:tc>
              <w:tc>
                <w:tcPr>
                  <w:tcW w:w="2178" w:type="pct"/>
                  <w:noWrap w:val="0"/>
                  <w:tcMar>
                    <w:top w:w="0" w:type="dxa"/>
                    <w:left w:w="0" w:type="dxa"/>
                    <w:bottom w:w="0" w:type="dxa"/>
                    <w:right w:w="0" w:type="dxa"/>
                  </w:tcMar>
                  <w:vAlign w:val="center"/>
                </w:tcPr>
                <w:p w14:paraId="7C24A5A2">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本项目</w:t>
                  </w:r>
                  <w:r>
                    <w:rPr>
                      <w:rFonts w:hint="eastAsia"/>
                      <w:color w:val="auto"/>
                      <w:sz w:val="21"/>
                      <w:szCs w:val="21"/>
                    </w:rPr>
                    <w:t>厂区建设过程将进行</w:t>
                  </w:r>
                  <w:r>
                    <w:rPr>
                      <w:color w:val="auto"/>
                      <w:sz w:val="21"/>
                      <w:szCs w:val="21"/>
                    </w:rPr>
                    <w:t>雨污分流，</w:t>
                  </w:r>
                  <w:r>
                    <w:rPr>
                      <w:rFonts w:hint="eastAsia"/>
                      <w:color w:val="auto"/>
                      <w:sz w:val="21"/>
                      <w:szCs w:val="21"/>
                    </w:rPr>
                    <w:t>生活污水接管</w:t>
                  </w:r>
                  <w:r>
                    <w:rPr>
                      <w:color w:val="auto"/>
                      <w:sz w:val="21"/>
                      <w:szCs w:val="21"/>
                    </w:rPr>
                    <w:t>至</w:t>
                  </w:r>
                  <w:r>
                    <w:rPr>
                      <w:rFonts w:hint="eastAsia"/>
                      <w:color w:val="auto"/>
                      <w:sz w:val="21"/>
                      <w:szCs w:val="21"/>
                    </w:rPr>
                    <w:t>常州金坛区第二污水处理有限公司</w:t>
                  </w:r>
                  <w:r>
                    <w:rPr>
                      <w:color w:val="auto"/>
                      <w:sz w:val="21"/>
                      <w:szCs w:val="21"/>
                    </w:rPr>
                    <w:t>集中处理。本项目产生的危险废物定期交由有资质单位处置。</w:t>
                  </w:r>
                </w:p>
              </w:tc>
              <w:tc>
                <w:tcPr>
                  <w:tcW w:w="459" w:type="pct"/>
                  <w:noWrap w:val="0"/>
                  <w:tcMar>
                    <w:top w:w="0" w:type="dxa"/>
                    <w:left w:w="0" w:type="dxa"/>
                    <w:bottom w:w="0" w:type="dxa"/>
                    <w:right w:w="0" w:type="dxa"/>
                  </w:tcMar>
                  <w:vAlign w:val="center"/>
                </w:tcPr>
                <w:p w14:paraId="442CF513">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79E48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47B20972">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8</w:t>
                  </w:r>
                </w:p>
              </w:tc>
              <w:tc>
                <w:tcPr>
                  <w:tcW w:w="2062" w:type="pct"/>
                  <w:noWrap w:val="0"/>
                  <w:tcMar>
                    <w:top w:w="0" w:type="dxa"/>
                    <w:left w:w="0" w:type="dxa"/>
                    <w:bottom w:w="0" w:type="dxa"/>
                    <w:right w:w="0" w:type="dxa"/>
                  </w:tcMar>
                  <w:vAlign w:val="center"/>
                </w:tcPr>
                <w:p w14:paraId="60719C39">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落实《江苏省太湖水污染防治条例》要求，加强太湖流域水环境保护。严格控制COD、氨氮、总磷等污染物排放总量。</w:t>
                  </w:r>
                </w:p>
              </w:tc>
              <w:tc>
                <w:tcPr>
                  <w:tcW w:w="2178" w:type="pct"/>
                  <w:noWrap w:val="0"/>
                  <w:tcMar>
                    <w:top w:w="0" w:type="dxa"/>
                    <w:left w:w="0" w:type="dxa"/>
                    <w:bottom w:w="0" w:type="dxa"/>
                    <w:right w:w="0" w:type="dxa"/>
                  </w:tcMar>
                  <w:vAlign w:val="center"/>
                </w:tcPr>
                <w:p w14:paraId="0A8773AB">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本项目</w:t>
                  </w:r>
                  <w:r>
                    <w:rPr>
                      <w:rFonts w:hint="eastAsia"/>
                      <w:color w:val="auto"/>
                      <w:sz w:val="21"/>
                      <w:szCs w:val="21"/>
                    </w:rPr>
                    <w:t>无生产废水产生及外排，生活污水接管至</w:t>
                  </w:r>
                  <w:r>
                    <w:rPr>
                      <w:rFonts w:hint="eastAsia"/>
                      <w:color w:val="auto"/>
                      <w:kern w:val="0"/>
                      <w:sz w:val="21"/>
                      <w:szCs w:val="21"/>
                    </w:rPr>
                    <w:t>常州金坛区第二污水处理有限公司</w:t>
                  </w:r>
                  <w:r>
                    <w:rPr>
                      <w:rFonts w:hint="eastAsia"/>
                      <w:color w:val="auto"/>
                      <w:sz w:val="21"/>
                      <w:szCs w:val="21"/>
                    </w:rPr>
                    <w:t>处理</w:t>
                  </w:r>
                  <w:r>
                    <w:rPr>
                      <w:color w:val="auto"/>
                      <w:sz w:val="21"/>
                      <w:szCs w:val="21"/>
                    </w:rPr>
                    <w:t>。</w:t>
                  </w:r>
                </w:p>
              </w:tc>
              <w:tc>
                <w:tcPr>
                  <w:tcW w:w="459" w:type="pct"/>
                  <w:noWrap w:val="0"/>
                  <w:tcMar>
                    <w:top w:w="0" w:type="dxa"/>
                    <w:left w:w="0" w:type="dxa"/>
                    <w:bottom w:w="0" w:type="dxa"/>
                    <w:right w:w="0" w:type="dxa"/>
                  </w:tcMar>
                  <w:vAlign w:val="center"/>
                </w:tcPr>
                <w:p w14:paraId="6D250817">
                  <w:pPr>
                    <w:keepNext w:val="0"/>
                    <w:keepLines w:val="0"/>
                    <w:pageBreakBefore w:val="0"/>
                    <w:widowControl w:val="0"/>
                    <w:kinsoku/>
                    <w:wordWrap/>
                    <w:overflowPunct/>
                    <w:topLinePunct w:val="0"/>
                    <w:bidi w:val="0"/>
                    <w:spacing w:line="240" w:lineRule="exact"/>
                    <w:jc w:val="center"/>
                    <w:textAlignment w:val="auto"/>
                    <w:rPr>
                      <w:color w:val="auto"/>
                      <w:sz w:val="21"/>
                      <w:szCs w:val="21"/>
                    </w:rPr>
                  </w:pPr>
                  <w:r>
                    <w:rPr>
                      <w:color w:val="auto"/>
                      <w:sz w:val="21"/>
                      <w:szCs w:val="21"/>
                    </w:rPr>
                    <w:t>相符</w:t>
                  </w:r>
                </w:p>
              </w:tc>
            </w:tr>
            <w:tr w14:paraId="00C61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noWrap w:val="0"/>
                  <w:tcMar>
                    <w:top w:w="0" w:type="dxa"/>
                    <w:left w:w="0" w:type="dxa"/>
                    <w:bottom w:w="0" w:type="dxa"/>
                    <w:right w:w="0" w:type="dxa"/>
                  </w:tcMar>
                  <w:vAlign w:val="center"/>
                </w:tcPr>
                <w:p w14:paraId="7C989E8B">
                  <w:pPr>
                    <w:keepNext w:val="0"/>
                    <w:keepLines w:val="0"/>
                    <w:pageBreakBefore w:val="0"/>
                    <w:widowControl w:val="0"/>
                    <w:kinsoku/>
                    <w:wordWrap/>
                    <w:overflowPunct/>
                    <w:topLinePunct w:val="0"/>
                    <w:bidi w:val="0"/>
                    <w:spacing w:line="240" w:lineRule="exact"/>
                    <w:jc w:val="center"/>
                    <w:textAlignment w:val="auto"/>
                    <w:rPr>
                      <w:rFonts w:hint="eastAsia"/>
                      <w:color w:val="auto"/>
                      <w:sz w:val="21"/>
                      <w:szCs w:val="21"/>
                    </w:rPr>
                  </w:pPr>
                  <w:r>
                    <w:rPr>
                      <w:rFonts w:hint="eastAsia"/>
                      <w:color w:val="auto"/>
                      <w:sz w:val="21"/>
                      <w:szCs w:val="21"/>
                    </w:rPr>
                    <w:t>9</w:t>
                  </w:r>
                </w:p>
              </w:tc>
              <w:tc>
                <w:tcPr>
                  <w:tcW w:w="2062" w:type="pct"/>
                  <w:noWrap w:val="0"/>
                  <w:tcMar>
                    <w:top w:w="0" w:type="dxa"/>
                    <w:left w:w="0" w:type="dxa"/>
                    <w:bottom w:w="0" w:type="dxa"/>
                    <w:right w:w="0" w:type="dxa"/>
                  </w:tcMar>
                  <w:vAlign w:val="center"/>
                </w:tcPr>
                <w:p w14:paraId="5F58301C">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sz w:val="21"/>
                      <w:szCs w:val="21"/>
                    </w:rPr>
                  </w:pPr>
                  <w:r>
                    <w:rPr>
                      <w:rFonts w:hint="eastAsia"/>
                      <w:color w:val="auto"/>
                      <w:kern w:val="0"/>
                      <w:sz w:val="21"/>
                      <w:szCs w:val="21"/>
                    </w:rPr>
                    <w:t>严格控制园区人口规模和用水定额，减少工业企业用水量和污水排放量，严格控制COD、氨氮、总磷等污染物排放总量。</w:t>
                  </w:r>
                </w:p>
              </w:tc>
              <w:tc>
                <w:tcPr>
                  <w:tcW w:w="2178" w:type="pct"/>
                  <w:noWrap w:val="0"/>
                  <w:tcMar>
                    <w:top w:w="0" w:type="dxa"/>
                    <w:left w:w="0" w:type="dxa"/>
                    <w:bottom w:w="0" w:type="dxa"/>
                    <w:right w:w="0" w:type="dxa"/>
                  </w:tcMar>
                  <w:vAlign w:val="center"/>
                </w:tcPr>
                <w:p w14:paraId="622BA119">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sz w:val="21"/>
                      <w:szCs w:val="21"/>
                    </w:rPr>
                  </w:pPr>
                  <w:r>
                    <w:rPr>
                      <w:rFonts w:hint="eastAsia"/>
                      <w:color w:val="auto"/>
                      <w:kern w:val="0"/>
                      <w:sz w:val="21"/>
                      <w:szCs w:val="21"/>
                    </w:rPr>
                    <w:t>项目人口规模较小，仅生活用水。项目无生产废水，产生的生活污水接入市政污水管网，生活污水成分简单污染物浓度较低，进入常州金坛区第二污水处理有限公司集中处理，本项目水污染物排放总量应按要求向常州市金坛生态环境局申请</w:t>
                  </w:r>
                  <w:r>
                    <w:rPr>
                      <w:rFonts w:hint="eastAsia"/>
                      <w:color w:val="auto"/>
                      <w:sz w:val="21"/>
                      <w:szCs w:val="21"/>
                    </w:rPr>
                    <w:t>。</w:t>
                  </w:r>
                </w:p>
              </w:tc>
              <w:tc>
                <w:tcPr>
                  <w:tcW w:w="459" w:type="pct"/>
                  <w:noWrap w:val="0"/>
                  <w:tcMar>
                    <w:top w:w="0" w:type="dxa"/>
                    <w:left w:w="0" w:type="dxa"/>
                    <w:bottom w:w="0" w:type="dxa"/>
                    <w:right w:w="0" w:type="dxa"/>
                  </w:tcMar>
                  <w:vAlign w:val="center"/>
                </w:tcPr>
                <w:p w14:paraId="5CD53562">
                  <w:pPr>
                    <w:keepNext w:val="0"/>
                    <w:keepLines w:val="0"/>
                    <w:pageBreakBefore w:val="0"/>
                    <w:widowControl w:val="0"/>
                    <w:kinsoku/>
                    <w:wordWrap/>
                    <w:overflowPunct/>
                    <w:topLinePunct w:val="0"/>
                    <w:autoSpaceDE w:val="0"/>
                    <w:autoSpaceDN w:val="0"/>
                    <w:bidi w:val="0"/>
                    <w:adjustRightInd w:val="0"/>
                    <w:snapToGrid w:val="0"/>
                    <w:spacing w:line="240" w:lineRule="exact"/>
                    <w:jc w:val="center"/>
                    <w:textAlignment w:val="auto"/>
                    <w:rPr>
                      <w:color w:val="auto"/>
                      <w:sz w:val="21"/>
                      <w:szCs w:val="21"/>
                    </w:rPr>
                  </w:pPr>
                  <w:r>
                    <w:rPr>
                      <w:color w:val="auto"/>
                      <w:sz w:val="21"/>
                      <w:szCs w:val="21"/>
                    </w:rPr>
                    <w:t>相符</w:t>
                  </w:r>
                </w:p>
              </w:tc>
            </w:tr>
          </w:tbl>
          <w:p w14:paraId="6968C6C1">
            <w:pPr>
              <w:keepNext/>
              <w:keepLines/>
              <w:pageBreakBefore w:val="0"/>
              <w:widowControl w:val="0"/>
              <w:kinsoku/>
              <w:wordWrap/>
              <w:overflowPunct/>
              <w:topLinePunct w:val="0"/>
              <w:autoSpaceDE w:val="0"/>
              <w:autoSpaceDN w:val="0"/>
              <w:bidi w:val="0"/>
              <w:adjustRightInd/>
              <w:snapToGrid/>
              <w:spacing w:line="480" w:lineRule="exact"/>
              <w:ind w:firstLine="482" w:firstLineChars="200"/>
              <w:jc w:val="left"/>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本项目位于规划范围内，进行</w:t>
            </w:r>
            <w:r>
              <w:rPr>
                <w:rFonts w:hint="eastAsia" w:cs="Times New Roman"/>
                <w:b/>
                <w:bCs/>
                <w:color w:val="auto"/>
                <w:sz w:val="24"/>
                <w:lang w:val="en-US" w:eastAsia="zh-CN"/>
              </w:rPr>
              <w:t>铝压铸件生产</w:t>
            </w:r>
            <w:r>
              <w:rPr>
                <w:rFonts w:hint="eastAsia" w:ascii="Times New Roman" w:hAnsi="Times New Roman" w:eastAsia="宋体" w:cs="Times New Roman"/>
                <w:b/>
                <w:bCs/>
                <w:color w:val="auto"/>
                <w:sz w:val="24"/>
                <w:lang w:val="en-US" w:eastAsia="zh-CN"/>
              </w:rPr>
              <w:t>制造，不属于污染严重的项目，符合规划环境影响评价要求。</w:t>
            </w:r>
          </w:p>
          <w:p w14:paraId="29E828AB">
            <w:pPr>
              <w:keepLines/>
              <w:pageBreakBefore w:val="0"/>
              <w:widowControl w:val="0"/>
              <w:kinsoku/>
              <w:wordWrap/>
              <w:overflowPunct/>
              <w:topLinePunct w:val="0"/>
              <w:autoSpaceDE w:val="0"/>
              <w:autoSpaceDN w:val="0"/>
              <w:bidi w:val="0"/>
              <w:adjustRightInd w:val="0"/>
              <w:snapToGrid w:val="0"/>
              <w:spacing w:line="480" w:lineRule="exact"/>
              <w:ind w:firstLine="482" w:firstLineChars="200"/>
              <w:jc w:val="left"/>
              <w:textAlignment w:val="auto"/>
              <w:rPr>
                <w:rFonts w:ascii="Times New Roman" w:hAnsi="Times New Roman" w:eastAsia="宋体" w:cs="宋体"/>
                <w:color w:val="auto"/>
                <w:highlight w:val="none"/>
              </w:rPr>
            </w:pPr>
            <w:r>
              <w:rPr>
                <w:rFonts w:hint="eastAsia" w:ascii="Times New Roman" w:hAnsi="Times New Roman" w:eastAsia="宋体" w:cs="宋体"/>
                <w:b/>
                <w:bCs w:val="0"/>
                <w:smallCaps w:val="0"/>
                <w:color w:val="auto"/>
                <w:kern w:val="0"/>
                <w:sz w:val="24"/>
                <w:szCs w:val="24"/>
                <w:highlight w:val="none"/>
                <w:lang w:val="en-US" w:eastAsia="zh-CN"/>
              </w:rPr>
              <w:t>综上，本项目与</w:t>
            </w:r>
            <w:r>
              <w:rPr>
                <w:rFonts w:hint="eastAsia" w:ascii="Times New Roman" w:hAnsi="Times New Roman" w:eastAsia="宋体" w:cs="宋体"/>
                <w:b/>
                <w:bCs w:val="0"/>
                <w:smallCaps w:val="0"/>
                <w:color w:val="auto"/>
                <w:kern w:val="0"/>
                <w:sz w:val="24"/>
                <w:szCs w:val="24"/>
                <w:highlight w:val="none"/>
              </w:rPr>
              <w:t>规划及规划环境影响评价</w:t>
            </w:r>
            <w:r>
              <w:rPr>
                <w:rFonts w:hint="eastAsia" w:ascii="Times New Roman" w:hAnsi="Times New Roman" w:eastAsia="宋体" w:cs="宋体"/>
                <w:b/>
                <w:bCs w:val="0"/>
                <w:smallCaps w:val="0"/>
                <w:color w:val="auto"/>
                <w:kern w:val="0"/>
                <w:sz w:val="24"/>
                <w:szCs w:val="24"/>
                <w:highlight w:val="none"/>
                <w:lang w:val="en-US" w:eastAsia="zh-CN"/>
              </w:rPr>
              <w:t>相关要求相符</w:t>
            </w:r>
            <w:r>
              <w:rPr>
                <w:rFonts w:hint="eastAsia" w:ascii="Times New Roman" w:hAnsi="Times New Roman" w:eastAsia="宋体" w:cs="宋体"/>
                <w:b/>
                <w:color w:val="auto"/>
                <w:kern w:val="0"/>
                <w:sz w:val="24"/>
                <w:highlight w:val="none"/>
              </w:rPr>
              <w:t>。</w:t>
            </w:r>
          </w:p>
        </w:tc>
      </w:tr>
      <w:tr w14:paraId="3CF25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704" w:type="dxa"/>
            <w:vAlign w:val="center"/>
          </w:tcPr>
          <w:p w14:paraId="3A97CCB8">
            <w:pPr>
              <w:autoSpaceDE w:val="0"/>
              <w:autoSpaceDN w:val="0"/>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其他符合性分析</w:t>
            </w:r>
          </w:p>
        </w:tc>
        <w:tc>
          <w:tcPr>
            <w:tcW w:w="8166" w:type="dxa"/>
            <w:gridSpan w:val="5"/>
            <w:vAlign w:val="center"/>
          </w:tcPr>
          <w:p w14:paraId="4AB25116">
            <w:pPr>
              <w:keepNext/>
              <w:keepLines/>
              <w:autoSpaceDE w:val="0"/>
              <w:autoSpaceDN w:val="0"/>
              <w:spacing w:line="360" w:lineRule="auto"/>
              <w:ind w:firstLine="482" w:firstLineChars="200"/>
              <w:jc w:val="left"/>
              <w:rPr>
                <w:rFonts w:ascii="Times New Roman" w:hAnsi="Times New Roman" w:eastAsia="宋体" w:cs="宋体"/>
                <w:b/>
                <w:color w:val="auto"/>
                <w:kern w:val="0"/>
                <w:sz w:val="24"/>
                <w:highlight w:val="none"/>
              </w:rPr>
            </w:pPr>
            <w:r>
              <w:rPr>
                <w:rFonts w:hint="eastAsia" w:ascii="Times New Roman" w:hAnsi="Times New Roman" w:eastAsia="宋体" w:cs="宋体"/>
                <w:b/>
                <w:color w:val="auto"/>
                <w:kern w:val="0"/>
                <w:sz w:val="24"/>
                <w:highlight w:val="none"/>
              </w:rPr>
              <w:t>1、与《常州市国土空间</w:t>
            </w:r>
            <w:r>
              <w:rPr>
                <w:rFonts w:hint="eastAsia" w:cs="宋体"/>
                <w:b/>
                <w:color w:val="auto"/>
                <w:kern w:val="0"/>
                <w:sz w:val="24"/>
                <w:highlight w:val="none"/>
                <w:lang w:val="en-US" w:eastAsia="zh-CN"/>
              </w:rPr>
              <w:t>总体</w:t>
            </w:r>
            <w:r>
              <w:rPr>
                <w:rFonts w:hint="eastAsia" w:ascii="Times New Roman" w:hAnsi="Times New Roman" w:eastAsia="宋体" w:cs="宋体"/>
                <w:b/>
                <w:color w:val="auto"/>
                <w:kern w:val="0"/>
                <w:sz w:val="24"/>
                <w:highlight w:val="none"/>
              </w:rPr>
              <w:t>规划》及“三区三线”成果相符性分析</w:t>
            </w:r>
          </w:p>
          <w:p w14:paraId="2C639F5E">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lang w:eastAsia="zh-CN"/>
              </w:rPr>
            </w:pPr>
            <w:r>
              <w:rPr>
                <w:rFonts w:hint="eastAsia" w:ascii="Times New Roman" w:hAnsi="Times New Roman" w:eastAsia="宋体" w:cs="宋体"/>
                <w:bCs/>
                <w:color w:val="auto"/>
                <w:kern w:val="0"/>
                <w:sz w:val="24"/>
                <w:highlight w:val="none"/>
              </w:rPr>
              <w:t>（1）规划</w:t>
            </w:r>
            <w:r>
              <w:rPr>
                <w:rFonts w:hint="eastAsia" w:cs="宋体"/>
                <w:bCs/>
                <w:color w:val="auto"/>
                <w:kern w:val="0"/>
                <w:sz w:val="24"/>
                <w:highlight w:val="none"/>
                <w:lang w:eastAsia="zh-CN"/>
              </w:rPr>
              <w:t>范围</w:t>
            </w:r>
          </w:p>
          <w:p w14:paraId="784237F8">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规划范围为常州市行政管辖范围，分为市域、市辖区和中心城区三个层次。</w:t>
            </w:r>
          </w:p>
          <w:p w14:paraId="4BDBA624">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市域：常州市行政管辖范围，面积约4372平方公里。</w:t>
            </w:r>
          </w:p>
          <w:p w14:paraId="5C4E483F">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市辖区：包括金坛区、武进区、新北区、天宁区、钟楼区和常州经济开发区，面积约2838平方公里。</w:t>
            </w:r>
          </w:p>
          <w:p w14:paraId="23DEC241">
            <w:pPr>
              <w:keepNext/>
              <w:keepLines/>
              <w:autoSpaceDE w:val="0"/>
              <w:autoSpaceDN w:val="0"/>
              <w:spacing w:line="360" w:lineRule="auto"/>
              <w:ind w:firstLine="480" w:firstLineChars="200"/>
              <w:jc w:val="left"/>
              <w:rPr>
                <w:rFonts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中心城区：市辖区内规划集中建设连绵区，面积约724平方公里。</w:t>
            </w:r>
          </w:p>
          <w:p w14:paraId="534D13B6">
            <w:pPr>
              <w:keepNext/>
              <w:keepLines/>
              <w:autoSpaceDE w:val="0"/>
              <w:autoSpaceDN w:val="0"/>
              <w:spacing w:line="360" w:lineRule="auto"/>
              <w:ind w:firstLine="480" w:firstLineChars="200"/>
              <w:jc w:val="left"/>
              <w:rPr>
                <w:rFonts w:hint="default" w:ascii="Times New Roman" w:hAnsi="Times New Roman" w:eastAsia="宋体" w:cs="宋体"/>
                <w:bCs/>
                <w:color w:val="auto"/>
                <w:kern w:val="0"/>
                <w:sz w:val="24"/>
                <w:highlight w:val="none"/>
                <w:lang w:val="en-US" w:eastAsia="zh-CN"/>
              </w:rPr>
            </w:pPr>
            <w:r>
              <w:rPr>
                <w:rFonts w:hint="eastAsia" w:ascii="Times New Roman" w:hAnsi="Times New Roman" w:eastAsia="宋体" w:cs="宋体"/>
                <w:bCs/>
                <w:color w:val="auto"/>
                <w:kern w:val="0"/>
                <w:sz w:val="24"/>
                <w:highlight w:val="none"/>
              </w:rPr>
              <w:t>（2）</w:t>
            </w:r>
            <w:r>
              <w:rPr>
                <w:rFonts w:hint="eastAsia" w:cs="宋体"/>
                <w:bCs/>
                <w:color w:val="auto"/>
                <w:kern w:val="0"/>
                <w:sz w:val="24"/>
                <w:highlight w:val="none"/>
                <w:lang w:val="en-US" w:eastAsia="zh-CN"/>
              </w:rPr>
              <w:t>发展目标</w:t>
            </w:r>
          </w:p>
          <w:p w14:paraId="542C0553">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2035年：建设交通中轴、创新中轴、产业中轴、生态中轴、文旅中轴，打造社会主义现代化走在前列的标杆城市。</w:t>
            </w:r>
          </w:p>
          <w:p w14:paraId="5F991C11">
            <w:pPr>
              <w:keepNext/>
              <w:keepLines/>
              <w:autoSpaceDE w:val="0"/>
              <w:autoSpaceDN w:val="0"/>
              <w:spacing w:line="360" w:lineRule="auto"/>
              <w:ind w:firstLine="480" w:firstLineChars="200"/>
              <w:jc w:val="left"/>
              <w:rPr>
                <w:rFonts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2050年：在率先实现碳中和愿景上走在前列，建成繁荣文明和谐美丽的中国梦示范城市和先锋城市。</w:t>
            </w:r>
          </w:p>
          <w:p w14:paraId="44BB3336">
            <w:pPr>
              <w:keepNext/>
              <w:keepLines/>
              <w:autoSpaceDE w:val="0"/>
              <w:autoSpaceDN w:val="0"/>
              <w:spacing w:line="360" w:lineRule="auto"/>
              <w:ind w:firstLine="480" w:firstLineChars="200"/>
              <w:jc w:val="left"/>
              <w:rPr>
                <w:rFonts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（3）“三区三线”划定成果</w:t>
            </w:r>
          </w:p>
          <w:p w14:paraId="53B9E929">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cs="宋体"/>
                <w:bCs/>
                <w:color w:val="auto"/>
                <w:kern w:val="0"/>
                <w:sz w:val="24"/>
                <w:highlight w:val="none"/>
                <w:lang w:val="en-US" w:eastAsia="zh-CN"/>
              </w:rPr>
              <w:t>①</w:t>
            </w:r>
            <w:r>
              <w:rPr>
                <w:rFonts w:hint="eastAsia" w:ascii="Times New Roman" w:hAnsi="Times New Roman" w:eastAsia="宋体" w:cs="宋体"/>
                <w:bCs/>
                <w:color w:val="auto"/>
                <w:kern w:val="0"/>
                <w:sz w:val="24"/>
                <w:highlight w:val="none"/>
              </w:rPr>
              <w:t>市域城镇空间结构</w:t>
            </w:r>
          </w:p>
          <w:p w14:paraId="2FAB6769">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一主：常州中心城区。包括金坛、武进、新北、天宁、钟楼、常州经开区的集中建设区，是常州政治、经济、文化中心，城市综合服务职能的主要承载地区。</w:t>
            </w:r>
          </w:p>
          <w:p w14:paraId="3447679D">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一区：两湖创新区。位于滆湖与长荡湖之间，依托优质生态资源，坚持创新核心地位，培育长三角有特色有影响力的高品质区域创新中心。</w:t>
            </w:r>
          </w:p>
          <w:p w14:paraId="38BE34D8">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一极：溧阳发展极。国家两山理论实践与城乡融合发展样板区，长三角生态康养休闲目的地，沪苏浙皖创新动能交汇枢纽，宁杭生态经济带美丽宜居公园城市。</w:t>
            </w:r>
          </w:p>
          <w:p w14:paraId="5AB6117D">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三轴：长三角中轴：是常州城市发展的交通中轴、创新中轴、产业中轴、生态中轴、文旅中轴，以长三角中轴引领城市地位和能级提升，打造长三角中轴枢纽。包括：（东西向）长三角中轴：是融合沪宁城市发展带、大运河文化带形成的复合轴；衔接上海、南京都市圈，深化常金同城发展，完善城市功能，提升科创能力。</w:t>
            </w:r>
          </w:p>
          <w:p w14:paraId="65BFABA4">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（南北向）长三角中轴：是联系北京、杭州和支撑江苏跨江融合发展的主要通道，也是强化城市功能复合发展的主要轴线；推进交通廊道建设，培育区域功能高地，提升城市能级。</w:t>
            </w:r>
          </w:p>
          <w:p w14:paraId="1C40248D">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生态创新轴：常金溧生态创新走廊；高品质生态空间和创新空间的集聚轴带；进一步集聚高等级创新资源和创新平台。</w:t>
            </w:r>
          </w:p>
          <w:p w14:paraId="4DD6FF62">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cs="宋体"/>
                <w:bCs/>
                <w:color w:val="auto"/>
                <w:kern w:val="0"/>
                <w:sz w:val="24"/>
                <w:highlight w:val="none"/>
                <w:lang w:val="en-US" w:eastAsia="zh-CN"/>
              </w:rPr>
              <w:t>②</w:t>
            </w:r>
            <w:r>
              <w:rPr>
                <w:rFonts w:hint="eastAsia" w:ascii="Times New Roman" w:hAnsi="Times New Roman" w:eastAsia="宋体" w:cs="宋体"/>
                <w:bCs/>
                <w:color w:val="auto"/>
                <w:kern w:val="0"/>
                <w:sz w:val="24"/>
                <w:highlight w:val="none"/>
              </w:rPr>
              <w:t>市域生态空间结构</w:t>
            </w:r>
          </w:p>
          <w:p w14:paraId="6164D17C">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一江：长江</w:t>
            </w:r>
          </w:p>
          <w:p w14:paraId="7A28FE68">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三湖：太湖、滆湖、长荡湖</w:t>
            </w:r>
          </w:p>
          <w:p w14:paraId="3E7A29E2">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五山：茅山、南山、竺山、横山、小黄山等五个方位的山体</w:t>
            </w:r>
          </w:p>
          <w:p w14:paraId="353740DE">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lang w:eastAsia="zh-CN"/>
              </w:rPr>
            </w:pPr>
            <w:r>
              <w:rPr>
                <w:rFonts w:hint="eastAsia" w:ascii="Times New Roman" w:hAnsi="Times New Roman" w:eastAsia="宋体" w:cs="宋体"/>
                <w:bCs/>
                <w:color w:val="auto"/>
                <w:kern w:val="0"/>
                <w:sz w:val="24"/>
                <w:highlight w:val="none"/>
              </w:rPr>
              <w:t>九脉：依托新孟河、德胜河-武宜运河、澡港河-横塘河-丁塘港-采菱港- 永安河、新沟河、丹金溧漕河、京杭大运河（含京杭运河老线段、关河）、通济河-尧塘河-夏溪河-</w:t>
            </w:r>
            <w:r>
              <w:rPr>
                <w:rFonts w:hint="eastAsia" w:cs="宋体"/>
                <w:bCs/>
                <w:color w:val="auto"/>
                <w:kern w:val="0"/>
                <w:sz w:val="24"/>
                <w:highlight w:val="none"/>
                <w:lang w:eastAsia="zh-CN"/>
              </w:rPr>
              <w:t>二贤河</w:t>
            </w:r>
            <w:r>
              <w:rPr>
                <w:rFonts w:hint="eastAsia" w:ascii="Times New Roman" w:hAnsi="Times New Roman" w:eastAsia="宋体" w:cs="宋体"/>
                <w:bCs/>
                <w:color w:val="auto"/>
                <w:kern w:val="0"/>
                <w:sz w:val="24"/>
                <w:highlight w:val="none"/>
              </w:rPr>
              <w:t>、薛埠河-北干河-太滆运河、芜申运河-南河等主要水系，形成九个方向的生态绿脉</w:t>
            </w:r>
            <w:r>
              <w:rPr>
                <w:rFonts w:hint="eastAsia" w:cs="宋体"/>
                <w:bCs/>
                <w:color w:val="auto"/>
                <w:kern w:val="0"/>
                <w:sz w:val="24"/>
                <w:highlight w:val="none"/>
                <w:lang w:eastAsia="zh-CN"/>
              </w:rPr>
              <w:t>。</w:t>
            </w:r>
          </w:p>
          <w:p w14:paraId="3FF077A7">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cs="宋体"/>
                <w:bCs/>
                <w:color w:val="auto"/>
                <w:kern w:val="0"/>
                <w:sz w:val="24"/>
                <w:highlight w:val="none"/>
                <w:lang w:val="en-US" w:eastAsia="zh-CN"/>
              </w:rPr>
              <w:t>③</w:t>
            </w:r>
            <w:r>
              <w:rPr>
                <w:rFonts w:hint="eastAsia" w:ascii="Times New Roman" w:hAnsi="Times New Roman" w:eastAsia="宋体" w:cs="宋体"/>
                <w:bCs/>
                <w:color w:val="auto"/>
                <w:kern w:val="0"/>
                <w:sz w:val="24"/>
                <w:highlight w:val="none"/>
              </w:rPr>
              <w:t>市域农业空间结构</w:t>
            </w:r>
          </w:p>
          <w:p w14:paraId="0B6DAAA2">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优化农业生产空间格局，形成集中连片、特色鲜明的农业空间布局。</w:t>
            </w:r>
          </w:p>
          <w:p w14:paraId="2A030ACC">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建设金坛和溧阳平原圩区、武进南部、新北西部等粮食生产区。建设依山、依湖休闲农业区。建设溧阳、金坛、武进、新北、天宁、钟楼现代农业园区。</w:t>
            </w:r>
          </w:p>
          <w:p w14:paraId="701A64FF">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rPr>
            </w:pPr>
            <w:r>
              <w:rPr>
                <w:rFonts w:hint="eastAsia" w:cs="宋体"/>
                <w:bCs/>
                <w:color w:val="auto"/>
                <w:kern w:val="0"/>
                <w:sz w:val="24"/>
                <w:highlight w:val="none"/>
                <w:lang w:val="en-US" w:eastAsia="zh-CN"/>
              </w:rPr>
              <w:t>④</w:t>
            </w:r>
            <w:r>
              <w:rPr>
                <w:rFonts w:hint="eastAsia" w:ascii="Times New Roman" w:hAnsi="Times New Roman" w:eastAsia="宋体" w:cs="宋体"/>
                <w:bCs/>
                <w:color w:val="auto"/>
                <w:kern w:val="0"/>
                <w:sz w:val="24"/>
                <w:highlight w:val="none"/>
              </w:rPr>
              <w:t>国土空间规划分区</w:t>
            </w:r>
          </w:p>
          <w:p w14:paraId="3A1E77C6">
            <w:pPr>
              <w:keepNext/>
              <w:keepLines/>
              <w:autoSpaceDE w:val="0"/>
              <w:autoSpaceDN w:val="0"/>
              <w:spacing w:line="360" w:lineRule="auto"/>
              <w:ind w:firstLine="480" w:firstLineChars="200"/>
              <w:jc w:val="left"/>
              <w:rPr>
                <w:rFonts w:hint="eastAsia" w:ascii="Times New Roman" w:hAnsi="Times New Roman" w:eastAsia="宋体" w:cs="宋体"/>
                <w:bCs/>
                <w:color w:val="auto"/>
                <w:kern w:val="0"/>
                <w:sz w:val="24"/>
                <w:highlight w:val="none"/>
                <w:lang w:eastAsia="zh-CN"/>
              </w:rPr>
            </w:pPr>
            <w:r>
              <w:rPr>
                <w:rFonts w:hint="eastAsia" w:ascii="Times New Roman" w:hAnsi="Times New Roman" w:eastAsia="宋体" w:cs="宋体"/>
                <w:bCs/>
                <w:color w:val="auto"/>
                <w:kern w:val="0"/>
                <w:sz w:val="24"/>
                <w:highlight w:val="none"/>
              </w:rPr>
              <w:t>生态保护红线区346.11平方公里，占市域面积的7.9%；永久基本农田保护区2095.03平方公里（暂定），占市域面积的 47. 9%；城镇发展区1293.10平方公里（暂定），占市域面积的29.6%；乡村发展区637.76 平方公里，占市域面积的14.6%</w:t>
            </w:r>
            <w:r>
              <w:rPr>
                <w:rFonts w:hint="eastAsia" w:cs="宋体"/>
                <w:bCs/>
                <w:color w:val="auto"/>
                <w:kern w:val="0"/>
                <w:sz w:val="24"/>
                <w:highlight w:val="none"/>
                <w:lang w:eastAsia="zh-CN"/>
              </w:rPr>
              <w:t>。</w:t>
            </w:r>
          </w:p>
          <w:p w14:paraId="216C4FE7">
            <w:pPr>
              <w:keepNext/>
              <w:keepLines/>
              <w:autoSpaceDE w:val="0"/>
              <w:autoSpaceDN w:val="0"/>
              <w:spacing w:line="360" w:lineRule="auto"/>
              <w:ind w:firstLine="480" w:firstLineChars="200"/>
              <w:jc w:val="left"/>
              <w:rPr>
                <w:rFonts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（4）相符性分析</w:t>
            </w:r>
          </w:p>
          <w:p w14:paraId="502745BC">
            <w:pPr>
              <w:keepNext/>
              <w:keepLines/>
              <w:autoSpaceDE w:val="0"/>
              <w:autoSpaceDN w:val="0"/>
              <w:spacing w:line="360" w:lineRule="auto"/>
              <w:ind w:firstLine="480" w:firstLineChars="200"/>
              <w:jc w:val="left"/>
              <w:rPr>
                <w:rFonts w:ascii="Times New Roman" w:hAnsi="Times New Roman" w:eastAsia="宋体" w:cs="宋体"/>
                <w:bCs/>
                <w:color w:val="auto"/>
                <w:kern w:val="0"/>
                <w:sz w:val="24"/>
                <w:highlight w:val="none"/>
              </w:rPr>
            </w:pPr>
            <w:r>
              <w:rPr>
                <w:rFonts w:hint="eastAsia" w:ascii="Times New Roman" w:hAnsi="Times New Roman" w:eastAsia="宋体" w:cs="宋体"/>
                <w:bCs/>
                <w:color w:val="auto"/>
                <w:kern w:val="0"/>
                <w:sz w:val="24"/>
                <w:highlight w:val="none"/>
              </w:rPr>
              <w:t>本项目位于</w:t>
            </w:r>
            <w:r>
              <w:rPr>
                <w:rFonts w:hint="eastAsia" w:ascii="Times New Roman" w:hAnsi="Times New Roman" w:eastAsia="宋体" w:cs="宋体"/>
                <w:bCs/>
                <w:color w:val="auto"/>
                <w:kern w:val="0"/>
                <w:sz w:val="24"/>
                <w:highlight w:val="none"/>
                <w:lang w:eastAsia="zh-CN"/>
              </w:rPr>
              <w:t>江苏省常州市金坛区河山环路26号</w:t>
            </w:r>
            <w:r>
              <w:rPr>
                <w:rFonts w:hint="eastAsia" w:ascii="Times New Roman" w:hAnsi="Times New Roman" w:eastAsia="宋体" w:cs="宋体"/>
                <w:bCs/>
                <w:color w:val="auto"/>
                <w:kern w:val="0"/>
                <w:sz w:val="24"/>
                <w:highlight w:val="none"/>
              </w:rPr>
              <w:t>，属于常州市国土空间规划</w:t>
            </w:r>
            <w:r>
              <w:rPr>
                <w:rFonts w:hint="eastAsia" w:cs="宋体"/>
                <w:bCs/>
                <w:color w:val="auto"/>
                <w:kern w:val="0"/>
                <w:sz w:val="24"/>
                <w:highlight w:val="none"/>
                <w:lang w:eastAsia="zh-CN"/>
              </w:rPr>
              <w:t>范围</w:t>
            </w:r>
            <w:r>
              <w:rPr>
                <w:rFonts w:hint="eastAsia" w:ascii="Times New Roman" w:hAnsi="Times New Roman" w:eastAsia="宋体" w:cs="宋体"/>
                <w:bCs/>
                <w:color w:val="auto"/>
                <w:kern w:val="0"/>
                <w:sz w:val="24"/>
                <w:highlight w:val="none"/>
              </w:rPr>
              <w:t>内</w:t>
            </w:r>
            <w:r>
              <w:rPr>
                <w:rFonts w:hint="eastAsia" w:ascii="Times New Roman" w:hAnsi="Times New Roman" w:eastAsia="宋体" w:cs="宋体"/>
                <w:bCs/>
                <w:color w:val="auto"/>
                <w:kern w:val="0"/>
                <w:sz w:val="24"/>
                <w:highlight w:val="none"/>
                <w:lang w:eastAsia="zh-CN"/>
              </w:rPr>
              <w:t>，位于城镇开发边界，不在永久基本农田、生态保护红线范围内。故本项目的建设符合常州市国土空间规划“三区三线”要求</w:t>
            </w:r>
            <w:r>
              <w:rPr>
                <w:rFonts w:hint="eastAsia" w:cs="宋体"/>
                <w:bCs/>
                <w:color w:val="auto"/>
                <w:kern w:val="0"/>
                <w:sz w:val="24"/>
                <w:highlight w:val="none"/>
                <w:lang w:eastAsia="zh-CN"/>
              </w:rPr>
              <w:t>。</w:t>
            </w:r>
          </w:p>
          <w:p w14:paraId="2A78E85E">
            <w:pPr>
              <w:spacing w:line="360" w:lineRule="auto"/>
              <w:ind w:firstLine="482" w:firstLineChars="200"/>
              <w:rPr>
                <w:rFonts w:ascii="Times New Roman" w:hAnsi="Times New Roman" w:eastAsia="宋体" w:cs="宋体"/>
                <w:b/>
                <w:bCs/>
                <w:color w:val="auto"/>
                <w:sz w:val="24"/>
                <w:highlight w:val="none"/>
              </w:rPr>
            </w:pPr>
            <w:r>
              <w:rPr>
                <w:rFonts w:hint="eastAsia" w:cs="宋体"/>
                <w:b/>
                <w:bCs/>
                <w:color w:val="auto"/>
                <w:sz w:val="24"/>
                <w:highlight w:val="none"/>
                <w:lang w:val="en-US" w:eastAsia="zh-CN"/>
              </w:rPr>
              <w:t>2</w:t>
            </w:r>
            <w:r>
              <w:rPr>
                <w:rFonts w:hint="eastAsia" w:ascii="Times New Roman" w:hAnsi="Times New Roman" w:eastAsia="宋体" w:cs="宋体"/>
                <w:b/>
                <w:bCs/>
                <w:color w:val="auto"/>
                <w:sz w:val="24"/>
                <w:highlight w:val="none"/>
              </w:rPr>
              <w:t>、产业政策及用地项目相符性分析</w:t>
            </w:r>
          </w:p>
          <w:p w14:paraId="62E11A99">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本项目为</w:t>
            </w:r>
            <w:r>
              <w:rPr>
                <w:rFonts w:hint="eastAsia" w:cs="宋体"/>
                <w:color w:val="auto"/>
                <w:sz w:val="24"/>
                <w:highlight w:val="none"/>
                <w:lang w:val="en-US" w:eastAsia="zh-CN"/>
              </w:rPr>
              <w:t>铝压铸件生产</w:t>
            </w:r>
            <w:r>
              <w:rPr>
                <w:rFonts w:hint="eastAsia" w:ascii="Times New Roman" w:hAnsi="Times New Roman" w:eastAsia="宋体" w:cs="宋体"/>
                <w:color w:val="auto"/>
                <w:sz w:val="24"/>
                <w:highlight w:val="none"/>
                <w:lang w:eastAsia="zh-CN"/>
              </w:rPr>
              <w:t>制造</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不属于《</w:t>
            </w:r>
            <w:r>
              <w:rPr>
                <w:rFonts w:hint="eastAsia" w:ascii="Times New Roman" w:hAnsi="Times New Roman" w:eastAsia="宋体" w:cs="宋体"/>
                <w:color w:val="auto"/>
                <w:sz w:val="24"/>
                <w:highlight w:val="none"/>
              </w:rPr>
              <w:t>产业结构调整指导目录（2024年本）</w:t>
            </w:r>
            <w:r>
              <w:rPr>
                <w:rFonts w:ascii="Times New Roman" w:hAnsi="Times New Roman" w:eastAsia="宋体" w:cs="宋体"/>
                <w:color w:val="auto"/>
                <w:sz w:val="24"/>
                <w:highlight w:val="none"/>
              </w:rPr>
              <w:t>》中的</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限制类</w:t>
            </w:r>
            <w:r>
              <w:rPr>
                <w:rFonts w:hint="eastAsia" w:ascii="Times New Roman" w:hAnsi="Times New Roman" w:eastAsia="宋体" w:cs="宋体"/>
                <w:color w:val="auto"/>
                <w:sz w:val="24"/>
                <w:highlight w:val="none"/>
              </w:rPr>
              <w:t>”和“</w:t>
            </w:r>
            <w:r>
              <w:rPr>
                <w:rFonts w:ascii="Times New Roman" w:hAnsi="Times New Roman" w:eastAsia="宋体" w:cs="宋体"/>
                <w:color w:val="auto"/>
                <w:sz w:val="24"/>
                <w:highlight w:val="none"/>
              </w:rPr>
              <w:t>淘汰类</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有关条款</w:t>
            </w:r>
            <w:r>
              <w:rPr>
                <w:rFonts w:hint="eastAsia" w:ascii="Times New Roman" w:hAnsi="Times New Roman" w:eastAsia="宋体" w:cs="宋体"/>
                <w:color w:val="auto"/>
                <w:sz w:val="24"/>
                <w:highlight w:val="none"/>
              </w:rPr>
              <w:t>。</w:t>
            </w:r>
          </w:p>
          <w:p w14:paraId="12F36EC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本项目为</w:t>
            </w:r>
            <w:r>
              <w:rPr>
                <w:rFonts w:hint="eastAsia" w:cs="宋体"/>
                <w:color w:val="auto"/>
                <w:sz w:val="24"/>
                <w:highlight w:val="none"/>
                <w:lang w:val="en-US" w:eastAsia="zh-CN"/>
              </w:rPr>
              <w:t>铝压铸件生产</w:t>
            </w:r>
            <w:r>
              <w:rPr>
                <w:rFonts w:hint="eastAsia" w:ascii="Times New Roman" w:hAnsi="Times New Roman" w:eastAsia="宋体" w:cs="宋体"/>
                <w:color w:val="auto"/>
                <w:sz w:val="24"/>
                <w:highlight w:val="none"/>
                <w:lang w:eastAsia="zh-CN"/>
              </w:rPr>
              <w:t>制造</w:t>
            </w:r>
            <w:r>
              <w:rPr>
                <w:rFonts w:hint="eastAsia" w:ascii="Times New Roman" w:hAnsi="Times New Roman" w:eastAsia="宋体" w:cs="宋体"/>
                <w:color w:val="auto"/>
                <w:sz w:val="24"/>
                <w:highlight w:val="none"/>
              </w:rPr>
              <w:t>，</w:t>
            </w:r>
            <w:r>
              <w:rPr>
                <w:rFonts w:ascii="Times New Roman" w:hAnsi="Times New Roman" w:eastAsia="宋体" w:cs="宋体"/>
                <w:bCs/>
                <w:color w:val="auto"/>
                <w:sz w:val="24"/>
                <w:highlight w:val="none"/>
              </w:rPr>
              <w:t>不属于《</w:t>
            </w:r>
            <w:bookmarkStart w:id="2" w:name="OLE_LINK5"/>
            <w:r>
              <w:rPr>
                <w:rFonts w:ascii="Times New Roman" w:hAnsi="Times New Roman" w:eastAsia="宋体" w:cs="宋体"/>
                <w:bCs/>
                <w:color w:val="auto"/>
                <w:sz w:val="24"/>
                <w:highlight w:val="none"/>
              </w:rPr>
              <w:t>限制用地项目目录（2012年本）</w:t>
            </w:r>
            <w:bookmarkEnd w:id="2"/>
            <w:r>
              <w:rPr>
                <w:rFonts w:ascii="Times New Roman" w:hAnsi="Times New Roman" w:eastAsia="宋体" w:cs="宋体"/>
                <w:bCs/>
                <w:color w:val="auto"/>
                <w:sz w:val="24"/>
                <w:highlight w:val="none"/>
              </w:rPr>
              <w:t>》</w:t>
            </w:r>
            <w:r>
              <w:rPr>
                <w:rFonts w:hint="eastAsia" w:ascii="Times New Roman" w:hAnsi="Times New Roman" w:eastAsia="宋体" w:cs="宋体"/>
                <w:bCs/>
                <w:color w:val="auto"/>
                <w:sz w:val="24"/>
                <w:highlight w:val="none"/>
              </w:rPr>
              <w:t>、</w:t>
            </w:r>
            <w:r>
              <w:rPr>
                <w:rFonts w:ascii="Times New Roman" w:hAnsi="Times New Roman" w:eastAsia="宋体" w:cs="宋体"/>
                <w:bCs/>
                <w:color w:val="auto"/>
                <w:sz w:val="24"/>
                <w:highlight w:val="none"/>
              </w:rPr>
              <w:t>《禁止用地项目目录（2012年本）》</w:t>
            </w:r>
            <w:r>
              <w:rPr>
                <w:rFonts w:hint="eastAsia" w:ascii="Times New Roman" w:hAnsi="Times New Roman" w:eastAsia="宋体" w:cs="宋体"/>
                <w:bCs/>
                <w:color w:val="auto"/>
                <w:sz w:val="24"/>
                <w:highlight w:val="none"/>
              </w:rPr>
              <w:t>、</w:t>
            </w:r>
            <w:r>
              <w:rPr>
                <w:rFonts w:ascii="Times New Roman" w:hAnsi="Times New Roman" w:eastAsia="宋体" w:cs="宋体"/>
                <w:bCs/>
                <w:color w:val="auto"/>
                <w:sz w:val="24"/>
                <w:highlight w:val="none"/>
              </w:rPr>
              <w:t>《江苏省限制用地项目目录（2013年本）》及《江苏省禁止用地项目目录（2013年本）》中的限制和禁止用地项目，且项目周边范围内无矿床、文物古迹和军事设施达到环保准入、投入强度、消防安全等相关规定</w:t>
            </w:r>
            <w:r>
              <w:rPr>
                <w:rFonts w:hint="eastAsia" w:ascii="Times New Roman" w:hAnsi="Times New Roman" w:eastAsia="宋体" w:cs="宋体"/>
                <w:color w:val="auto"/>
                <w:sz w:val="24"/>
                <w:highlight w:val="none"/>
              </w:rPr>
              <w:t>。</w:t>
            </w:r>
          </w:p>
          <w:p w14:paraId="492EAAEB">
            <w:pPr>
              <w:spacing w:line="360" w:lineRule="auto"/>
              <w:ind w:firstLine="480" w:firstLineChars="200"/>
              <w:rPr>
                <w:rFonts w:hint="eastAsia" w:ascii="Times New Roman" w:hAnsi="Times New Roman" w:eastAsia="宋体" w:cs="宋体"/>
                <w:b w:val="0"/>
                <w:bCs/>
                <w:color w:val="auto"/>
                <w:sz w:val="24"/>
                <w:highlight w:val="none"/>
              </w:rPr>
            </w:pPr>
            <w:r>
              <w:rPr>
                <w:rFonts w:hint="default" w:ascii="Times New Roman" w:hAnsi="Times New Roman" w:eastAsia="宋体" w:cs="Times New Roman"/>
                <w:color w:val="auto"/>
                <w:sz w:val="24"/>
              </w:rPr>
              <w:t>本项目不属于《市场准入负面清单（202</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年版）》其</w:t>
            </w:r>
            <w:r>
              <w:rPr>
                <w:rFonts w:hint="eastAsia" w:cs="Times New Roman"/>
                <w:color w:val="auto"/>
                <w:sz w:val="24"/>
                <w:lang w:val="en-US" w:eastAsia="zh-CN"/>
              </w:rPr>
              <w:t>中</w:t>
            </w:r>
            <w:r>
              <w:rPr>
                <w:rFonts w:hint="default" w:ascii="Times New Roman" w:hAnsi="Times New Roman" w:eastAsia="宋体" w:cs="Times New Roman"/>
                <w:color w:val="auto"/>
                <w:sz w:val="24"/>
              </w:rPr>
              <w:t>禁止准入类和</w:t>
            </w:r>
            <w:r>
              <w:rPr>
                <w:rFonts w:hint="eastAsia" w:cs="Times New Roman"/>
                <w:color w:val="auto"/>
                <w:sz w:val="24"/>
                <w:lang w:val="en-US" w:eastAsia="zh-CN"/>
              </w:rPr>
              <w:t>限制</w:t>
            </w:r>
            <w:r>
              <w:rPr>
                <w:rFonts w:hint="default" w:ascii="Times New Roman" w:hAnsi="Times New Roman" w:eastAsia="宋体" w:cs="Times New Roman"/>
                <w:color w:val="auto"/>
                <w:sz w:val="24"/>
              </w:rPr>
              <w:t>准入类。</w:t>
            </w:r>
          </w:p>
          <w:p w14:paraId="409B93D3">
            <w:pPr>
              <w:spacing w:line="360" w:lineRule="auto"/>
              <w:ind w:firstLine="480" w:firstLineChars="200"/>
              <w:rPr>
                <w:rFonts w:hint="eastAsia" w:ascii="Times New Roman" w:hAnsi="Times New Roman" w:eastAsia="宋体" w:cs="宋体"/>
                <w:b w:val="0"/>
                <w:bCs/>
                <w:color w:val="auto"/>
                <w:sz w:val="24"/>
                <w:highlight w:val="none"/>
              </w:rPr>
            </w:pPr>
            <w:r>
              <w:rPr>
                <w:rFonts w:hint="eastAsia" w:ascii="Times New Roman" w:hAnsi="Times New Roman" w:eastAsia="宋体" w:cs="宋体"/>
                <w:b w:val="0"/>
                <w:bCs/>
                <w:color w:val="auto"/>
                <w:sz w:val="24"/>
                <w:highlight w:val="none"/>
              </w:rPr>
              <w:t>本项目为</w:t>
            </w:r>
            <w:r>
              <w:rPr>
                <w:rFonts w:hint="eastAsia" w:cs="宋体"/>
                <w:color w:val="auto"/>
                <w:sz w:val="24"/>
                <w:highlight w:val="none"/>
                <w:lang w:val="en-US" w:eastAsia="zh-CN"/>
              </w:rPr>
              <w:t>铝压铸件生产</w:t>
            </w:r>
            <w:r>
              <w:rPr>
                <w:rFonts w:hint="eastAsia" w:ascii="Times New Roman" w:hAnsi="Times New Roman" w:eastAsia="宋体" w:cs="宋体"/>
                <w:color w:val="auto"/>
                <w:sz w:val="24"/>
                <w:highlight w:val="none"/>
                <w:lang w:eastAsia="zh-CN"/>
              </w:rPr>
              <w:t>制造</w:t>
            </w:r>
            <w:r>
              <w:rPr>
                <w:rFonts w:hint="eastAsia" w:ascii="Times New Roman" w:hAnsi="Times New Roman" w:eastAsia="宋体" w:cs="宋体"/>
                <w:b w:val="0"/>
                <w:bCs/>
                <w:color w:val="auto"/>
                <w:sz w:val="24"/>
                <w:highlight w:val="none"/>
              </w:rPr>
              <w:t>，不属于《环境保护综合名录（2021年版）》中“高污染、高风险”产品。</w:t>
            </w:r>
          </w:p>
          <w:p w14:paraId="4487567A">
            <w:pPr>
              <w:spacing w:line="360" w:lineRule="auto"/>
              <w:ind w:firstLine="480" w:firstLineChars="200"/>
              <w:rPr>
                <w:rFonts w:hint="eastAsia" w:ascii="Times New Roman" w:hAnsi="Times New Roman" w:eastAsia="宋体" w:cs="宋体"/>
                <w:b/>
                <w:color w:val="auto"/>
                <w:sz w:val="24"/>
                <w:highlight w:val="none"/>
              </w:rPr>
            </w:pPr>
            <w:r>
              <w:rPr>
                <w:rFonts w:hint="eastAsia" w:ascii="Times New Roman" w:hAnsi="Times New Roman" w:eastAsia="宋体" w:cs="宋体"/>
                <w:b w:val="0"/>
                <w:bCs/>
                <w:color w:val="auto"/>
                <w:sz w:val="24"/>
                <w:highlight w:val="none"/>
              </w:rPr>
              <w:t>本项目为</w:t>
            </w:r>
            <w:r>
              <w:rPr>
                <w:rFonts w:hint="eastAsia" w:cs="宋体"/>
                <w:color w:val="auto"/>
                <w:sz w:val="24"/>
                <w:highlight w:val="none"/>
                <w:lang w:val="en-US" w:eastAsia="zh-CN"/>
              </w:rPr>
              <w:t>铝压铸件生产</w:t>
            </w:r>
            <w:r>
              <w:rPr>
                <w:rFonts w:hint="eastAsia" w:ascii="Times New Roman" w:hAnsi="Times New Roman" w:eastAsia="宋体" w:cs="宋体"/>
                <w:color w:val="auto"/>
                <w:sz w:val="24"/>
                <w:highlight w:val="none"/>
                <w:lang w:eastAsia="zh-CN"/>
              </w:rPr>
              <w:t>制造</w:t>
            </w:r>
            <w:r>
              <w:rPr>
                <w:rFonts w:hint="eastAsia" w:ascii="Times New Roman" w:hAnsi="Times New Roman" w:eastAsia="宋体" w:cs="宋体"/>
                <w:b w:val="0"/>
                <w:bCs/>
                <w:color w:val="auto"/>
                <w:sz w:val="24"/>
                <w:highlight w:val="none"/>
              </w:rPr>
              <w:t>，</w:t>
            </w:r>
            <w:r>
              <w:rPr>
                <w:rFonts w:hint="eastAsia" w:ascii="Times New Roman" w:hAnsi="Times New Roman" w:cs="宋体"/>
                <w:b w:val="0"/>
                <w:bCs/>
                <w:color w:val="auto"/>
                <w:sz w:val="24"/>
                <w:highlight w:val="none"/>
                <w:lang w:val="en-US" w:eastAsia="zh-CN"/>
              </w:rPr>
              <w:t>不属于关于印发《江苏省“两高”项目管理名录（2024年版）》的通知中所列行业。</w:t>
            </w:r>
          </w:p>
          <w:p w14:paraId="49954E35">
            <w:pPr>
              <w:spacing w:line="360" w:lineRule="auto"/>
              <w:ind w:firstLine="482" w:firstLineChars="200"/>
              <w:rPr>
                <w:rFonts w:ascii="Times New Roman" w:hAnsi="Times New Roman" w:eastAsia="宋体" w:cs="宋体"/>
                <w:b/>
                <w:bCs/>
                <w:color w:val="auto"/>
                <w:sz w:val="24"/>
                <w:highlight w:val="none"/>
              </w:rPr>
            </w:pPr>
            <w:r>
              <w:rPr>
                <w:rFonts w:hint="eastAsia" w:cs="宋体"/>
                <w:b/>
                <w:color w:val="auto"/>
                <w:sz w:val="24"/>
                <w:highlight w:val="none"/>
                <w:lang w:val="en-US" w:eastAsia="zh-CN"/>
              </w:rPr>
              <w:t>3</w:t>
            </w:r>
            <w:r>
              <w:rPr>
                <w:rFonts w:ascii="Times New Roman" w:hAnsi="Times New Roman" w:eastAsia="宋体" w:cs="宋体"/>
                <w:b/>
                <w:bCs/>
                <w:color w:val="auto"/>
                <w:sz w:val="24"/>
                <w:highlight w:val="none"/>
              </w:rPr>
              <w:t>、与“三线一单”相符性分析</w:t>
            </w:r>
          </w:p>
          <w:p w14:paraId="58FD5FBD">
            <w:pPr>
              <w:spacing w:line="360" w:lineRule="auto"/>
              <w:ind w:firstLine="480" w:firstLineChars="200"/>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（1）</w:t>
            </w:r>
            <w:r>
              <w:rPr>
                <w:rFonts w:ascii="Times New Roman" w:hAnsi="Times New Roman" w:eastAsia="宋体" w:cs="宋体"/>
                <w:bCs/>
                <w:color w:val="auto"/>
                <w:sz w:val="24"/>
                <w:highlight w:val="none"/>
              </w:rPr>
              <w:t>根据《关于以改善环境质量为核心加强环境影响评价管理的通知》（环环评</w:t>
            </w:r>
            <w:r>
              <w:rPr>
                <w:rFonts w:hint="eastAsia" w:ascii="Times New Roman" w:hAnsi="Times New Roman" w:eastAsia="宋体" w:cs="宋体"/>
                <w:color w:val="auto"/>
                <w:sz w:val="24"/>
                <w:highlight w:val="none"/>
              </w:rPr>
              <w:t>〔2016〕</w:t>
            </w:r>
            <w:r>
              <w:rPr>
                <w:rFonts w:ascii="Times New Roman" w:hAnsi="Times New Roman" w:eastAsia="宋体" w:cs="宋体"/>
                <w:bCs/>
                <w:color w:val="auto"/>
                <w:sz w:val="24"/>
                <w:highlight w:val="none"/>
              </w:rPr>
              <w:t>150号），对本项目建设进行</w:t>
            </w:r>
            <w:r>
              <w:rPr>
                <w:rFonts w:hint="eastAsia" w:ascii="Times New Roman" w:hAnsi="Times New Roman" w:eastAsia="宋体" w:cs="宋体"/>
                <w:bCs/>
                <w:color w:val="auto"/>
                <w:sz w:val="24"/>
                <w:highlight w:val="none"/>
              </w:rPr>
              <w:t>“</w:t>
            </w:r>
            <w:r>
              <w:rPr>
                <w:rFonts w:ascii="Times New Roman" w:hAnsi="Times New Roman" w:eastAsia="宋体" w:cs="宋体"/>
                <w:bCs/>
                <w:color w:val="auto"/>
                <w:sz w:val="24"/>
                <w:highlight w:val="none"/>
              </w:rPr>
              <w:t>三线一单</w:t>
            </w:r>
            <w:r>
              <w:rPr>
                <w:rFonts w:hint="eastAsia" w:ascii="Times New Roman" w:hAnsi="Times New Roman" w:eastAsia="宋体" w:cs="宋体"/>
                <w:bCs/>
                <w:color w:val="auto"/>
                <w:sz w:val="24"/>
                <w:highlight w:val="none"/>
              </w:rPr>
              <w:t>”</w:t>
            </w:r>
            <w:r>
              <w:rPr>
                <w:rFonts w:ascii="Times New Roman" w:hAnsi="Times New Roman" w:eastAsia="宋体" w:cs="宋体"/>
                <w:bCs/>
                <w:color w:val="auto"/>
                <w:sz w:val="24"/>
                <w:highlight w:val="none"/>
              </w:rPr>
              <w:t>相符性分析。</w:t>
            </w:r>
          </w:p>
          <w:p w14:paraId="24CA3351">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表1</w:t>
            </w:r>
            <w:r>
              <w:rPr>
                <w:rFonts w:hint="eastAsia" w:ascii="Times New Roman" w:hAnsi="Times New Roman" w:eastAsia="宋体" w:cs="宋体"/>
                <w:b/>
                <w:bCs/>
                <w:color w:val="auto"/>
                <w:spacing w:val="-4"/>
                <w:szCs w:val="21"/>
                <w:highlight w:val="none"/>
              </w:rPr>
              <w:t>-2  “三线一单”相符性分析</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0"/>
              <w:gridCol w:w="6861"/>
              <w:gridCol w:w="509"/>
            </w:tblGrid>
            <w:tr w14:paraId="5D3F5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Align w:val="center"/>
                </w:tcPr>
                <w:p w14:paraId="7A7EDD3B">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判断类型</w:t>
                  </w:r>
                </w:p>
              </w:tc>
              <w:tc>
                <w:tcPr>
                  <w:tcW w:w="4315" w:type="pct"/>
                  <w:vAlign w:val="center"/>
                </w:tcPr>
                <w:p w14:paraId="33C59540">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对照分析</w:t>
                  </w:r>
                </w:p>
              </w:tc>
              <w:tc>
                <w:tcPr>
                  <w:tcW w:w="320" w:type="pct"/>
                  <w:vAlign w:val="center"/>
                </w:tcPr>
                <w:p w14:paraId="59F462DA">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是否满足</w:t>
                  </w:r>
                </w:p>
              </w:tc>
            </w:tr>
            <w:tr w14:paraId="22571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Align w:val="center"/>
                </w:tcPr>
                <w:p w14:paraId="1E40AA7B">
                  <w:pPr>
                    <w:snapToGrid w:val="0"/>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生态红线</w:t>
                  </w:r>
                </w:p>
              </w:tc>
              <w:tc>
                <w:tcPr>
                  <w:tcW w:w="4315" w:type="pct"/>
                  <w:vAlign w:val="center"/>
                </w:tcPr>
                <w:p w14:paraId="6D559FBF">
                  <w:pPr>
                    <w:snapToGrid w:val="0"/>
                    <w:ind w:firstLine="420" w:firstLineChars="200"/>
                    <w:jc w:val="left"/>
                    <w:textAlignment w:val="center"/>
                    <w:rPr>
                      <w:rFonts w:ascii="Times New Roman" w:hAnsi="Times New Roman" w:eastAsia="宋体" w:cs="宋体"/>
                      <w:color w:val="auto"/>
                      <w:szCs w:val="21"/>
                      <w:highlight w:val="none"/>
                    </w:rPr>
                  </w:pPr>
                  <w:r>
                    <w:rPr>
                      <w:rFonts w:ascii="Times New Roman" w:hAnsi="Times New Roman" w:eastAsia="宋体" w:cs="宋体"/>
                      <w:bCs/>
                      <w:color w:val="auto"/>
                      <w:szCs w:val="21"/>
                      <w:highlight w:val="none"/>
                    </w:rPr>
                    <w:t>本项目位于</w:t>
                  </w:r>
                  <w:r>
                    <w:rPr>
                      <w:rFonts w:hint="eastAsia" w:ascii="Times New Roman" w:hAnsi="Times New Roman" w:eastAsia="宋体" w:cs="宋体"/>
                      <w:color w:val="auto"/>
                      <w:szCs w:val="21"/>
                      <w:highlight w:val="none"/>
                      <w:lang w:eastAsia="zh-CN"/>
                    </w:rPr>
                    <w:t>江苏省</w:t>
                  </w:r>
                  <w:r>
                    <w:rPr>
                      <w:rFonts w:hint="eastAsia" w:cs="宋体"/>
                      <w:color w:val="auto"/>
                      <w:szCs w:val="21"/>
                      <w:highlight w:val="none"/>
                      <w:lang w:eastAsia="zh-CN"/>
                    </w:rPr>
                    <w:t>常州市金坛区河山环路26号</w:t>
                  </w:r>
                  <w:r>
                    <w:rPr>
                      <w:rFonts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rPr>
                    <w:t>对照</w:t>
                  </w:r>
                  <w:r>
                    <w:rPr>
                      <w:rFonts w:ascii="Times New Roman" w:hAnsi="Times New Roman" w:eastAsia="宋体" w:cs="宋体"/>
                      <w:bCs/>
                      <w:color w:val="auto"/>
                      <w:szCs w:val="21"/>
                      <w:highlight w:val="none"/>
                    </w:rPr>
                    <w:t>《江苏省生态</w:t>
                  </w:r>
                  <w:r>
                    <w:rPr>
                      <w:rFonts w:hint="eastAsia" w:ascii="Times New Roman" w:hAnsi="Times New Roman" w:eastAsia="宋体" w:cs="宋体"/>
                      <w:bCs/>
                      <w:color w:val="auto"/>
                      <w:szCs w:val="21"/>
                      <w:highlight w:val="none"/>
                    </w:rPr>
                    <w:t>空间管控区域规划</w:t>
                  </w:r>
                  <w:r>
                    <w:rPr>
                      <w:rFonts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苏政发</w:t>
                  </w:r>
                  <w:r>
                    <w:rPr>
                      <w:rFonts w:hint="eastAsia" w:ascii="Times New Roman" w:hAnsi="Times New Roman" w:eastAsia="宋体" w:cs="宋体"/>
                      <w:color w:val="auto"/>
                      <w:szCs w:val="21"/>
                      <w:highlight w:val="none"/>
                    </w:rPr>
                    <w:t>〔2020〕</w:t>
                  </w:r>
                  <w:r>
                    <w:rPr>
                      <w:rFonts w:hint="eastAsia" w:ascii="Times New Roman" w:hAnsi="Times New Roman" w:eastAsia="宋体" w:cs="宋体"/>
                      <w:bCs/>
                      <w:color w:val="auto"/>
                      <w:szCs w:val="21"/>
                      <w:highlight w:val="none"/>
                    </w:rPr>
                    <w:t>1</w:t>
                  </w:r>
                  <w:r>
                    <w:rPr>
                      <w:rFonts w:ascii="Times New Roman" w:hAnsi="Times New Roman" w:eastAsia="宋体" w:cs="宋体"/>
                      <w:bCs/>
                      <w:color w:val="auto"/>
                      <w:szCs w:val="21"/>
                      <w:highlight w:val="none"/>
                    </w:rPr>
                    <w:t>号</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及《江苏省国家级生态保护红线规划》</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苏政发</w:t>
                  </w:r>
                  <w:r>
                    <w:rPr>
                      <w:rFonts w:hint="eastAsia" w:ascii="Times New Roman" w:hAnsi="Times New Roman" w:eastAsia="宋体" w:cs="宋体"/>
                      <w:color w:val="auto"/>
                      <w:szCs w:val="21"/>
                      <w:highlight w:val="none"/>
                    </w:rPr>
                    <w:t>〔2018〕</w:t>
                  </w:r>
                  <w:r>
                    <w:rPr>
                      <w:rFonts w:ascii="Times New Roman" w:hAnsi="Times New Roman" w:eastAsia="宋体" w:cs="宋体"/>
                      <w:bCs/>
                      <w:color w:val="auto"/>
                      <w:szCs w:val="21"/>
                      <w:highlight w:val="none"/>
                    </w:rPr>
                    <w:t>74号</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，距离最近的</w:t>
                  </w:r>
                  <w:r>
                    <w:rPr>
                      <w:rFonts w:hint="eastAsia" w:ascii="Times New Roman" w:hAnsi="Times New Roman" w:eastAsia="宋体" w:cs="宋体"/>
                      <w:bCs/>
                      <w:color w:val="auto"/>
                      <w:szCs w:val="21"/>
                      <w:highlight w:val="none"/>
                    </w:rPr>
                    <w:t>生态空间管控区钱资荡重要湿地</w:t>
                  </w:r>
                  <w:r>
                    <w:rPr>
                      <w:rFonts w:hint="eastAsia" w:cs="宋体"/>
                      <w:color w:val="auto"/>
                      <w:szCs w:val="21"/>
                      <w:highlight w:val="none"/>
                      <w:lang w:val="en-US" w:eastAsia="zh-CN"/>
                    </w:rPr>
                    <w:t>6.5</w:t>
                  </w:r>
                  <w:r>
                    <w:rPr>
                      <w:rFonts w:ascii="Times New Roman" w:hAnsi="Times New Roman" w:eastAsia="宋体" w:cs="宋体"/>
                      <w:bCs/>
                      <w:color w:val="auto"/>
                      <w:szCs w:val="21"/>
                      <w:highlight w:val="none"/>
                    </w:rPr>
                    <w:t>km，不在</w:t>
                  </w:r>
                  <w:r>
                    <w:rPr>
                      <w:rFonts w:hint="eastAsia" w:ascii="Times New Roman" w:hAnsi="Times New Roman" w:eastAsia="宋体" w:cs="宋体"/>
                      <w:color w:val="auto"/>
                      <w:szCs w:val="21"/>
                      <w:highlight w:val="none"/>
                    </w:rPr>
                    <w:t>国家级生态保护红线范围和生态空间管控区范围内</w:t>
                  </w:r>
                  <w:r>
                    <w:rPr>
                      <w:rFonts w:ascii="Times New Roman" w:hAnsi="Times New Roman" w:eastAsia="宋体" w:cs="宋体"/>
                      <w:bCs/>
                      <w:color w:val="auto"/>
                      <w:szCs w:val="21"/>
                      <w:highlight w:val="none"/>
                    </w:rPr>
                    <w:t>。</w:t>
                  </w:r>
                </w:p>
              </w:tc>
              <w:tc>
                <w:tcPr>
                  <w:tcW w:w="320" w:type="pct"/>
                  <w:vAlign w:val="center"/>
                </w:tcPr>
                <w:p w14:paraId="186FCBCB">
                  <w:pPr>
                    <w:snapToGrid w:val="0"/>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是</w:t>
                  </w:r>
                </w:p>
              </w:tc>
            </w:tr>
            <w:tr w14:paraId="69222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Align w:val="center"/>
                </w:tcPr>
                <w:p w14:paraId="3F5F29B7">
                  <w:pPr>
                    <w:snapToGrid w:val="0"/>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环境质量底线</w:t>
                  </w:r>
                </w:p>
              </w:tc>
              <w:tc>
                <w:tcPr>
                  <w:tcW w:w="4315" w:type="pct"/>
                  <w:vAlign w:val="center"/>
                </w:tcPr>
                <w:p w14:paraId="329FB2F2">
                  <w:pPr>
                    <w:snapToGrid w:val="0"/>
                    <w:ind w:firstLine="420" w:firstLineChars="200"/>
                    <w:jc w:val="left"/>
                    <w:textAlignment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根据《</w:t>
                  </w:r>
                  <w:r>
                    <w:rPr>
                      <w:rFonts w:hint="eastAsia" w:ascii="Times New Roman" w:hAnsi="Times New Roman" w:eastAsia="宋体" w:cs="宋体"/>
                      <w:color w:val="auto"/>
                      <w:kern w:val="0"/>
                      <w:szCs w:val="21"/>
                      <w:highlight w:val="none"/>
                    </w:rPr>
                    <w:t>2023年常州市生态环境状况公报</w:t>
                  </w:r>
                  <w:r>
                    <w:rPr>
                      <w:rFonts w:ascii="Times New Roman" w:hAnsi="Times New Roman" w:eastAsia="宋体" w:cs="宋体"/>
                      <w:color w:val="auto"/>
                      <w:kern w:val="0"/>
                      <w:szCs w:val="21"/>
                      <w:highlight w:val="none"/>
                    </w:rPr>
                    <w:t>》，</w:t>
                  </w:r>
                  <w:r>
                    <w:rPr>
                      <w:rFonts w:hint="eastAsia" w:ascii="Times New Roman" w:hAnsi="Times New Roman" w:eastAsia="宋体" w:cs="宋体"/>
                      <w:color w:val="auto"/>
                      <w:kern w:val="0"/>
                      <w:szCs w:val="21"/>
                      <w:highlight w:val="none"/>
                    </w:rPr>
                    <w:t>2023</w:t>
                  </w:r>
                  <w:r>
                    <w:rPr>
                      <w:rFonts w:ascii="Times New Roman" w:hAnsi="Times New Roman" w:eastAsia="宋体" w:cs="宋体"/>
                      <w:color w:val="auto"/>
                      <w:kern w:val="0"/>
                      <w:szCs w:val="21"/>
                      <w:highlight w:val="none"/>
                    </w:rPr>
                    <w:t>年</w:t>
                  </w:r>
                  <w:r>
                    <w:rPr>
                      <w:rFonts w:hint="eastAsia" w:ascii="Times New Roman" w:hAnsi="Times New Roman" w:eastAsia="宋体" w:cs="宋体"/>
                      <w:color w:val="auto"/>
                      <w:kern w:val="0"/>
                      <w:szCs w:val="21"/>
                      <w:highlight w:val="none"/>
                    </w:rPr>
                    <w:t>常州</w:t>
                  </w:r>
                  <w:r>
                    <w:rPr>
                      <w:rFonts w:ascii="Times New Roman" w:hAnsi="Times New Roman" w:eastAsia="宋体" w:cs="宋体"/>
                      <w:color w:val="auto"/>
                      <w:kern w:val="0"/>
                      <w:szCs w:val="21"/>
                      <w:highlight w:val="none"/>
                    </w:rPr>
                    <w:t>市环境空气中</w:t>
                  </w:r>
                  <w:r>
                    <w:rPr>
                      <w:rFonts w:hint="eastAsia" w:ascii="Times New Roman" w:hAnsi="Times New Roman" w:eastAsia="宋体" w:cs="宋体"/>
                      <w:color w:val="auto"/>
                      <w:kern w:val="0"/>
                      <w:szCs w:val="21"/>
                      <w:highlight w:val="none"/>
                    </w:rPr>
                    <w:t>PM</w:t>
                  </w:r>
                  <w:r>
                    <w:rPr>
                      <w:rFonts w:hint="eastAsia" w:ascii="Times New Roman" w:hAnsi="Times New Roman" w:eastAsia="宋体" w:cs="宋体"/>
                      <w:color w:val="auto"/>
                      <w:kern w:val="0"/>
                      <w:szCs w:val="21"/>
                      <w:highlight w:val="none"/>
                      <w:vertAlign w:val="subscript"/>
                    </w:rPr>
                    <w:t>2.5</w:t>
                  </w:r>
                  <w:r>
                    <w:rPr>
                      <w:rFonts w:hint="eastAsia" w:ascii="Times New Roman" w:hAnsi="Times New Roman" w:eastAsia="宋体" w:cs="宋体"/>
                      <w:color w:val="auto"/>
                      <w:kern w:val="0"/>
                      <w:szCs w:val="21"/>
                      <w:highlight w:val="none"/>
                    </w:rPr>
                    <w:t>日平均</w:t>
                  </w:r>
                  <w:r>
                    <w:rPr>
                      <w:rFonts w:ascii="Times New Roman" w:hAnsi="Times New Roman" w:eastAsia="宋体" w:cs="宋体"/>
                      <w:color w:val="auto"/>
                      <w:kern w:val="0"/>
                      <w:szCs w:val="21"/>
                      <w:highlight w:val="none"/>
                    </w:rPr>
                    <w:t>第</w:t>
                  </w:r>
                  <w:r>
                    <w:rPr>
                      <w:rFonts w:hint="eastAsia" w:ascii="Times New Roman" w:hAnsi="Times New Roman" w:eastAsia="宋体" w:cs="宋体"/>
                      <w:color w:val="auto"/>
                      <w:kern w:val="0"/>
                      <w:szCs w:val="21"/>
                      <w:highlight w:val="none"/>
                    </w:rPr>
                    <w:t>95百分位数</w:t>
                  </w:r>
                  <w:r>
                    <w:rPr>
                      <w:rFonts w:ascii="Times New Roman" w:hAnsi="Times New Roman" w:eastAsia="宋体" w:cs="宋体"/>
                      <w:color w:val="auto"/>
                      <w:kern w:val="0"/>
                      <w:szCs w:val="21"/>
                      <w:highlight w:val="none"/>
                    </w:rPr>
                    <w:t>和</w:t>
                  </w:r>
                  <w:r>
                    <w:rPr>
                      <w:rFonts w:hint="eastAsia" w:ascii="Times New Roman" w:hAnsi="Times New Roman" w:eastAsia="宋体" w:cs="宋体"/>
                      <w:color w:val="auto"/>
                      <w:kern w:val="0"/>
                      <w:szCs w:val="21"/>
                      <w:highlight w:val="none"/>
                    </w:rPr>
                    <w:t>O</w:t>
                  </w:r>
                  <w:r>
                    <w:rPr>
                      <w:rFonts w:hint="eastAsia" w:ascii="Times New Roman" w:hAnsi="Times New Roman" w:eastAsia="宋体" w:cs="宋体"/>
                      <w:color w:val="auto"/>
                      <w:kern w:val="0"/>
                      <w:szCs w:val="21"/>
                      <w:highlight w:val="none"/>
                      <w:vertAlign w:val="subscript"/>
                    </w:rPr>
                    <w:t>3</w:t>
                  </w:r>
                  <w:r>
                    <w:rPr>
                      <w:rFonts w:ascii="Times New Roman" w:hAnsi="Times New Roman" w:eastAsia="宋体" w:cs="宋体"/>
                      <w:color w:val="auto"/>
                      <w:kern w:val="0"/>
                      <w:szCs w:val="21"/>
                      <w:highlight w:val="none"/>
                    </w:rPr>
                    <w:t>日最大8小时</w:t>
                  </w:r>
                  <w:r>
                    <w:rPr>
                      <w:rFonts w:hint="eastAsia" w:ascii="Times New Roman" w:hAnsi="Times New Roman" w:eastAsia="宋体" w:cs="宋体"/>
                      <w:color w:val="auto"/>
                      <w:kern w:val="0"/>
                      <w:szCs w:val="21"/>
                      <w:highlight w:val="none"/>
                    </w:rPr>
                    <w:t>滑动平</w:t>
                  </w:r>
                  <w:r>
                    <w:rPr>
                      <w:rFonts w:ascii="Times New Roman" w:hAnsi="Times New Roman" w:eastAsia="宋体" w:cs="宋体"/>
                      <w:color w:val="auto"/>
                      <w:kern w:val="0"/>
                      <w:szCs w:val="21"/>
                      <w:highlight w:val="none"/>
                    </w:rPr>
                    <w:t>均值</w:t>
                  </w:r>
                  <w:r>
                    <w:rPr>
                      <w:rFonts w:hint="eastAsia" w:ascii="Times New Roman" w:hAnsi="Times New Roman" w:eastAsia="宋体" w:cs="宋体"/>
                      <w:color w:val="auto"/>
                      <w:kern w:val="0"/>
                      <w:szCs w:val="21"/>
                      <w:highlight w:val="none"/>
                    </w:rPr>
                    <w:t>的第90百分位数超标</w:t>
                  </w:r>
                  <w:r>
                    <w:rPr>
                      <w:rFonts w:ascii="Times New Roman" w:hAnsi="Times New Roman" w:eastAsia="宋体" w:cs="宋体"/>
                      <w:color w:val="auto"/>
                      <w:kern w:val="0"/>
                      <w:szCs w:val="21"/>
                      <w:highlight w:val="none"/>
                    </w:rPr>
                    <w:t>，因此判定为非达标区域，提出大气污染防治措施如下：</w:t>
                  </w:r>
                  <w:r>
                    <w:rPr>
                      <w:rFonts w:hint="eastAsia" w:ascii="Times New Roman" w:hAnsi="Times New Roman" w:eastAsia="宋体" w:cs="宋体"/>
                      <w:color w:val="auto"/>
                      <w:szCs w:val="21"/>
                      <w:highlight w:val="none"/>
                    </w:rPr>
                    <w:t>工业源减排、臭氧污染防治、扬尘污染防治、机动车排气监管等。</w:t>
                  </w:r>
                  <w:r>
                    <w:rPr>
                      <w:rFonts w:ascii="Times New Roman" w:hAnsi="Times New Roman" w:eastAsia="宋体" w:cs="宋体"/>
                      <w:color w:val="auto"/>
                      <w:szCs w:val="21"/>
                      <w:highlight w:val="none"/>
                    </w:rPr>
                    <w:t>采取以上措施，常州市的大气空气质量将得到一定改善</w:t>
                  </w:r>
                  <w:r>
                    <w:rPr>
                      <w:rFonts w:ascii="Times New Roman" w:hAnsi="Times New Roman" w:eastAsia="宋体" w:cs="宋体"/>
                      <w:color w:val="auto"/>
                      <w:kern w:val="0"/>
                      <w:szCs w:val="21"/>
                      <w:highlight w:val="none"/>
                    </w:rPr>
                    <w:t>。</w:t>
                  </w:r>
                  <w:r>
                    <w:rPr>
                      <w:rFonts w:hint="eastAsia" w:ascii="Times New Roman" w:hAnsi="Times New Roman" w:eastAsia="宋体" w:cs="宋体"/>
                      <w:color w:val="auto"/>
                      <w:kern w:val="0"/>
                      <w:szCs w:val="21"/>
                      <w:highlight w:val="none"/>
                    </w:rPr>
                    <w:t>纳污水体</w:t>
                  </w:r>
                  <w:r>
                    <w:rPr>
                      <w:rFonts w:hint="eastAsia" w:cs="宋体"/>
                      <w:color w:val="auto"/>
                      <w:kern w:val="0"/>
                      <w:szCs w:val="21"/>
                      <w:highlight w:val="none"/>
                      <w:lang w:eastAsia="zh-CN"/>
                    </w:rPr>
                    <w:t>尧塘河</w:t>
                  </w:r>
                  <w:r>
                    <w:rPr>
                      <w:rFonts w:hint="eastAsia" w:ascii="Times New Roman" w:hAnsi="Times New Roman" w:eastAsia="宋体" w:cs="宋体"/>
                      <w:color w:val="auto"/>
                      <w:kern w:val="0"/>
                      <w:szCs w:val="21"/>
                      <w:highlight w:val="none"/>
                    </w:rPr>
                    <w:t>各</w:t>
                  </w:r>
                  <w:r>
                    <w:rPr>
                      <w:rFonts w:ascii="Times New Roman" w:hAnsi="Times New Roman" w:eastAsia="宋体" w:cs="宋体"/>
                      <w:color w:val="auto"/>
                      <w:kern w:val="0"/>
                      <w:szCs w:val="21"/>
                      <w:highlight w:val="none"/>
                    </w:rPr>
                    <w:t>监测断面pH</w:t>
                  </w:r>
                  <w:r>
                    <w:rPr>
                      <w:rFonts w:hint="eastAsia" w:ascii="Times New Roman" w:hAnsi="Times New Roman" w:eastAsia="宋体" w:cs="宋体"/>
                      <w:color w:val="auto"/>
                      <w:kern w:val="0"/>
                      <w:szCs w:val="21"/>
                      <w:highlight w:val="none"/>
                    </w:rPr>
                    <w:t>值</w:t>
                  </w:r>
                  <w:r>
                    <w:rPr>
                      <w:rFonts w:ascii="Times New Roman" w:hAnsi="Times New Roman" w:eastAsia="宋体" w:cs="宋体"/>
                      <w:color w:val="auto"/>
                      <w:kern w:val="0"/>
                      <w:szCs w:val="21"/>
                      <w:highlight w:val="none"/>
                    </w:rPr>
                    <w:t>、COD、NH</w:t>
                  </w:r>
                  <w:r>
                    <w:rPr>
                      <w:rFonts w:ascii="Times New Roman" w:hAnsi="Times New Roman" w:eastAsia="宋体" w:cs="宋体"/>
                      <w:color w:val="auto"/>
                      <w:kern w:val="0"/>
                      <w:szCs w:val="21"/>
                      <w:highlight w:val="none"/>
                      <w:vertAlign w:val="subscript"/>
                    </w:rPr>
                    <w:t>3</w:t>
                  </w:r>
                  <w:r>
                    <w:rPr>
                      <w:rFonts w:ascii="Times New Roman" w:hAnsi="Times New Roman" w:eastAsia="宋体" w:cs="宋体"/>
                      <w:color w:val="auto"/>
                      <w:kern w:val="0"/>
                      <w:szCs w:val="21"/>
                      <w:highlight w:val="none"/>
                    </w:rPr>
                    <w:t>-N、TP均达到《地表水环境质量标准》（GB3838-2002）中的</w:t>
                  </w:r>
                  <w:r>
                    <w:rPr>
                      <w:rFonts w:hint="eastAsia" w:ascii="Times New Roman" w:hAnsi="Times New Roman" w:eastAsia="宋体" w:cs="宋体"/>
                      <w:color w:val="auto"/>
                      <w:spacing w:val="6"/>
                      <w:szCs w:val="21"/>
                      <w:highlight w:val="none"/>
                    </w:rPr>
                    <w:t>Ⅲ类</w:t>
                  </w:r>
                  <w:r>
                    <w:rPr>
                      <w:rFonts w:ascii="Times New Roman" w:hAnsi="Times New Roman" w:eastAsia="宋体" w:cs="宋体"/>
                      <w:color w:val="auto"/>
                      <w:kern w:val="0"/>
                      <w:szCs w:val="21"/>
                      <w:highlight w:val="none"/>
                    </w:rPr>
                    <w:t>水质标准限值。项目所在地声环境质量</w:t>
                  </w:r>
                  <w:r>
                    <w:rPr>
                      <w:rFonts w:hint="eastAsia" w:ascii="Times New Roman" w:hAnsi="Times New Roman" w:eastAsia="宋体" w:cs="宋体"/>
                      <w:color w:val="auto"/>
                      <w:kern w:val="0"/>
                      <w:szCs w:val="21"/>
                      <w:highlight w:val="none"/>
                    </w:rPr>
                    <w:t>达到</w:t>
                  </w:r>
                  <w:r>
                    <w:rPr>
                      <w:rFonts w:ascii="Times New Roman" w:hAnsi="Times New Roman" w:eastAsia="宋体" w:cs="宋体"/>
                      <w:color w:val="auto"/>
                      <w:kern w:val="0"/>
                      <w:szCs w:val="21"/>
                      <w:highlight w:val="none"/>
                    </w:rPr>
                    <w:t>《声环境质量标准》（GB3096-2008）</w:t>
                  </w:r>
                  <w:r>
                    <w:rPr>
                      <w:rFonts w:hint="eastAsia" w:ascii="Times New Roman" w:hAnsi="Times New Roman" w:eastAsia="宋体" w:cs="宋体"/>
                      <w:color w:val="auto"/>
                      <w:kern w:val="0"/>
                      <w:szCs w:val="21"/>
                      <w:highlight w:val="none"/>
                    </w:rPr>
                    <w:t>中的</w:t>
                  </w:r>
                  <w:r>
                    <w:rPr>
                      <w:rFonts w:hint="eastAsia" w:cs="宋体"/>
                      <w:color w:val="auto"/>
                      <w:szCs w:val="21"/>
                      <w:highlight w:val="none"/>
                      <w:lang w:val="en-US" w:eastAsia="zh-CN"/>
                    </w:rPr>
                    <w:t>3</w:t>
                  </w:r>
                  <w:r>
                    <w:rPr>
                      <w:rFonts w:hint="eastAsia" w:ascii="Times New Roman" w:hAnsi="Times New Roman" w:eastAsia="宋体" w:cs="宋体"/>
                      <w:color w:val="auto"/>
                      <w:szCs w:val="21"/>
                      <w:highlight w:val="none"/>
                    </w:rPr>
                    <w:t>类</w:t>
                  </w:r>
                  <w:r>
                    <w:rPr>
                      <w:rFonts w:hint="eastAsia" w:ascii="Times New Roman" w:hAnsi="Times New Roman" w:eastAsia="宋体" w:cs="宋体"/>
                      <w:color w:val="auto"/>
                      <w:kern w:val="0"/>
                      <w:szCs w:val="21"/>
                      <w:highlight w:val="none"/>
                    </w:rPr>
                    <w:t>标准</w:t>
                  </w:r>
                  <w:r>
                    <w:rPr>
                      <w:rFonts w:ascii="Times New Roman" w:hAnsi="Times New Roman" w:eastAsia="宋体" w:cs="宋体"/>
                      <w:color w:val="auto"/>
                      <w:kern w:val="0"/>
                      <w:szCs w:val="21"/>
                      <w:highlight w:val="none"/>
                    </w:rPr>
                    <w:t>。</w:t>
                  </w:r>
                </w:p>
                <w:p w14:paraId="2C763B9B">
                  <w:pPr>
                    <w:snapToGrid w:val="0"/>
                    <w:ind w:firstLine="420" w:firstLineChars="200"/>
                    <w:jc w:val="left"/>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kern w:val="0"/>
                      <w:szCs w:val="21"/>
                      <w:highlight w:val="none"/>
                    </w:rPr>
                    <w:t>环境质量现状监测结果表明，项目所在地虽属大气环境质量非达标区，但从提供的</w:t>
                  </w:r>
                  <w:r>
                    <w:rPr>
                      <w:rFonts w:ascii="Times New Roman" w:hAnsi="Times New Roman" w:eastAsia="宋体" w:cs="宋体"/>
                      <w:color w:val="auto"/>
                      <w:kern w:val="0"/>
                      <w:szCs w:val="21"/>
                      <w:highlight w:val="none"/>
                    </w:rPr>
                    <w:t>补充监测</w:t>
                  </w:r>
                  <w:r>
                    <w:rPr>
                      <w:rFonts w:hint="eastAsia" w:ascii="Times New Roman" w:hAnsi="Times New Roman" w:eastAsia="宋体" w:cs="宋体"/>
                      <w:color w:val="auto"/>
                      <w:kern w:val="0"/>
                      <w:szCs w:val="21"/>
                      <w:highlight w:val="none"/>
                    </w:rPr>
                    <w:t>报告结果看，与项目产排污相关联的大气特征污染物的环境质量总体尚好。项目新增的废气、废水污染物排放总量已按有关规定落实了倍量和等量平衡方案，固体废物落实了安全处置措施。建设单位通过全面落实各项污染治理措施，大力推行清洁生产，各类污染物能得到有效控制污染负荷有限，不会降低当地大气环境质量等级，项目建设具有相应的环境基础，</w:t>
                  </w:r>
                  <w:r>
                    <w:rPr>
                      <w:rFonts w:ascii="Times New Roman" w:hAnsi="Times New Roman" w:eastAsia="宋体" w:cs="宋体"/>
                      <w:color w:val="auto"/>
                      <w:kern w:val="0"/>
                      <w:szCs w:val="21"/>
                      <w:highlight w:val="none"/>
                    </w:rPr>
                    <w:t>不会突破项目所在地环境质量底线，因此项目的建设符合环境质量底线标准</w:t>
                  </w:r>
                  <w:r>
                    <w:rPr>
                      <w:rFonts w:hint="eastAsia" w:ascii="Times New Roman" w:hAnsi="Times New Roman" w:eastAsia="宋体" w:cs="宋体"/>
                      <w:color w:val="auto"/>
                      <w:kern w:val="0"/>
                      <w:szCs w:val="21"/>
                      <w:highlight w:val="none"/>
                    </w:rPr>
                    <w:t>。</w:t>
                  </w:r>
                </w:p>
              </w:tc>
              <w:tc>
                <w:tcPr>
                  <w:tcW w:w="320" w:type="pct"/>
                  <w:vAlign w:val="center"/>
                </w:tcPr>
                <w:p w14:paraId="3F9BACA3">
                  <w:pPr>
                    <w:snapToGrid w:val="0"/>
                    <w:jc w:val="center"/>
                    <w:textAlignment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是</w:t>
                  </w:r>
                </w:p>
              </w:tc>
            </w:tr>
            <w:tr w14:paraId="73D2E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Align w:val="center"/>
                </w:tcPr>
                <w:p w14:paraId="27ADF59F">
                  <w:pPr>
                    <w:snapToGrid w:val="0"/>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资源利用上限</w:t>
                  </w:r>
                </w:p>
              </w:tc>
              <w:tc>
                <w:tcPr>
                  <w:tcW w:w="4315" w:type="pct"/>
                  <w:vAlign w:val="center"/>
                </w:tcPr>
                <w:p w14:paraId="094D8F05">
                  <w:pPr>
                    <w:snapToGrid w:val="0"/>
                    <w:ind w:firstLine="420" w:firstLineChars="200"/>
                    <w:jc w:val="left"/>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本项目属于非资源消耗型项目，区域内土地、能源、水等资源的承载力相容性较好，项目不新增建设用地，利用的水、电、燃气等资源供应有可靠保障，不触及所在地资源利用的上限</w:t>
                  </w:r>
                  <w:r>
                    <w:rPr>
                      <w:rFonts w:ascii="Times New Roman" w:hAnsi="Times New Roman" w:eastAsia="宋体" w:cs="宋体"/>
                      <w:color w:val="auto"/>
                      <w:szCs w:val="21"/>
                      <w:highlight w:val="none"/>
                    </w:rPr>
                    <w:t>。</w:t>
                  </w:r>
                </w:p>
              </w:tc>
              <w:tc>
                <w:tcPr>
                  <w:tcW w:w="320" w:type="pct"/>
                  <w:vAlign w:val="center"/>
                </w:tcPr>
                <w:p w14:paraId="380AD722">
                  <w:pPr>
                    <w:snapToGrid w:val="0"/>
                    <w:jc w:val="center"/>
                    <w:textAlignment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是</w:t>
                  </w:r>
                </w:p>
              </w:tc>
            </w:tr>
            <w:tr w14:paraId="64778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5" w:type="pct"/>
                  <w:vAlign w:val="center"/>
                </w:tcPr>
                <w:p w14:paraId="029B46B6">
                  <w:pPr>
                    <w:snapToGrid w:val="0"/>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环境准入负面清单</w:t>
                  </w:r>
                </w:p>
              </w:tc>
              <w:tc>
                <w:tcPr>
                  <w:tcW w:w="4315" w:type="pct"/>
                  <w:vAlign w:val="center"/>
                </w:tcPr>
                <w:p w14:paraId="58A5CA26">
                  <w:pPr>
                    <w:snapToGrid w:val="0"/>
                    <w:ind w:firstLine="420" w:firstLineChars="200"/>
                    <w:jc w:val="left"/>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经对照，本项目不属于</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长江经济带发展负面清单指南（试行</w:t>
                  </w:r>
                  <w:r>
                    <w:rPr>
                      <w:rFonts w:hint="eastAsia" w:ascii="Times New Roman" w:hAnsi="Times New Roman" w:eastAsia="宋体" w:cs="宋体"/>
                      <w:bCs/>
                      <w:color w:val="auto"/>
                      <w:szCs w:val="21"/>
                      <w:highlight w:val="none"/>
                    </w:rPr>
                    <w:t>，2022年版</w:t>
                  </w:r>
                  <w:r>
                    <w:rPr>
                      <w:rFonts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rPr>
                    <w:t>》中的禁止建设内容、</w:t>
                  </w:r>
                  <w:r>
                    <w:rPr>
                      <w:rFonts w:hint="eastAsia" w:ascii="Times New Roman" w:hAnsi="Times New Roman" w:eastAsia="宋体" w:cs="宋体"/>
                      <w:color w:val="auto"/>
                      <w:kern w:val="0"/>
                      <w:szCs w:val="21"/>
                      <w:highlight w:val="none"/>
                    </w:rPr>
                    <w:t>《市场准入负面清单（2022年版）》中的禁止准入类、</w:t>
                  </w:r>
                  <w:r>
                    <w:rPr>
                      <w:rFonts w:hint="eastAsia" w:ascii="Times New Roman" w:hAnsi="Times New Roman" w:eastAsia="宋体" w:cs="宋体"/>
                      <w:bCs/>
                      <w:color w:val="auto"/>
                      <w:szCs w:val="21"/>
                      <w:highlight w:val="none"/>
                    </w:rPr>
                    <w:t>《环境保护综合目录（2021年版）》中的高污染、高环境风险产品目录、</w:t>
                  </w:r>
                  <w:r>
                    <w:rPr>
                      <w:rFonts w:hint="eastAsia" w:ascii="Times New Roman" w:hAnsi="Times New Roman" w:eastAsia="宋体" w:cs="宋体"/>
                      <w:color w:val="auto"/>
                      <w:kern w:val="0"/>
                      <w:szCs w:val="21"/>
                      <w:highlight w:val="none"/>
                    </w:rPr>
                    <w:t>《关于坚决遏制“两高”项目盲目发展的通知》</w:t>
                  </w:r>
                  <w:r>
                    <w:rPr>
                      <w:rFonts w:hint="eastAsia" w:cs="宋体"/>
                      <w:color w:val="auto"/>
                      <w:kern w:val="0"/>
                      <w:szCs w:val="21"/>
                      <w:highlight w:val="none"/>
                      <w:lang w:eastAsia="zh-CN"/>
                    </w:rPr>
                    <w:t>、</w:t>
                  </w:r>
                  <w:r>
                    <w:rPr>
                      <w:rFonts w:hint="eastAsia"/>
                      <w:color w:val="auto"/>
                    </w:rPr>
                    <w:t>《江苏省“两高”项目管理目录(2024年版)</w:t>
                  </w:r>
                  <w:r>
                    <w:rPr>
                      <w:rFonts w:hint="eastAsia"/>
                      <w:color w:val="auto"/>
                      <w:lang w:eastAsia="zh-CN"/>
                    </w:rPr>
                    <w:t>》</w:t>
                  </w:r>
                  <w:r>
                    <w:rPr>
                      <w:rFonts w:hint="eastAsia" w:ascii="Times New Roman" w:hAnsi="Times New Roman" w:eastAsia="宋体" w:cs="宋体"/>
                      <w:color w:val="auto"/>
                      <w:kern w:val="0"/>
                      <w:szCs w:val="21"/>
                      <w:highlight w:val="none"/>
                    </w:rPr>
                    <w:t>中的所列行业、《</w:t>
                  </w:r>
                  <w:r>
                    <w:rPr>
                      <w:rFonts w:hint="eastAsia" w:ascii="Times New Roman" w:hAnsi="Times New Roman" w:eastAsia="宋体" w:cs="宋体"/>
                      <w:bCs/>
                      <w:color w:val="auto"/>
                      <w:kern w:val="0"/>
                      <w:szCs w:val="21"/>
                      <w:highlight w:val="none"/>
                    </w:rPr>
                    <w:t>关于加强高耗能、高排放建设项目生态环境源头防控的指导意见</w:t>
                  </w:r>
                  <w:r>
                    <w:rPr>
                      <w:rFonts w:hint="eastAsia" w:ascii="Times New Roman" w:hAnsi="Times New Roman" w:eastAsia="宋体" w:cs="宋体"/>
                      <w:color w:val="auto"/>
                      <w:kern w:val="0"/>
                      <w:szCs w:val="21"/>
                      <w:highlight w:val="none"/>
                    </w:rPr>
                    <w:t>》（环环评</w:t>
                  </w:r>
                  <w:r>
                    <w:rPr>
                      <w:rFonts w:hint="eastAsia" w:ascii="Times New Roman" w:hAnsi="Times New Roman" w:eastAsia="宋体" w:cs="宋体"/>
                      <w:color w:val="auto"/>
                      <w:szCs w:val="21"/>
                      <w:highlight w:val="none"/>
                    </w:rPr>
                    <w:t>〔2021〕</w:t>
                  </w:r>
                  <w:r>
                    <w:rPr>
                      <w:rFonts w:hint="eastAsia" w:ascii="Times New Roman" w:hAnsi="Times New Roman" w:eastAsia="宋体" w:cs="宋体"/>
                      <w:color w:val="auto"/>
                      <w:kern w:val="0"/>
                      <w:szCs w:val="21"/>
                      <w:highlight w:val="none"/>
                    </w:rPr>
                    <w:t>45号）中的所列行业、《</w:t>
                  </w:r>
                  <w:r>
                    <w:rPr>
                      <w:rFonts w:ascii="Times New Roman" w:hAnsi="Times New Roman" w:eastAsia="宋体" w:cs="宋体"/>
                      <w:color w:val="auto"/>
                      <w:kern w:val="0"/>
                      <w:szCs w:val="21"/>
                      <w:highlight w:val="none"/>
                    </w:rPr>
                    <w:t>省生态环境厅关于报送高耗能、高排放项目清单的通知</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（苏环便函</w:t>
                  </w:r>
                  <w:r>
                    <w:rPr>
                      <w:rFonts w:hint="eastAsia" w:ascii="Times New Roman" w:hAnsi="Times New Roman" w:eastAsia="宋体" w:cs="宋体"/>
                      <w:color w:val="auto"/>
                      <w:szCs w:val="21"/>
                      <w:highlight w:val="none"/>
                    </w:rPr>
                    <w:t>〔2021〕</w:t>
                  </w:r>
                  <w:r>
                    <w:rPr>
                      <w:rFonts w:ascii="Times New Roman" w:hAnsi="Times New Roman" w:eastAsia="宋体" w:cs="宋体"/>
                      <w:color w:val="auto"/>
                      <w:kern w:val="0"/>
                      <w:szCs w:val="21"/>
                      <w:highlight w:val="none"/>
                    </w:rPr>
                    <w:t>903号）</w:t>
                  </w:r>
                  <w:r>
                    <w:rPr>
                      <w:rFonts w:hint="eastAsia" w:ascii="Times New Roman" w:hAnsi="Times New Roman" w:eastAsia="宋体" w:cs="宋体"/>
                      <w:color w:val="auto"/>
                      <w:kern w:val="0"/>
                      <w:szCs w:val="21"/>
                      <w:highlight w:val="none"/>
                    </w:rPr>
                    <w:t>中的所列行业，《关于进一步加强重金属污染防控的意见》（环固体</w:t>
                  </w:r>
                  <w:r>
                    <w:rPr>
                      <w:rFonts w:hint="eastAsia" w:ascii="Times New Roman" w:hAnsi="Times New Roman" w:eastAsia="宋体" w:cs="宋体"/>
                      <w:color w:val="auto"/>
                      <w:szCs w:val="21"/>
                      <w:highlight w:val="none"/>
                    </w:rPr>
                    <w:t>〔2022〕</w:t>
                  </w:r>
                  <w:r>
                    <w:rPr>
                      <w:rFonts w:hint="eastAsia" w:ascii="Times New Roman" w:hAnsi="Times New Roman" w:eastAsia="宋体" w:cs="宋体"/>
                      <w:color w:val="auto"/>
                      <w:kern w:val="0"/>
                      <w:szCs w:val="21"/>
                      <w:highlight w:val="none"/>
                    </w:rPr>
                    <w:t>17号）中的重点行业，《</w:t>
                  </w:r>
                  <w:r>
                    <w:rPr>
                      <w:rFonts w:hint="eastAsia" w:ascii="Times New Roman" w:hAnsi="Times New Roman" w:eastAsia="宋体" w:cs="宋体"/>
                      <w:color w:val="auto"/>
                      <w:szCs w:val="21"/>
                      <w:highlight w:val="none"/>
                    </w:rPr>
                    <w:t>省生态环境厅印发关于进一步加强重金属污染防控工作的实施方案的通知</w:t>
                  </w:r>
                  <w:r>
                    <w:rPr>
                      <w:rFonts w:hint="eastAsia" w:ascii="Times New Roman" w:hAnsi="Times New Roman" w:eastAsia="宋体" w:cs="宋体"/>
                      <w:color w:val="auto"/>
                      <w:kern w:val="0"/>
                      <w:szCs w:val="21"/>
                      <w:highlight w:val="none"/>
                    </w:rPr>
                    <w:t>》</w:t>
                  </w:r>
                  <w:r>
                    <w:rPr>
                      <w:rFonts w:hint="eastAsia" w:ascii="Times New Roman" w:hAnsi="Times New Roman" w:eastAsia="宋体" w:cs="宋体"/>
                      <w:color w:val="auto"/>
                      <w:szCs w:val="21"/>
                      <w:highlight w:val="none"/>
                    </w:rPr>
                    <w:t>（苏环办〔2022〕155号）中的重点行业及重点污染物。</w:t>
                  </w:r>
                </w:p>
              </w:tc>
              <w:tc>
                <w:tcPr>
                  <w:tcW w:w="320" w:type="pct"/>
                  <w:vAlign w:val="center"/>
                </w:tcPr>
                <w:p w14:paraId="4FCA5043">
                  <w:pPr>
                    <w:snapToGrid w:val="0"/>
                    <w:jc w:val="center"/>
                    <w:textAlignment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是</w:t>
                  </w:r>
                </w:p>
              </w:tc>
            </w:tr>
          </w:tbl>
          <w:p w14:paraId="122E8831">
            <w:pPr>
              <w:spacing w:line="360" w:lineRule="auto"/>
              <w:ind w:firstLine="480" w:firstLineChars="200"/>
              <w:rPr>
                <w:rFonts w:ascii="Times New Roman" w:hAnsi="Times New Roman" w:eastAsia="宋体" w:cs="宋体"/>
                <w:bCs/>
                <w:color w:val="auto"/>
                <w:sz w:val="24"/>
                <w:highlight w:val="none"/>
              </w:rPr>
            </w:pPr>
            <w:r>
              <w:rPr>
                <w:rFonts w:hint="eastAsia" w:ascii="Times New Roman" w:hAnsi="Times New Roman" w:eastAsia="宋体" w:cs="宋体"/>
                <w:color w:val="auto"/>
                <w:sz w:val="24"/>
                <w:highlight w:val="none"/>
              </w:rPr>
              <w:t>（2）根据《江苏省2023年度生态环境分区管控动态更新成果公告》，</w:t>
            </w:r>
            <w:r>
              <w:rPr>
                <w:rFonts w:hint="eastAsia" w:ascii="Times New Roman" w:hAnsi="Times New Roman" w:eastAsia="宋体" w:cs="宋体"/>
                <w:bCs/>
                <w:color w:val="auto"/>
                <w:sz w:val="24"/>
                <w:highlight w:val="none"/>
              </w:rPr>
              <w:t>本项目</w:t>
            </w:r>
            <w:r>
              <w:rPr>
                <w:rFonts w:hint="eastAsia" w:cs="宋体"/>
                <w:bCs/>
                <w:color w:val="auto"/>
                <w:sz w:val="24"/>
                <w:highlight w:val="none"/>
                <w:lang w:val="en-US" w:eastAsia="zh-CN"/>
              </w:rPr>
              <w:t>属于</w:t>
            </w:r>
            <w:r>
              <w:rPr>
                <w:rFonts w:hint="eastAsia" w:ascii="Times New Roman" w:hAnsi="Times New Roman" w:eastAsia="宋体" w:cs="宋体"/>
                <w:bCs/>
                <w:color w:val="auto"/>
                <w:sz w:val="24"/>
                <w:highlight w:val="none"/>
              </w:rPr>
              <w:t>太湖流域，</w:t>
            </w:r>
            <w:r>
              <w:rPr>
                <w:rFonts w:hint="eastAsia" w:cs="宋体"/>
                <w:bCs/>
                <w:color w:val="auto"/>
                <w:sz w:val="24"/>
                <w:highlight w:val="none"/>
                <w:lang w:val="en-US" w:eastAsia="zh-CN"/>
              </w:rPr>
              <w:t>为</w:t>
            </w:r>
            <w:r>
              <w:rPr>
                <w:rFonts w:hint="eastAsia" w:ascii="Times New Roman" w:hAnsi="Times New Roman" w:eastAsia="宋体" w:cs="宋体"/>
                <w:bCs/>
                <w:color w:val="auto"/>
                <w:sz w:val="24"/>
                <w:highlight w:val="none"/>
              </w:rPr>
              <w:t>江苏省重点管控单元</w:t>
            </w:r>
            <w:r>
              <w:rPr>
                <w:rFonts w:ascii="Times New Roman" w:hAnsi="Times New Roman" w:eastAsia="宋体" w:cs="宋体"/>
                <w:bCs/>
                <w:color w:val="auto"/>
                <w:sz w:val="24"/>
                <w:highlight w:val="none"/>
              </w:rPr>
              <w:t>。</w:t>
            </w:r>
          </w:p>
          <w:p w14:paraId="622C0F9C">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表1</w:t>
            </w:r>
            <w:r>
              <w:rPr>
                <w:rFonts w:hint="eastAsia" w:ascii="Times New Roman" w:hAnsi="Times New Roman" w:eastAsia="宋体" w:cs="宋体"/>
                <w:b/>
                <w:bCs/>
                <w:color w:val="auto"/>
                <w:spacing w:val="-4"/>
                <w:szCs w:val="21"/>
                <w:highlight w:val="none"/>
              </w:rPr>
              <w:t>-3  江苏省</w:t>
            </w:r>
            <w:r>
              <w:rPr>
                <w:rFonts w:ascii="Times New Roman" w:hAnsi="Times New Roman" w:eastAsia="宋体" w:cs="宋体"/>
                <w:b/>
                <w:bCs/>
                <w:color w:val="auto"/>
                <w:spacing w:val="-4"/>
                <w:szCs w:val="21"/>
                <w:highlight w:val="none"/>
              </w:rPr>
              <w:t>生态环境准入清单</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2"/>
              <w:gridCol w:w="6259"/>
              <w:gridCol w:w="849"/>
            </w:tblGrid>
            <w:tr w14:paraId="13CA6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pct"/>
                  <w:vAlign w:val="center"/>
                </w:tcPr>
                <w:p w14:paraId="70F38BE8">
                  <w:pPr>
                    <w:keepNext w:val="0"/>
                    <w:keepLines w:val="0"/>
                    <w:pageBreakBefore w:val="0"/>
                    <w:widowControl w:val="0"/>
                    <w:kinsoku/>
                    <w:wordWrap/>
                    <w:overflowPunct/>
                    <w:topLinePunct w:val="0"/>
                    <w:autoSpaceDE/>
                    <w:autoSpaceDN/>
                    <w:bidi w:val="0"/>
                    <w:adjustRightInd/>
                    <w:snapToGrid w:val="0"/>
                    <w:spacing w:line="300" w:lineRule="exact"/>
                    <w:jc w:val="center"/>
                    <w:rPr>
                      <w:rFonts w:hint="eastAsia" w:ascii="Times New Roman" w:hAnsi="Times New Roman" w:eastAsia="宋体" w:cs="宋体"/>
                      <w:b/>
                      <w:color w:val="auto"/>
                      <w:szCs w:val="21"/>
                      <w:highlight w:val="none"/>
                      <w:lang w:eastAsia="zh-CN"/>
                    </w:rPr>
                  </w:pPr>
                  <w:r>
                    <w:rPr>
                      <w:rFonts w:hint="eastAsia" w:cs="宋体"/>
                      <w:b/>
                      <w:color w:val="auto"/>
                      <w:szCs w:val="21"/>
                      <w:highlight w:val="none"/>
                      <w:lang w:val="en-US" w:eastAsia="zh-CN"/>
                    </w:rPr>
                    <w:t>条款</w:t>
                  </w:r>
                </w:p>
              </w:tc>
              <w:tc>
                <w:tcPr>
                  <w:tcW w:w="3936" w:type="pct"/>
                  <w:vAlign w:val="center"/>
                </w:tcPr>
                <w:p w14:paraId="2C47AF06">
                  <w:pPr>
                    <w:keepNext w:val="0"/>
                    <w:keepLines w:val="0"/>
                    <w:pageBreakBefore w:val="0"/>
                    <w:widowControl w:val="0"/>
                    <w:kinsoku/>
                    <w:wordWrap/>
                    <w:overflowPunct/>
                    <w:topLinePunct w:val="0"/>
                    <w:autoSpaceDE/>
                    <w:autoSpaceDN/>
                    <w:bidi w:val="0"/>
                    <w:adjustRightInd/>
                    <w:snapToGrid w:val="0"/>
                    <w:spacing w:line="300" w:lineRule="exact"/>
                    <w:jc w:val="center"/>
                    <w:rPr>
                      <w:rFonts w:hint="eastAsia" w:ascii="Times New Roman" w:hAnsi="Times New Roman" w:eastAsia="宋体" w:cs="宋体"/>
                      <w:b/>
                      <w:color w:val="auto"/>
                      <w:szCs w:val="21"/>
                      <w:highlight w:val="none"/>
                      <w:lang w:eastAsia="zh-CN"/>
                    </w:rPr>
                  </w:pPr>
                  <w:r>
                    <w:rPr>
                      <w:rFonts w:hint="eastAsia" w:ascii="Times New Roman" w:hAnsi="Times New Roman" w:eastAsia="宋体" w:cs="宋体"/>
                      <w:b/>
                      <w:color w:val="auto"/>
                      <w:szCs w:val="21"/>
                      <w:highlight w:val="none"/>
                    </w:rPr>
                    <w:t>生态环境准入清单</w:t>
                  </w:r>
                  <w:r>
                    <w:rPr>
                      <w:rFonts w:hint="eastAsia" w:cs="宋体"/>
                      <w:b/>
                      <w:color w:val="auto"/>
                      <w:szCs w:val="21"/>
                      <w:highlight w:val="none"/>
                      <w:lang w:eastAsia="zh-CN"/>
                    </w:rPr>
                    <w:t>（</w:t>
                  </w:r>
                  <w:r>
                    <w:rPr>
                      <w:rFonts w:hint="eastAsia" w:cs="宋体"/>
                      <w:b/>
                      <w:color w:val="auto"/>
                      <w:szCs w:val="21"/>
                      <w:highlight w:val="none"/>
                      <w:lang w:val="en-US" w:eastAsia="zh-CN"/>
                    </w:rPr>
                    <w:t>太湖流域</w:t>
                  </w:r>
                  <w:r>
                    <w:rPr>
                      <w:rFonts w:hint="eastAsia" w:cs="宋体"/>
                      <w:b/>
                      <w:color w:val="auto"/>
                      <w:szCs w:val="21"/>
                      <w:highlight w:val="none"/>
                      <w:lang w:eastAsia="zh-CN"/>
                    </w:rPr>
                    <w:t>）</w:t>
                  </w:r>
                </w:p>
              </w:tc>
              <w:tc>
                <w:tcPr>
                  <w:tcW w:w="533" w:type="pct"/>
                  <w:vAlign w:val="center"/>
                </w:tcPr>
                <w:p w14:paraId="6388F613">
                  <w:pPr>
                    <w:keepNext w:val="0"/>
                    <w:keepLines w:val="0"/>
                    <w:pageBreakBefore w:val="0"/>
                    <w:widowControl w:val="0"/>
                    <w:kinsoku/>
                    <w:wordWrap/>
                    <w:overflowPunct/>
                    <w:topLinePunct w:val="0"/>
                    <w:autoSpaceDE/>
                    <w:autoSpaceDN/>
                    <w:bidi w:val="0"/>
                    <w:adjustRightInd/>
                    <w:snapToGrid w:val="0"/>
                    <w:spacing w:line="300" w:lineRule="exact"/>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对照分析</w:t>
                  </w:r>
                </w:p>
              </w:tc>
            </w:tr>
            <w:tr w14:paraId="3F238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pct"/>
                  <w:vAlign w:val="center"/>
                </w:tcPr>
                <w:p w14:paraId="5828640F">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空间布局约束</w:t>
                  </w:r>
                </w:p>
              </w:tc>
              <w:tc>
                <w:tcPr>
                  <w:tcW w:w="3936" w:type="pct"/>
                  <w:vAlign w:val="center"/>
                </w:tcPr>
                <w:p w14:paraId="4CB6A43E">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textAlignment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kern w:val="2"/>
                      <w:sz w:val="21"/>
                      <w:szCs w:val="21"/>
                      <w:lang w:val="en-US" w:eastAsia="zh-CN" w:bidi="ar-SA"/>
                    </w:rPr>
                    <w:t>1．</w:t>
                  </w:r>
                  <w:r>
                    <w:rPr>
                      <w:rFonts w:hint="eastAsia" w:ascii="Times New Roman" w:hAnsi="Times New Roman" w:eastAsia="宋体" w:cs="宋体"/>
                      <w:color w:val="auto"/>
                      <w:szCs w:val="21"/>
                      <w:highlight w:val="none"/>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68D107AD">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textAlignment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2．在太湖流域一级保护区，禁止新建、扩建向水体排放污染物的建设项目，禁止新建、扩建畜禽养殖场，禁止新建、扩建高尔夫球场、水上游乐等开发项目以及设置水上餐饮经营设施。</w:t>
                  </w:r>
                </w:p>
                <w:p w14:paraId="0C168CA1">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3．在太湖流域二级保护区，禁止新建、扩建化工、医药生产项目，禁止新建、扩建污水集中处理设施排污口以外的排污口。</w:t>
                  </w:r>
                </w:p>
              </w:tc>
              <w:tc>
                <w:tcPr>
                  <w:tcW w:w="533" w:type="pct"/>
                  <w:vAlign w:val="center"/>
                </w:tcPr>
                <w:p w14:paraId="5B1A00DF">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不属于禁止的企业和项目</w:t>
                  </w:r>
                </w:p>
              </w:tc>
            </w:tr>
            <w:tr w14:paraId="527A0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pct"/>
                  <w:vAlign w:val="center"/>
                </w:tcPr>
                <w:p w14:paraId="6D72D7DB">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污染物排放管控</w:t>
                  </w:r>
                </w:p>
              </w:tc>
              <w:tc>
                <w:tcPr>
                  <w:tcW w:w="3936" w:type="pct"/>
                  <w:vAlign w:val="center"/>
                </w:tcPr>
                <w:p w14:paraId="7F252156">
                  <w:pPr>
                    <w:keepNext w:val="0"/>
                    <w:keepLines w:val="0"/>
                    <w:pageBreakBefore w:val="0"/>
                    <w:widowControl w:val="0"/>
                    <w:kinsoku/>
                    <w:wordWrap/>
                    <w:overflowPunct/>
                    <w:topLinePunct w:val="0"/>
                    <w:autoSpaceDE/>
                    <w:autoSpaceDN/>
                    <w:bidi w:val="0"/>
                    <w:adjustRightInd/>
                    <w:snapToGrid w:val="0"/>
                    <w:spacing w:line="300" w:lineRule="exact"/>
                    <w:jc w:val="left"/>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城镇污水处理厂、纺织工业、化学工业、造纸工业、钢铁工业、电镀工业和食品工业的污水处理设施执行《太湖地区城镇污水处理厂及重点工业行业主要水污染物排放限值》</w:t>
                  </w:r>
                  <w:r>
                    <w:rPr>
                      <w:rFonts w:ascii="Times New Roman" w:hAnsi="Times New Roman" w:eastAsia="宋体" w:cs="宋体"/>
                      <w:color w:val="auto"/>
                      <w:szCs w:val="21"/>
                      <w:highlight w:val="none"/>
                    </w:rPr>
                    <w:t>。</w:t>
                  </w:r>
                </w:p>
              </w:tc>
              <w:tc>
                <w:tcPr>
                  <w:tcW w:w="533" w:type="pct"/>
                  <w:vAlign w:val="center"/>
                </w:tcPr>
                <w:p w14:paraId="222DF49D">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不属于上述工业</w:t>
                  </w:r>
                </w:p>
              </w:tc>
            </w:tr>
            <w:tr w14:paraId="3D33A1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pct"/>
                  <w:vAlign w:val="center"/>
                </w:tcPr>
                <w:p w14:paraId="7D0CAEB8">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环境风险防控</w:t>
                  </w:r>
                </w:p>
              </w:tc>
              <w:tc>
                <w:tcPr>
                  <w:tcW w:w="3936" w:type="pct"/>
                  <w:vAlign w:val="center"/>
                </w:tcPr>
                <w:p w14:paraId="13955CFE">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rPr>
                      <w:rFonts w:hint="eastAsia" w:ascii="Times New Roman" w:hAnsi="Times New Roman" w:eastAsia="宋体" w:cs="宋体"/>
                      <w:color w:val="auto"/>
                      <w:szCs w:val="21"/>
                      <w:highlight w:val="none"/>
                    </w:rPr>
                  </w:pPr>
                  <w:r>
                    <w:rPr>
                      <w:rFonts w:hint="eastAsia" w:ascii="Times New Roman" w:hAnsi="Times New Roman" w:eastAsia="宋体" w:cs="宋体"/>
                      <w:color w:val="auto"/>
                      <w:kern w:val="2"/>
                      <w:sz w:val="21"/>
                      <w:szCs w:val="21"/>
                      <w:lang w:val="en-US" w:eastAsia="zh-CN" w:bidi="ar-SA"/>
                    </w:rPr>
                    <w:t>1．</w:t>
                  </w:r>
                  <w:r>
                    <w:rPr>
                      <w:rFonts w:hint="eastAsia" w:ascii="Times New Roman" w:hAnsi="Times New Roman" w:eastAsia="宋体" w:cs="宋体"/>
                      <w:color w:val="auto"/>
                      <w:szCs w:val="21"/>
                      <w:highlight w:val="none"/>
                    </w:rPr>
                    <w:t>运输剧毒物质、危险化学品的船舶不得进入太湖。</w:t>
                  </w:r>
                </w:p>
                <w:p w14:paraId="0504D0A1">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 xml:space="preserve">2．禁止向太湖流域水体排放或者倾倒油类、酸液、碱液、剧毒废渣废液、含放射性废渣废液、含病原体污水、工业废渣以及其他废弃物。 </w:t>
                  </w:r>
                </w:p>
                <w:p w14:paraId="79336993">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3．加强太湖流域生态环境风险应急管控，着力提高防控太湖蓝藻水华风险预警和应急处置能力。</w:t>
                  </w:r>
                </w:p>
              </w:tc>
              <w:tc>
                <w:tcPr>
                  <w:tcW w:w="533" w:type="pct"/>
                  <w:vAlign w:val="center"/>
                </w:tcPr>
                <w:p w14:paraId="16F63595">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不涉及</w:t>
                  </w:r>
                </w:p>
              </w:tc>
            </w:tr>
            <w:tr w14:paraId="6CDC9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9" w:type="pct"/>
                  <w:vAlign w:val="center"/>
                </w:tcPr>
                <w:p w14:paraId="726DCC80">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资源</w:t>
                  </w:r>
                  <w:r>
                    <w:rPr>
                      <w:rFonts w:hint="eastAsia" w:cs="宋体"/>
                      <w:color w:val="auto"/>
                      <w:szCs w:val="21"/>
                      <w:highlight w:val="none"/>
                      <w:lang w:val="en-US" w:eastAsia="zh-CN"/>
                    </w:rPr>
                    <w:t>利用</w:t>
                  </w:r>
                  <w:r>
                    <w:rPr>
                      <w:rFonts w:hint="eastAsia" w:ascii="Times New Roman" w:hAnsi="Times New Roman" w:eastAsia="宋体" w:cs="宋体"/>
                      <w:color w:val="auto"/>
                      <w:szCs w:val="21"/>
                      <w:highlight w:val="none"/>
                    </w:rPr>
                    <w:t>效率要求</w:t>
                  </w:r>
                </w:p>
              </w:tc>
              <w:tc>
                <w:tcPr>
                  <w:tcW w:w="3936" w:type="pct"/>
                  <w:vAlign w:val="center"/>
                </w:tcPr>
                <w:p w14:paraId="5338D652">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rPr>
                      <w:rFonts w:hint="eastAsia" w:ascii="Times New Roman" w:hAnsi="Times New Roman" w:eastAsia="宋体" w:cs="宋体"/>
                      <w:color w:val="auto"/>
                      <w:szCs w:val="21"/>
                      <w:highlight w:val="none"/>
                    </w:rPr>
                  </w:pPr>
                  <w:r>
                    <w:rPr>
                      <w:rFonts w:hint="eastAsia" w:ascii="Times New Roman" w:hAnsi="Times New Roman" w:eastAsia="宋体" w:cs="宋体"/>
                      <w:color w:val="auto"/>
                      <w:kern w:val="2"/>
                      <w:sz w:val="21"/>
                      <w:szCs w:val="21"/>
                      <w:lang w:val="en-US" w:eastAsia="zh-CN" w:bidi="ar-SA"/>
                    </w:rPr>
                    <w:t>1．</w:t>
                  </w:r>
                  <w:r>
                    <w:rPr>
                      <w:rFonts w:hint="eastAsia" w:ascii="Times New Roman" w:hAnsi="Times New Roman" w:eastAsia="宋体" w:cs="宋体"/>
                      <w:color w:val="auto"/>
                      <w:szCs w:val="21"/>
                      <w:highlight w:val="none"/>
                    </w:rPr>
                    <w:t>严格用水定额管理制度，推进取用水规范化管理，科学制定用水定额并动态调整，对超过用水定额标准的企业分类分步先期实施节水改造，鼓励重点用水企业、园区建立智慧用水管理系统。</w:t>
                  </w:r>
                </w:p>
                <w:p w14:paraId="238D80AA">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2．推进新孟河、新沟河、望虞河、走马塘等河道联合调度，科学调控太湖水位</w:t>
                  </w:r>
                  <w:r>
                    <w:rPr>
                      <w:rFonts w:ascii="Times New Roman" w:hAnsi="Times New Roman" w:eastAsia="宋体" w:cs="宋体"/>
                      <w:bCs/>
                      <w:color w:val="auto"/>
                      <w:szCs w:val="21"/>
                      <w:highlight w:val="none"/>
                    </w:rPr>
                    <w:t>。</w:t>
                  </w:r>
                </w:p>
              </w:tc>
              <w:tc>
                <w:tcPr>
                  <w:tcW w:w="533" w:type="pct"/>
                  <w:vAlign w:val="center"/>
                </w:tcPr>
                <w:p w14:paraId="703D3781">
                  <w:pPr>
                    <w:keepNext w:val="0"/>
                    <w:keepLines w:val="0"/>
                    <w:pageBreakBefore w:val="0"/>
                    <w:widowControl w:val="0"/>
                    <w:kinsoku/>
                    <w:wordWrap/>
                    <w:overflowPunct/>
                    <w:topLinePunct w:val="0"/>
                    <w:autoSpaceDE/>
                    <w:autoSpaceDN/>
                    <w:bidi w:val="0"/>
                    <w:adjustRightInd/>
                    <w:snapToGrid w:val="0"/>
                    <w:spacing w:line="300" w:lineRule="exact"/>
                    <w:jc w:val="center"/>
                    <w:textAlignment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相符</w:t>
                  </w:r>
                </w:p>
              </w:tc>
            </w:tr>
          </w:tbl>
          <w:p w14:paraId="770DF0F0">
            <w:pPr>
              <w:keepLines/>
              <w:spacing w:line="360" w:lineRule="auto"/>
              <w:ind w:firstLine="480" w:firstLineChars="200"/>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（3）根据</w:t>
            </w:r>
            <w:r>
              <w:rPr>
                <w:rFonts w:hint="eastAsia" w:eastAsia="宋体" w:cs="Times New Roman"/>
                <w:color w:val="auto"/>
                <w:sz w:val="24"/>
                <w:szCs w:val="24"/>
                <w:lang w:val="en-US" w:eastAsia="zh-CN"/>
              </w:rPr>
              <w:t>《</w:t>
            </w:r>
            <w:r>
              <w:rPr>
                <w:rFonts w:hint="default" w:ascii="Times New Roman" w:hAnsi="Times New Roman" w:eastAsia="宋体" w:cs="Times New Roman"/>
                <w:color w:val="auto"/>
                <w:sz w:val="24"/>
                <w:szCs w:val="24"/>
              </w:rPr>
              <w:t>常州市生态环境分区管控动态更新成果（2023年版）</w:t>
            </w:r>
            <w:r>
              <w:rPr>
                <w:rFonts w:hint="eastAsia" w:eastAsia="宋体" w:cs="Times New Roman"/>
                <w:color w:val="auto"/>
                <w:sz w:val="24"/>
                <w:szCs w:val="24"/>
                <w:lang w:eastAsia="zh-CN"/>
              </w:rPr>
              <w:t>》</w:t>
            </w:r>
            <w:r>
              <w:rPr>
                <w:rFonts w:hint="eastAsia" w:ascii="Times New Roman" w:hAnsi="Times New Roman" w:eastAsia="宋体" w:cs="宋体"/>
                <w:bCs/>
                <w:color w:val="auto"/>
                <w:sz w:val="24"/>
                <w:highlight w:val="none"/>
              </w:rPr>
              <w:t>，本项目</w:t>
            </w:r>
            <w:r>
              <w:rPr>
                <w:rFonts w:hint="eastAsia" w:cs="宋体"/>
                <w:bCs/>
                <w:color w:val="auto"/>
                <w:sz w:val="24"/>
                <w:highlight w:val="none"/>
                <w:lang w:val="en-US" w:eastAsia="zh-CN"/>
              </w:rPr>
              <w:t>属于</w:t>
            </w:r>
            <w:r>
              <w:rPr>
                <w:rFonts w:hint="default" w:ascii="Times New Roman" w:hAnsi="Times New Roman" w:cs="Times New Roman"/>
                <w:bCs/>
                <w:color w:val="auto"/>
                <w:sz w:val="24"/>
                <w:szCs w:val="24"/>
              </w:rPr>
              <w:t>“</w:t>
            </w:r>
            <w:r>
              <w:rPr>
                <w:rFonts w:hint="eastAsia" w:cs="Times New Roman"/>
                <w:color w:val="auto"/>
                <w:sz w:val="24"/>
                <w:lang w:eastAsia="zh-CN"/>
              </w:rPr>
              <w:t>金坛经济开发区</w:t>
            </w:r>
            <w:r>
              <w:rPr>
                <w:rFonts w:hint="eastAsia" w:ascii="Times New Roman" w:hAnsi="Times New Roman" w:eastAsia="宋体" w:cs="宋体"/>
                <w:bCs/>
                <w:color w:val="auto"/>
                <w:sz w:val="24"/>
                <w:highlight w:val="none"/>
              </w:rPr>
              <w:t>，</w:t>
            </w:r>
            <w:r>
              <w:rPr>
                <w:rFonts w:hint="eastAsia" w:cs="宋体"/>
                <w:bCs/>
                <w:color w:val="auto"/>
                <w:sz w:val="24"/>
                <w:highlight w:val="none"/>
                <w:lang w:val="en-US" w:eastAsia="zh-CN"/>
              </w:rPr>
              <w:t>为</w:t>
            </w:r>
            <w:r>
              <w:rPr>
                <w:rFonts w:hint="eastAsia" w:ascii="Times New Roman" w:hAnsi="Times New Roman" w:eastAsia="宋体" w:cs="宋体"/>
                <w:bCs/>
                <w:color w:val="auto"/>
                <w:sz w:val="24"/>
                <w:highlight w:val="none"/>
              </w:rPr>
              <w:t>常州市</w:t>
            </w:r>
            <w:r>
              <w:rPr>
                <w:rFonts w:hint="eastAsia" w:cs="宋体"/>
                <w:bCs/>
                <w:color w:val="auto"/>
                <w:sz w:val="24"/>
                <w:highlight w:val="none"/>
                <w:lang w:val="en-US" w:eastAsia="zh-CN"/>
              </w:rPr>
              <w:t>重点</w:t>
            </w:r>
            <w:r>
              <w:rPr>
                <w:rFonts w:hint="eastAsia" w:ascii="Times New Roman" w:hAnsi="Times New Roman" w:eastAsia="宋体" w:cs="宋体"/>
                <w:bCs/>
                <w:color w:val="auto"/>
                <w:sz w:val="24"/>
                <w:highlight w:val="none"/>
              </w:rPr>
              <w:t>管控单元。</w:t>
            </w:r>
          </w:p>
          <w:p w14:paraId="64A8A662">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1-4</w:t>
            </w:r>
            <w:r>
              <w:rPr>
                <w:rFonts w:ascii="Times New Roman" w:hAnsi="Times New Roman" w:eastAsia="宋体" w:cs="宋体"/>
                <w:b/>
                <w:bCs/>
                <w:color w:val="auto"/>
                <w:spacing w:val="-4"/>
                <w:szCs w:val="21"/>
                <w:highlight w:val="none"/>
              </w:rPr>
              <w:t xml:space="preserve">  </w:t>
            </w:r>
            <w:r>
              <w:rPr>
                <w:rFonts w:hint="eastAsia" w:ascii="Times New Roman" w:hAnsi="Times New Roman" w:eastAsia="宋体" w:cs="宋体"/>
                <w:b/>
                <w:bCs/>
                <w:color w:val="auto"/>
                <w:spacing w:val="-4"/>
                <w:szCs w:val="21"/>
                <w:highlight w:val="none"/>
              </w:rPr>
              <w:t>常州市</w:t>
            </w:r>
            <w:r>
              <w:rPr>
                <w:rFonts w:ascii="Times New Roman" w:hAnsi="Times New Roman" w:eastAsia="宋体" w:cs="宋体"/>
                <w:b/>
                <w:bCs/>
                <w:color w:val="auto"/>
                <w:spacing w:val="-4"/>
                <w:szCs w:val="21"/>
                <w:highlight w:val="none"/>
              </w:rPr>
              <w:t>生态环境准入清单</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0"/>
              <w:gridCol w:w="6119"/>
              <w:gridCol w:w="848"/>
            </w:tblGrid>
            <w:tr w14:paraId="5E36A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6" w:type="pct"/>
                  <w:noWrap w:val="0"/>
                  <w:vAlign w:val="center"/>
                </w:tcPr>
                <w:p w14:paraId="278E9944">
                  <w:pPr>
                    <w:keepLines/>
                    <w:snapToGrid w:val="0"/>
                    <w:jc w:val="center"/>
                    <w:rPr>
                      <w:b/>
                      <w:color w:val="auto"/>
                      <w:szCs w:val="21"/>
                    </w:rPr>
                  </w:pPr>
                  <w:r>
                    <w:rPr>
                      <w:rFonts w:hint="eastAsia"/>
                      <w:b/>
                      <w:color w:val="auto"/>
                      <w:szCs w:val="21"/>
                    </w:rPr>
                    <w:t>环境管控单元名称</w:t>
                  </w:r>
                </w:p>
              </w:tc>
              <w:tc>
                <w:tcPr>
                  <w:tcW w:w="3850" w:type="pct"/>
                  <w:noWrap w:val="0"/>
                  <w:vAlign w:val="center"/>
                </w:tcPr>
                <w:p w14:paraId="69C99D17">
                  <w:pPr>
                    <w:keepLines/>
                    <w:snapToGrid w:val="0"/>
                    <w:jc w:val="center"/>
                    <w:rPr>
                      <w:b/>
                      <w:color w:val="auto"/>
                      <w:szCs w:val="21"/>
                    </w:rPr>
                  </w:pPr>
                  <w:r>
                    <w:rPr>
                      <w:rFonts w:hint="eastAsia"/>
                      <w:b/>
                      <w:color w:val="auto"/>
                      <w:szCs w:val="21"/>
                    </w:rPr>
                    <w:t>生态环境准入清单</w:t>
                  </w:r>
                </w:p>
              </w:tc>
              <w:tc>
                <w:tcPr>
                  <w:tcW w:w="533" w:type="pct"/>
                  <w:noWrap w:val="0"/>
                  <w:vAlign w:val="center"/>
                </w:tcPr>
                <w:p w14:paraId="38786D73">
                  <w:pPr>
                    <w:keepLines/>
                    <w:snapToGrid w:val="0"/>
                    <w:jc w:val="center"/>
                    <w:rPr>
                      <w:b/>
                      <w:color w:val="auto"/>
                      <w:szCs w:val="21"/>
                    </w:rPr>
                  </w:pPr>
                  <w:r>
                    <w:rPr>
                      <w:rFonts w:hint="eastAsia"/>
                      <w:b/>
                      <w:color w:val="auto"/>
                      <w:szCs w:val="21"/>
                    </w:rPr>
                    <w:t>对照分析</w:t>
                  </w:r>
                </w:p>
              </w:tc>
            </w:tr>
            <w:tr w14:paraId="33015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6" w:type="pct"/>
                  <w:vMerge w:val="restart"/>
                  <w:noWrap w:val="0"/>
                  <w:vAlign w:val="center"/>
                </w:tcPr>
                <w:p w14:paraId="183D91EE">
                  <w:pPr>
                    <w:keepLines/>
                    <w:widowControl/>
                    <w:snapToGrid w:val="0"/>
                    <w:jc w:val="center"/>
                    <w:textAlignment w:val="center"/>
                    <w:rPr>
                      <w:color w:val="auto"/>
                      <w:szCs w:val="21"/>
                    </w:rPr>
                  </w:pPr>
                  <w:r>
                    <w:rPr>
                      <w:rFonts w:hint="eastAsia"/>
                      <w:color w:val="auto"/>
                      <w:szCs w:val="21"/>
                    </w:rPr>
                    <w:t>金坛经济开发区</w:t>
                  </w:r>
                </w:p>
              </w:tc>
              <w:tc>
                <w:tcPr>
                  <w:tcW w:w="3850" w:type="pct"/>
                  <w:noWrap w:val="0"/>
                  <w:vAlign w:val="center"/>
                </w:tcPr>
                <w:p w14:paraId="0CEABA30">
                  <w:pPr>
                    <w:snapToGrid w:val="0"/>
                    <w:jc w:val="left"/>
                    <w:textAlignment w:val="center"/>
                    <w:rPr>
                      <w:color w:val="auto"/>
                      <w:szCs w:val="21"/>
                    </w:rPr>
                  </w:pPr>
                  <w:r>
                    <w:rPr>
                      <w:rFonts w:hint="eastAsia"/>
                      <w:color w:val="auto"/>
                      <w:szCs w:val="21"/>
                    </w:rPr>
                    <w:t>空间布局约束：</w:t>
                  </w:r>
                  <w:r>
                    <w:rPr>
                      <w:color w:val="auto"/>
                      <w:szCs w:val="21"/>
                    </w:rPr>
                    <w:t>（1）禁止新建化工、印染、冶金等高污染、高能耗企业进区。</w:t>
                  </w:r>
                </w:p>
                <w:p w14:paraId="787BD59E">
                  <w:pPr>
                    <w:snapToGrid w:val="0"/>
                    <w:jc w:val="left"/>
                    <w:textAlignment w:val="center"/>
                    <w:rPr>
                      <w:color w:val="auto"/>
                      <w:szCs w:val="21"/>
                    </w:rPr>
                  </w:pPr>
                  <w:r>
                    <w:rPr>
                      <w:color w:val="auto"/>
                      <w:szCs w:val="21"/>
                    </w:rPr>
                    <w:t>（2）禁止引入不符合现行《江苏省太湖水污染防治条例》要求的项目。</w:t>
                  </w:r>
                </w:p>
              </w:tc>
              <w:tc>
                <w:tcPr>
                  <w:tcW w:w="533" w:type="pct"/>
                  <w:noWrap w:val="0"/>
                  <w:vAlign w:val="center"/>
                </w:tcPr>
                <w:p w14:paraId="71387BBC">
                  <w:pPr>
                    <w:keepLines/>
                    <w:widowControl/>
                    <w:snapToGrid w:val="0"/>
                    <w:jc w:val="center"/>
                    <w:textAlignment w:val="center"/>
                    <w:rPr>
                      <w:color w:val="auto"/>
                      <w:szCs w:val="21"/>
                    </w:rPr>
                  </w:pPr>
                  <w:r>
                    <w:rPr>
                      <w:rFonts w:hint="eastAsia"/>
                      <w:bCs/>
                      <w:color w:val="auto"/>
                      <w:szCs w:val="21"/>
                    </w:rPr>
                    <w:t>不属于禁止的企业和项目</w:t>
                  </w:r>
                </w:p>
              </w:tc>
            </w:tr>
            <w:tr w14:paraId="59A54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6" w:type="pct"/>
                  <w:vMerge w:val="continue"/>
                  <w:noWrap w:val="0"/>
                  <w:vAlign w:val="center"/>
                </w:tcPr>
                <w:p w14:paraId="14B1663B">
                  <w:pPr>
                    <w:keepLines/>
                    <w:widowControl/>
                    <w:snapToGrid w:val="0"/>
                    <w:jc w:val="center"/>
                    <w:textAlignment w:val="center"/>
                    <w:rPr>
                      <w:color w:val="auto"/>
                      <w:szCs w:val="21"/>
                    </w:rPr>
                  </w:pPr>
                </w:p>
              </w:tc>
              <w:tc>
                <w:tcPr>
                  <w:tcW w:w="3850" w:type="pct"/>
                  <w:noWrap w:val="0"/>
                  <w:vAlign w:val="center"/>
                </w:tcPr>
                <w:p w14:paraId="228B1708">
                  <w:pPr>
                    <w:snapToGrid w:val="0"/>
                    <w:jc w:val="left"/>
                    <w:textAlignment w:val="center"/>
                    <w:rPr>
                      <w:color w:val="auto"/>
                      <w:szCs w:val="21"/>
                    </w:rPr>
                  </w:pPr>
                  <w:r>
                    <w:rPr>
                      <w:rFonts w:hint="eastAsia"/>
                      <w:color w:val="auto"/>
                      <w:szCs w:val="21"/>
                    </w:rPr>
                    <w:t>污染物排放管控：</w:t>
                  </w:r>
                  <w:r>
                    <w:rPr>
                      <w:color w:val="auto"/>
                      <w:szCs w:val="21"/>
                    </w:rPr>
                    <w:t>（1）严格实施污染物总量控制制度，根据区域环境质量改善目标，采取有效措施减少主要污染物排放总量，确保区域环境质量持续改善。</w:t>
                  </w:r>
                </w:p>
                <w:p w14:paraId="36738D25">
                  <w:pPr>
                    <w:snapToGrid w:val="0"/>
                    <w:jc w:val="left"/>
                    <w:textAlignment w:val="center"/>
                    <w:rPr>
                      <w:color w:val="auto"/>
                      <w:szCs w:val="21"/>
                    </w:rPr>
                  </w:pPr>
                  <w:r>
                    <w:rPr>
                      <w:color w:val="auto"/>
                      <w:szCs w:val="21"/>
                    </w:rPr>
                    <w:t>（2）园区污染物排放总量不得突破环评报告及批复的总量。</w:t>
                  </w:r>
                </w:p>
              </w:tc>
              <w:tc>
                <w:tcPr>
                  <w:tcW w:w="533" w:type="pct"/>
                  <w:noWrap w:val="0"/>
                  <w:vAlign w:val="center"/>
                </w:tcPr>
                <w:p w14:paraId="554C27BD">
                  <w:pPr>
                    <w:keepLines/>
                    <w:widowControl/>
                    <w:snapToGrid w:val="0"/>
                    <w:jc w:val="center"/>
                    <w:textAlignment w:val="center"/>
                    <w:rPr>
                      <w:color w:val="auto"/>
                      <w:szCs w:val="21"/>
                    </w:rPr>
                  </w:pPr>
                  <w:r>
                    <w:rPr>
                      <w:rFonts w:hint="eastAsia"/>
                      <w:color w:val="auto"/>
                      <w:szCs w:val="21"/>
                      <w:lang w:val="en-US" w:eastAsia="zh-CN"/>
                    </w:rPr>
                    <w:t>本项目各污染总量在金坛区内平衡</w:t>
                  </w:r>
                </w:p>
              </w:tc>
            </w:tr>
            <w:tr w14:paraId="61567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6" w:type="pct"/>
                  <w:vMerge w:val="continue"/>
                  <w:noWrap w:val="0"/>
                  <w:vAlign w:val="center"/>
                </w:tcPr>
                <w:p w14:paraId="43354067">
                  <w:pPr>
                    <w:keepLines/>
                    <w:widowControl/>
                    <w:snapToGrid w:val="0"/>
                    <w:jc w:val="center"/>
                    <w:textAlignment w:val="center"/>
                    <w:rPr>
                      <w:color w:val="auto"/>
                      <w:szCs w:val="21"/>
                    </w:rPr>
                  </w:pPr>
                </w:p>
              </w:tc>
              <w:tc>
                <w:tcPr>
                  <w:tcW w:w="3850" w:type="pct"/>
                  <w:noWrap w:val="0"/>
                  <w:vAlign w:val="center"/>
                </w:tcPr>
                <w:p w14:paraId="1CE86732">
                  <w:pPr>
                    <w:snapToGrid w:val="0"/>
                    <w:jc w:val="left"/>
                    <w:textAlignment w:val="center"/>
                    <w:rPr>
                      <w:color w:val="auto"/>
                      <w:szCs w:val="21"/>
                    </w:rPr>
                  </w:pPr>
                  <w:r>
                    <w:rPr>
                      <w:rFonts w:hint="eastAsia"/>
                      <w:color w:val="auto"/>
                      <w:szCs w:val="21"/>
                    </w:rPr>
                    <w:t>环境风险防控：</w:t>
                  </w:r>
                  <w:r>
                    <w:rPr>
                      <w:color w:val="auto"/>
                      <w:szCs w:val="21"/>
                    </w:rPr>
                    <w:t>（1）园区建立环境应急体系，完善事故应急救援体系，加强应急物资装备储备，编制突发环境事件应急预案，定期开展演练。</w:t>
                  </w:r>
                </w:p>
                <w:p w14:paraId="6BBEC605">
                  <w:pPr>
                    <w:snapToGrid w:val="0"/>
                    <w:jc w:val="left"/>
                    <w:textAlignment w:val="center"/>
                    <w:rPr>
                      <w:color w:val="auto"/>
                      <w:szCs w:val="21"/>
                    </w:rPr>
                  </w:pPr>
                  <w:r>
                    <w:rPr>
                      <w:color w:val="auto"/>
                      <w:szCs w:val="21"/>
                    </w:rPr>
                    <w:t>（2）生产、使用、储存危险化学品或其他存在环境风险的企事业单位，应当制定风险防范措施，编制完善突发环境事件应急预案，防止发生环境污染事故。</w:t>
                  </w:r>
                </w:p>
                <w:p w14:paraId="0515BC6D">
                  <w:pPr>
                    <w:snapToGrid w:val="0"/>
                    <w:jc w:val="left"/>
                    <w:textAlignment w:val="center"/>
                    <w:rPr>
                      <w:color w:val="auto"/>
                      <w:szCs w:val="21"/>
                    </w:rPr>
                  </w:pPr>
                  <w:r>
                    <w:rPr>
                      <w:color w:val="auto"/>
                      <w:szCs w:val="21"/>
                    </w:rPr>
                    <w:t>（3）加强环境影响跟踪监测，建立健全各环境要素监控体系，完善并落实园区日常环境监测与污染源监控计划。</w:t>
                  </w:r>
                </w:p>
              </w:tc>
              <w:tc>
                <w:tcPr>
                  <w:tcW w:w="533" w:type="pct"/>
                  <w:noWrap w:val="0"/>
                  <w:vAlign w:val="center"/>
                </w:tcPr>
                <w:p w14:paraId="2DAEA248">
                  <w:pPr>
                    <w:keepLines/>
                    <w:widowControl/>
                    <w:snapToGrid w:val="0"/>
                    <w:jc w:val="center"/>
                    <w:textAlignment w:val="center"/>
                    <w:rPr>
                      <w:color w:val="auto"/>
                      <w:szCs w:val="21"/>
                    </w:rPr>
                  </w:pPr>
                  <w:r>
                    <w:rPr>
                      <w:rFonts w:hint="eastAsia"/>
                      <w:color w:val="auto"/>
                      <w:szCs w:val="21"/>
                    </w:rPr>
                    <w:t>符合</w:t>
                  </w:r>
                </w:p>
              </w:tc>
            </w:tr>
            <w:tr w14:paraId="6D4B7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6" w:type="pct"/>
                  <w:vMerge w:val="continue"/>
                  <w:noWrap w:val="0"/>
                  <w:vAlign w:val="center"/>
                </w:tcPr>
                <w:p w14:paraId="7A3BCC47">
                  <w:pPr>
                    <w:keepLines/>
                    <w:widowControl/>
                    <w:snapToGrid w:val="0"/>
                    <w:jc w:val="center"/>
                    <w:textAlignment w:val="center"/>
                    <w:rPr>
                      <w:color w:val="auto"/>
                      <w:szCs w:val="21"/>
                    </w:rPr>
                  </w:pPr>
                </w:p>
              </w:tc>
              <w:tc>
                <w:tcPr>
                  <w:tcW w:w="3850" w:type="pct"/>
                  <w:noWrap w:val="0"/>
                  <w:vAlign w:val="center"/>
                </w:tcPr>
                <w:p w14:paraId="56A035FF">
                  <w:pPr>
                    <w:snapToGrid w:val="0"/>
                    <w:jc w:val="left"/>
                    <w:textAlignment w:val="center"/>
                    <w:rPr>
                      <w:color w:val="auto"/>
                      <w:szCs w:val="21"/>
                    </w:rPr>
                  </w:pPr>
                  <w:r>
                    <w:rPr>
                      <w:rFonts w:hint="eastAsia"/>
                      <w:color w:val="auto"/>
                      <w:szCs w:val="21"/>
                    </w:rPr>
                    <w:t>资源开发效率要求：</w:t>
                  </w:r>
                  <w:r>
                    <w:rPr>
                      <w:color w:val="auto"/>
                      <w:szCs w:val="21"/>
                    </w:rPr>
                    <w:t>（1）大力倡导使用清洁能源。</w:t>
                  </w:r>
                </w:p>
                <w:p w14:paraId="2E5898DB">
                  <w:pPr>
                    <w:snapToGrid w:val="0"/>
                    <w:jc w:val="left"/>
                    <w:textAlignment w:val="center"/>
                    <w:rPr>
                      <w:color w:val="auto"/>
                      <w:szCs w:val="21"/>
                    </w:rPr>
                  </w:pPr>
                  <w:r>
                    <w:rPr>
                      <w:color w:val="auto"/>
                      <w:szCs w:val="21"/>
                    </w:rPr>
                    <w:t>（2）提升废水资源化技术，提高水资源回用率。</w:t>
                  </w:r>
                </w:p>
                <w:p w14:paraId="56E198AD">
                  <w:pPr>
                    <w:snapToGrid w:val="0"/>
                    <w:jc w:val="left"/>
                    <w:textAlignment w:val="center"/>
                    <w:rPr>
                      <w:color w:val="auto"/>
                      <w:szCs w:val="21"/>
                    </w:rPr>
                  </w:pPr>
                  <w:r>
                    <w:rPr>
                      <w:color w:val="auto"/>
                      <w:szCs w:val="21"/>
                    </w:rPr>
                    <w:t>（3）禁止销售使用燃料为“III类”（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533" w:type="pct"/>
                  <w:noWrap w:val="0"/>
                  <w:vAlign w:val="center"/>
                </w:tcPr>
                <w:p w14:paraId="2C3491F6">
                  <w:pPr>
                    <w:keepLines/>
                    <w:widowControl/>
                    <w:snapToGrid w:val="0"/>
                    <w:jc w:val="center"/>
                    <w:textAlignment w:val="center"/>
                    <w:rPr>
                      <w:color w:val="auto"/>
                      <w:szCs w:val="21"/>
                    </w:rPr>
                  </w:pPr>
                  <w:r>
                    <w:rPr>
                      <w:rFonts w:hint="eastAsia"/>
                      <w:color w:val="auto"/>
                      <w:szCs w:val="21"/>
                    </w:rPr>
                    <w:t>符合</w:t>
                  </w:r>
                </w:p>
              </w:tc>
            </w:tr>
          </w:tbl>
          <w:p w14:paraId="032A6CCE">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3</w:t>
            </w:r>
            <w:r>
              <w:rPr>
                <w:rFonts w:ascii="Times New Roman" w:hAnsi="Times New Roman" w:eastAsia="宋体" w:cs="宋体"/>
                <w:b/>
                <w:bCs/>
                <w:color w:val="auto"/>
                <w:sz w:val="24"/>
                <w:highlight w:val="none"/>
              </w:rPr>
              <w:t>、与</w:t>
            </w:r>
            <w:r>
              <w:rPr>
                <w:rFonts w:hint="eastAsia" w:ascii="Times New Roman" w:hAnsi="Times New Roman" w:eastAsia="宋体" w:cs="宋体"/>
                <w:b/>
                <w:bCs/>
                <w:color w:val="auto"/>
                <w:sz w:val="24"/>
                <w:highlight w:val="none"/>
              </w:rPr>
              <w:t>相关</w:t>
            </w:r>
            <w:r>
              <w:rPr>
                <w:rFonts w:ascii="Times New Roman" w:hAnsi="Times New Roman" w:eastAsia="宋体" w:cs="宋体"/>
                <w:b/>
                <w:bCs/>
                <w:color w:val="auto"/>
                <w:sz w:val="24"/>
                <w:highlight w:val="none"/>
              </w:rPr>
              <w:t>生态文件相符性分析</w:t>
            </w:r>
          </w:p>
          <w:p w14:paraId="4AE3076F">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1-5  </w:t>
            </w:r>
            <w:r>
              <w:rPr>
                <w:rFonts w:ascii="Times New Roman" w:hAnsi="Times New Roman" w:eastAsia="宋体" w:cs="宋体"/>
                <w:b/>
                <w:bCs/>
                <w:color w:val="auto"/>
                <w:spacing w:val="-4"/>
                <w:szCs w:val="21"/>
                <w:highlight w:val="none"/>
              </w:rPr>
              <w:t>相关</w:t>
            </w:r>
            <w:r>
              <w:rPr>
                <w:rFonts w:hint="eastAsia" w:ascii="Times New Roman" w:hAnsi="Times New Roman" w:eastAsia="宋体" w:cs="宋体"/>
                <w:b/>
                <w:bCs/>
                <w:color w:val="auto"/>
                <w:spacing w:val="-4"/>
                <w:szCs w:val="21"/>
                <w:highlight w:val="none"/>
              </w:rPr>
              <w:t>生态文件</w:t>
            </w:r>
            <w:r>
              <w:rPr>
                <w:rFonts w:ascii="Times New Roman" w:hAnsi="Times New Roman" w:eastAsia="宋体" w:cs="宋体"/>
                <w:b/>
                <w:bCs/>
                <w:color w:val="auto"/>
                <w:spacing w:val="-4"/>
                <w:szCs w:val="21"/>
                <w:highlight w:val="none"/>
              </w:rPr>
              <w:t>相符性</w:t>
            </w:r>
          </w:p>
          <w:tbl>
            <w:tblPr>
              <w:tblStyle w:val="2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7"/>
              <w:gridCol w:w="600"/>
              <w:gridCol w:w="2395"/>
              <w:gridCol w:w="2065"/>
              <w:gridCol w:w="262"/>
              <w:gridCol w:w="95"/>
              <w:gridCol w:w="1715"/>
            </w:tblGrid>
            <w:tr w14:paraId="13F4F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7369DCA">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条款</w:t>
                  </w:r>
                </w:p>
              </w:tc>
              <w:tc>
                <w:tcPr>
                  <w:tcW w:w="2970" w:type="pct"/>
                  <w:gridSpan w:val="3"/>
                  <w:vAlign w:val="center"/>
                </w:tcPr>
                <w:p w14:paraId="41466C69">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内容</w:t>
                  </w:r>
                </w:p>
              </w:tc>
              <w:tc>
                <w:tcPr>
                  <w:tcW w:w="1138" w:type="pct"/>
                  <w:gridSpan w:val="2"/>
                  <w:vAlign w:val="center"/>
                </w:tcPr>
                <w:p w14:paraId="204F8D95">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对照分析</w:t>
                  </w:r>
                </w:p>
              </w:tc>
            </w:tr>
            <w:tr w14:paraId="7279B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8710922">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bCs/>
                      <w:color w:val="auto"/>
                      <w:szCs w:val="21"/>
                      <w:highlight w:val="none"/>
                    </w:rPr>
                    <w:t>《</w:t>
                  </w:r>
                  <w:r>
                    <w:rPr>
                      <w:rFonts w:ascii="Times New Roman" w:hAnsi="Times New Roman" w:eastAsia="宋体" w:cs="宋体"/>
                      <w:b/>
                      <w:bCs/>
                      <w:color w:val="auto"/>
                      <w:szCs w:val="21"/>
                      <w:highlight w:val="none"/>
                    </w:rPr>
                    <w:t>江苏省太湖水污染防治条例</w:t>
                  </w:r>
                  <w:r>
                    <w:rPr>
                      <w:rFonts w:hint="eastAsia" w:ascii="Times New Roman" w:hAnsi="Times New Roman" w:eastAsia="宋体" w:cs="宋体"/>
                      <w:b/>
                      <w:bCs/>
                      <w:color w:val="auto"/>
                      <w:szCs w:val="21"/>
                      <w:highlight w:val="none"/>
                    </w:rPr>
                    <w:t>》（2021年修正）</w:t>
                  </w:r>
                </w:p>
              </w:tc>
            </w:tr>
            <w:tr w14:paraId="448B3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D3767BF">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第四十三条</w:t>
                  </w:r>
                </w:p>
              </w:tc>
              <w:tc>
                <w:tcPr>
                  <w:tcW w:w="2970" w:type="pct"/>
                  <w:gridSpan w:val="3"/>
                  <w:vAlign w:val="center"/>
                </w:tcPr>
                <w:p w14:paraId="3D4FAF54">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太湖流域一、二、三级保护区禁止下列行为：</w:t>
                  </w:r>
                </w:p>
                <w:p w14:paraId="41F46788">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（一）新建、改建、扩建化学制浆造纸、制革、酿造、染料、印染、电镀以及其他排放含磷、氮等污染物的企业和项目，城镇污水集中处理等环境基础设施项目和第四十六条规定的情形除外；</w:t>
                  </w:r>
                </w:p>
                <w:p w14:paraId="25B1ABCE">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（二）销售、使用含磷洗涤用品；</w:t>
                  </w:r>
                </w:p>
                <w:p w14:paraId="00D290AF">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（三）向水体排放或者倾倒油类、酸液、碱液、剧毒废渣废液、含放射性废渣废液、含病原体污水、工业废渣以及其他废弃物；</w:t>
                  </w:r>
                </w:p>
                <w:p w14:paraId="2D36A2AA">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（四）在水体清洗装贮过油类或者有毒有害污染物的车辆、船舶和容器等；</w:t>
                  </w:r>
                </w:p>
                <w:p w14:paraId="6594CA10">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（五）使用农药等有毒物毒杀水生生物；</w:t>
                  </w:r>
                </w:p>
                <w:p w14:paraId="6F65A83B">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（六）向水体直接排放人畜粪便、倾倒垃圾；</w:t>
                  </w:r>
                </w:p>
                <w:p w14:paraId="616E6650">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（七）围湖造地；</w:t>
                  </w:r>
                </w:p>
                <w:p w14:paraId="1B79FCAB">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（八）违法开山采石，或者进行破坏林木、植被、水生生物的活动；</w:t>
                  </w:r>
                </w:p>
                <w:p w14:paraId="397E8DF9">
                  <w:pPr>
                    <w:snapToGrid w:val="0"/>
                    <w:ind w:firstLine="420" w:firstLineChars="200"/>
                    <w:jc w:val="left"/>
                    <w:rPr>
                      <w:rFonts w:ascii="Times New Roman" w:hAnsi="Times New Roman" w:eastAsia="宋体" w:cs="宋体"/>
                      <w:color w:val="auto"/>
                      <w:highlight w:val="none"/>
                    </w:rPr>
                  </w:pPr>
                  <w:r>
                    <w:rPr>
                      <w:rFonts w:ascii="Times New Roman" w:hAnsi="Times New Roman" w:eastAsia="宋体" w:cs="宋体"/>
                      <w:color w:val="auto"/>
                      <w:highlight w:val="none"/>
                    </w:rPr>
                    <w:t>（九）法律、法规禁止的其他行为。</w:t>
                  </w:r>
                </w:p>
              </w:tc>
              <w:tc>
                <w:tcPr>
                  <w:tcW w:w="1138" w:type="pct"/>
                  <w:gridSpan w:val="2"/>
                  <w:vAlign w:val="center"/>
                </w:tcPr>
                <w:p w14:paraId="0A77046D">
                  <w:pPr>
                    <w:snapToGrid w:val="0"/>
                    <w:jc w:val="center"/>
                    <w:rPr>
                      <w:rFonts w:ascii="Times New Roman" w:hAnsi="Times New Roman" w:eastAsia="宋体" w:cs="宋体"/>
                      <w:color w:val="auto"/>
                      <w:szCs w:val="21"/>
                      <w:highlight w:val="none"/>
                    </w:rPr>
                  </w:pPr>
                  <w:r>
                    <w:rPr>
                      <w:rFonts w:ascii="Times New Roman" w:hAnsi="Times New Roman" w:eastAsia="宋体" w:cs="宋体"/>
                      <w:bCs/>
                      <w:color w:val="auto"/>
                      <w:szCs w:val="21"/>
                      <w:highlight w:val="none"/>
                    </w:rPr>
                    <w:t>根据《省政府办公厅关于公布江苏省太湖流域三级保护区范围的通知》（苏政办发</w:t>
                  </w:r>
                  <w:r>
                    <w:rPr>
                      <w:rFonts w:hint="eastAsia" w:ascii="Times New Roman" w:hAnsi="Times New Roman" w:eastAsia="宋体" w:cs="宋体"/>
                      <w:color w:val="auto"/>
                      <w:szCs w:val="21"/>
                      <w:highlight w:val="none"/>
                    </w:rPr>
                    <w:t>〔2012〕</w:t>
                  </w:r>
                  <w:r>
                    <w:rPr>
                      <w:rFonts w:ascii="Times New Roman" w:hAnsi="Times New Roman" w:eastAsia="宋体" w:cs="宋体"/>
                      <w:bCs/>
                      <w:color w:val="auto"/>
                      <w:szCs w:val="21"/>
                      <w:highlight w:val="none"/>
                    </w:rPr>
                    <w:t>221号），本项目所在地属于太湖流域</w:t>
                  </w:r>
                  <w:r>
                    <w:rPr>
                      <w:rFonts w:hint="eastAsia" w:ascii="Times New Roman" w:hAnsi="Times New Roman" w:eastAsia="宋体" w:cs="宋体"/>
                      <w:bCs/>
                      <w:color w:val="auto"/>
                      <w:szCs w:val="21"/>
                      <w:highlight w:val="none"/>
                    </w:rPr>
                    <w:t>三</w:t>
                  </w:r>
                  <w:r>
                    <w:rPr>
                      <w:rFonts w:ascii="Times New Roman" w:hAnsi="Times New Roman" w:eastAsia="宋体" w:cs="宋体"/>
                      <w:bCs/>
                      <w:color w:val="auto"/>
                      <w:szCs w:val="21"/>
                      <w:highlight w:val="none"/>
                    </w:rPr>
                    <w:t>级保护区，不</w:t>
                  </w:r>
                  <w:r>
                    <w:rPr>
                      <w:rFonts w:hint="eastAsia" w:ascii="Times New Roman" w:hAnsi="Times New Roman" w:eastAsia="宋体" w:cs="宋体"/>
                      <w:bCs/>
                      <w:color w:val="auto"/>
                      <w:szCs w:val="21"/>
                      <w:highlight w:val="none"/>
                    </w:rPr>
                    <w:t>排放含氮、磷</w:t>
                  </w:r>
                  <w:r>
                    <w:rPr>
                      <w:rFonts w:ascii="Times New Roman" w:hAnsi="Times New Roman" w:eastAsia="宋体" w:cs="宋体"/>
                      <w:bCs/>
                      <w:color w:val="auto"/>
                      <w:szCs w:val="21"/>
                      <w:highlight w:val="none"/>
                    </w:rPr>
                    <w:t>工业废水，生活污水</w:t>
                  </w:r>
                  <w:r>
                    <w:rPr>
                      <w:rFonts w:hint="eastAsia" w:ascii="Times New Roman" w:hAnsi="Times New Roman" w:eastAsia="宋体" w:cs="宋体"/>
                      <w:bCs/>
                      <w:color w:val="auto"/>
                      <w:szCs w:val="21"/>
                      <w:highlight w:val="none"/>
                    </w:rPr>
                    <w:t>接管</w:t>
                  </w:r>
                  <w:r>
                    <w:rPr>
                      <w:rFonts w:ascii="Times New Roman" w:hAnsi="Times New Roman" w:eastAsia="宋体" w:cs="宋体"/>
                      <w:bCs/>
                      <w:color w:val="auto"/>
                      <w:szCs w:val="21"/>
                      <w:highlight w:val="none"/>
                    </w:rPr>
                    <w:t>市政污水管网，</w:t>
                  </w:r>
                  <w:r>
                    <w:rPr>
                      <w:rFonts w:hint="eastAsia" w:ascii="Times New Roman" w:hAnsi="Times New Roman" w:eastAsia="宋体" w:cs="宋体"/>
                      <w:bCs/>
                      <w:color w:val="auto"/>
                      <w:szCs w:val="21"/>
                      <w:highlight w:val="none"/>
                    </w:rPr>
                    <w:t>至</w:t>
                  </w:r>
                  <w:r>
                    <w:rPr>
                      <w:rFonts w:ascii="Times New Roman" w:hAnsi="Times New Roman" w:eastAsia="宋体" w:cs="宋体"/>
                      <w:bCs/>
                      <w:color w:val="auto"/>
                      <w:szCs w:val="21"/>
                      <w:highlight w:val="none"/>
                    </w:rPr>
                    <w:t>污水处理厂集中处理，不单独设置排污口，不属于《江苏省太湖水污染防治条例》第四十三</w:t>
                  </w:r>
                  <w:r>
                    <w:rPr>
                      <w:rFonts w:hint="eastAsia" w:ascii="Times New Roman" w:hAnsi="Times New Roman" w:eastAsia="宋体" w:cs="宋体"/>
                      <w:bCs/>
                      <w:color w:val="auto"/>
                      <w:szCs w:val="21"/>
                      <w:highlight w:val="none"/>
                    </w:rPr>
                    <w:t>条</w:t>
                  </w:r>
                  <w:r>
                    <w:rPr>
                      <w:rFonts w:ascii="Times New Roman" w:hAnsi="Times New Roman" w:eastAsia="宋体" w:cs="宋体"/>
                      <w:bCs/>
                      <w:color w:val="auto"/>
                      <w:szCs w:val="21"/>
                      <w:highlight w:val="none"/>
                    </w:rPr>
                    <w:t>规定的太湖流域一、二、三级保护区禁止的行为。</w:t>
                  </w:r>
                </w:p>
              </w:tc>
            </w:tr>
            <w:tr w14:paraId="482DA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76AD607">
                  <w:pPr>
                    <w:snapToGrid w:val="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w:t>
                  </w:r>
                  <w:r>
                    <w:rPr>
                      <w:rFonts w:ascii="Times New Roman" w:hAnsi="Times New Roman" w:eastAsia="宋体" w:cs="宋体"/>
                      <w:b/>
                      <w:color w:val="auto"/>
                      <w:szCs w:val="21"/>
                      <w:highlight w:val="none"/>
                    </w:rPr>
                    <w:t>太湖流域管理条例</w:t>
                  </w:r>
                  <w:r>
                    <w:rPr>
                      <w:rFonts w:ascii="Times New Roman" w:hAnsi="Times New Roman" w:eastAsia="宋体" w:cs="宋体"/>
                      <w:b/>
                      <w:bCs/>
                      <w:color w:val="auto"/>
                      <w:szCs w:val="21"/>
                      <w:highlight w:val="none"/>
                    </w:rPr>
                    <w:t>》</w:t>
                  </w:r>
                </w:p>
              </w:tc>
            </w:tr>
            <w:tr w14:paraId="33F71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2D732E1">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第二十八条</w:t>
                  </w:r>
                </w:p>
              </w:tc>
              <w:tc>
                <w:tcPr>
                  <w:tcW w:w="2970" w:type="pct"/>
                  <w:gridSpan w:val="3"/>
                  <w:vAlign w:val="center"/>
                </w:tcPr>
                <w:p w14:paraId="2DE71672">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排污单位排放水污染物，不得超过经核定的水污染物排放总量，并应当按照规定设置便于检查、采样的规范化排污口，悬挂标志牌；不得私设暗管或者采取其他规避监管的方式排放水污染物。</w:t>
                  </w:r>
                </w:p>
                <w:p w14:paraId="4DB3EF07">
                  <w:pPr>
                    <w:keepNext w:val="0"/>
                    <w:keepLines w:val="0"/>
                    <w:pageBreakBefore w:val="0"/>
                    <w:widowControl w:val="0"/>
                    <w:kinsoku/>
                    <w:wordWrap/>
                    <w:overflowPunct/>
                    <w:topLinePunct w:val="0"/>
                    <w:autoSpaceDE/>
                    <w:autoSpaceDN/>
                    <w:bidi w:val="0"/>
                    <w:adjustRightInd/>
                    <w:snapToGrid w:val="0"/>
                    <w:spacing w:line="300" w:lineRule="exact"/>
                    <w:ind w:firstLine="396" w:firstLineChars="200"/>
                    <w:jc w:val="left"/>
                    <w:textAlignment w:val="auto"/>
                    <w:rPr>
                      <w:rFonts w:ascii="Times New Roman" w:hAnsi="Times New Roman" w:eastAsia="宋体" w:cs="宋体"/>
                      <w:bCs/>
                      <w:color w:val="auto"/>
                      <w:spacing w:val="-6"/>
                      <w:sz w:val="21"/>
                      <w:szCs w:val="21"/>
                      <w:highlight w:val="none"/>
                    </w:rPr>
                  </w:pPr>
                  <w:r>
                    <w:rPr>
                      <w:rFonts w:ascii="Times New Roman" w:hAnsi="Times New Roman" w:eastAsia="宋体" w:cs="宋体"/>
                      <w:bCs/>
                      <w:color w:val="auto"/>
                      <w:spacing w:val="-6"/>
                      <w:sz w:val="21"/>
                      <w:szCs w:val="21"/>
                      <w:highlight w:val="none"/>
                    </w:rPr>
                    <w:t>禁止在太湖流域设置不符合国家产业政策和水环境综合治理要求的造纸、制革、酒精、淀粉、冶金、酿造、印染、电镀等排放水污染物的生产项目，现有的生产项目不能实现达标排放的，应当依法关闭。</w:t>
                  </w:r>
                </w:p>
                <w:p w14:paraId="376E413A">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ascii="Times New Roman" w:hAnsi="Times New Roman" w:eastAsia="宋体" w:cs="宋体"/>
                      <w:bCs/>
                      <w:color w:val="auto"/>
                      <w:szCs w:val="21"/>
                      <w:highlight w:val="none"/>
                    </w:rPr>
                    <w:t>在太湖流域新设企业应当符合国家规定的清洁生产要求，现有的企业尚未达到清洁生产要求的，应当按照清洁生产规划要求进行技术改造，两省一市人民政府应当加强监督检查。</w:t>
                  </w:r>
                </w:p>
              </w:tc>
              <w:tc>
                <w:tcPr>
                  <w:tcW w:w="1138" w:type="pct"/>
                  <w:gridSpan w:val="2"/>
                  <w:vAlign w:val="center"/>
                </w:tcPr>
                <w:p w14:paraId="2C141E2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本项目</w:t>
                  </w:r>
                  <w:r>
                    <w:rPr>
                      <w:rFonts w:ascii="Times New Roman" w:hAnsi="Times New Roman" w:eastAsia="宋体" w:cs="宋体"/>
                      <w:bCs/>
                      <w:color w:val="auto"/>
                      <w:szCs w:val="21"/>
                      <w:highlight w:val="none"/>
                    </w:rPr>
                    <w:t>按照规定设置便于检查、采样的规范化排污口并悬挂标志牌，污水接管至污水处理厂集中处理，不属于所示的禁止项目，符合国家规定的清洁生产要求。</w:t>
                  </w:r>
                </w:p>
              </w:tc>
            </w:tr>
            <w:tr w14:paraId="1E730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35C83E5">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第二十九条</w:t>
                  </w:r>
                </w:p>
              </w:tc>
              <w:tc>
                <w:tcPr>
                  <w:tcW w:w="2970" w:type="pct"/>
                  <w:gridSpan w:val="3"/>
                  <w:vAlign w:val="center"/>
                </w:tcPr>
                <w:p w14:paraId="130B78AC">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新孟河、望虞河以外的其他主要入太湖河道，自河口1万米上溯至5万米河道岸线内及其岸线两侧各1000米范围内，禁止下列行为：</w:t>
                  </w:r>
                </w:p>
                <w:p w14:paraId="1D6A2C14">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（一）新建、扩建化工、医药生产项目；</w:t>
                  </w:r>
                </w:p>
                <w:p w14:paraId="1797BF23">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（二）新建、扩建污水集中处理设施排污口以外的排污口；</w:t>
                  </w:r>
                </w:p>
                <w:p w14:paraId="57FB8248">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（三）扩大水产养殖规模。</w:t>
                  </w:r>
                </w:p>
              </w:tc>
              <w:tc>
                <w:tcPr>
                  <w:tcW w:w="1138" w:type="pct"/>
                  <w:gridSpan w:val="2"/>
                  <w:vAlign w:val="center"/>
                </w:tcPr>
                <w:p w14:paraId="4971F23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本项目不在</w:t>
                  </w:r>
                  <w:r>
                    <w:rPr>
                      <w:rFonts w:hint="eastAsia" w:ascii="Times New Roman" w:hAnsi="Times New Roman" w:eastAsia="宋体" w:cs="宋体"/>
                      <w:bCs/>
                      <w:color w:val="auto"/>
                      <w:szCs w:val="21"/>
                      <w:highlight w:val="none"/>
                    </w:rPr>
                    <w:t>岸线</w:t>
                  </w:r>
                  <w:r>
                    <w:rPr>
                      <w:rFonts w:ascii="Times New Roman" w:hAnsi="Times New Roman" w:eastAsia="宋体" w:cs="宋体"/>
                      <w:bCs/>
                      <w:color w:val="auto"/>
                      <w:szCs w:val="21"/>
                      <w:highlight w:val="none"/>
                    </w:rPr>
                    <w:t>两侧</w:t>
                  </w:r>
                  <w:r>
                    <w:rPr>
                      <w:rFonts w:hint="eastAsia" w:ascii="Times New Roman" w:hAnsi="Times New Roman" w:eastAsia="宋体" w:cs="宋体"/>
                      <w:bCs/>
                      <w:color w:val="auto"/>
                      <w:szCs w:val="21"/>
                      <w:highlight w:val="none"/>
                    </w:rPr>
                    <w:t>1000米范围内，且不属于化工、医药项目，不新设排污口，不属于水产养殖项目。</w:t>
                  </w:r>
                </w:p>
              </w:tc>
            </w:tr>
            <w:tr w14:paraId="04AB8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D7C181F">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第三十条</w:t>
                  </w:r>
                </w:p>
              </w:tc>
              <w:tc>
                <w:tcPr>
                  <w:tcW w:w="2970" w:type="pct"/>
                  <w:gridSpan w:val="3"/>
                  <w:vAlign w:val="center"/>
                </w:tcPr>
                <w:p w14:paraId="508C9520">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1EA9264A">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（一）设置剧毒物质、危险化学品的贮存、输送设施和废物回收场、垃圾场；</w:t>
                  </w:r>
                </w:p>
                <w:p w14:paraId="30DA4666">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（二）设置水上餐饮经营设施；</w:t>
                  </w:r>
                </w:p>
                <w:p w14:paraId="3067C350">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（三）新建、扩建高尔夫球场；</w:t>
                  </w:r>
                </w:p>
                <w:p w14:paraId="2C9F50C5">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（四）新建、扩建畜禽养殖场；</w:t>
                  </w:r>
                </w:p>
                <w:p w14:paraId="1CC672C7">
                  <w:pPr>
                    <w:keepNext w:val="0"/>
                    <w:keepLines w:val="0"/>
                    <w:pageBreakBefore w:val="0"/>
                    <w:widowControl w:val="0"/>
                    <w:kinsoku/>
                    <w:wordWrap/>
                    <w:overflowPunct/>
                    <w:topLinePunct w:val="0"/>
                    <w:autoSpaceDE/>
                    <w:autoSpaceDN/>
                    <w:bidi w:val="0"/>
                    <w:adjustRightInd/>
                    <w:snapToGrid w:val="0"/>
                    <w:spacing w:line="300" w:lineRule="exact"/>
                    <w:ind w:firstLine="396" w:firstLineChars="200"/>
                    <w:jc w:val="left"/>
                    <w:textAlignment w:val="auto"/>
                    <w:rPr>
                      <w:rFonts w:ascii="Times New Roman" w:hAnsi="Times New Roman" w:eastAsia="宋体" w:cs="宋体"/>
                      <w:bCs/>
                      <w:color w:val="auto"/>
                      <w:spacing w:val="-6"/>
                      <w:sz w:val="21"/>
                      <w:szCs w:val="21"/>
                      <w:highlight w:val="none"/>
                    </w:rPr>
                  </w:pPr>
                  <w:r>
                    <w:rPr>
                      <w:rFonts w:ascii="Times New Roman" w:hAnsi="Times New Roman" w:eastAsia="宋体" w:cs="宋体"/>
                      <w:bCs/>
                      <w:color w:val="auto"/>
                      <w:spacing w:val="-6"/>
                      <w:sz w:val="21"/>
                      <w:szCs w:val="21"/>
                      <w:highlight w:val="none"/>
                    </w:rPr>
                    <w:t>（五）新建、扩建向水体排放污染物的建设项目；</w:t>
                  </w:r>
                </w:p>
                <w:p w14:paraId="03635FB1">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（六）本条例第二十九条规定的行为。</w:t>
                  </w:r>
                </w:p>
                <w:p w14:paraId="04760E60">
                  <w:pPr>
                    <w:keepNext w:val="0"/>
                    <w:keepLines w:val="0"/>
                    <w:pageBreakBefore w:val="0"/>
                    <w:widowControl w:val="0"/>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已经设置前款第一项、第二项规定设施的，当地县级人民政府应当责令拆除或者关闭。</w:t>
                  </w:r>
                </w:p>
              </w:tc>
              <w:tc>
                <w:tcPr>
                  <w:tcW w:w="1138" w:type="pct"/>
                  <w:gridSpan w:val="2"/>
                  <w:vAlign w:val="center"/>
                </w:tcPr>
                <w:p w14:paraId="582BAA0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本项目不在条款中所示的范围内，不属于所示的禁止行为。</w:t>
                  </w:r>
                </w:p>
              </w:tc>
            </w:tr>
            <w:tr w14:paraId="31EDC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B6144F2">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《江苏省水污染防治条例》（</w:t>
                  </w:r>
                  <w:r>
                    <w:rPr>
                      <w:rFonts w:hint="eastAsia" w:ascii="Times New Roman" w:hAnsi="Times New Roman" w:eastAsia="宋体" w:cs="宋体"/>
                      <w:b/>
                      <w:color w:val="auto"/>
                      <w:szCs w:val="21"/>
                      <w:highlight w:val="none"/>
                      <w:shd w:val="clear" w:color="auto" w:fill="FFFFFF"/>
                    </w:rPr>
                    <w:t>江苏省人大常委会公告第48号</w:t>
                  </w:r>
                  <w:r>
                    <w:rPr>
                      <w:rFonts w:hint="eastAsia" w:ascii="Times New Roman" w:hAnsi="Times New Roman" w:eastAsia="宋体" w:cs="宋体"/>
                      <w:b/>
                      <w:bCs/>
                      <w:color w:val="auto"/>
                      <w:szCs w:val="21"/>
                      <w:highlight w:val="none"/>
                    </w:rPr>
                    <w:t>）</w:t>
                  </w:r>
                </w:p>
              </w:tc>
            </w:tr>
            <w:tr w14:paraId="58C73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B905773">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第二十三条</w:t>
                  </w:r>
                </w:p>
              </w:tc>
              <w:tc>
                <w:tcPr>
                  <w:tcW w:w="2970" w:type="pct"/>
                  <w:gridSpan w:val="3"/>
                  <w:vAlign w:val="center"/>
                </w:tcPr>
                <w:p w14:paraId="28CF1F5E">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禁止工业企业、宾馆、餐饮、洗涤等企业事业单位以及个人使用各类含磷洗涤用品。</w:t>
                  </w:r>
                </w:p>
              </w:tc>
              <w:tc>
                <w:tcPr>
                  <w:tcW w:w="1138" w:type="pct"/>
                  <w:gridSpan w:val="2"/>
                  <w:vAlign w:val="center"/>
                </w:tcPr>
                <w:p w14:paraId="0D139EA9">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本项目不使用含磷洗涤用品</w:t>
                  </w:r>
                  <w:r>
                    <w:rPr>
                      <w:rFonts w:hint="eastAsia" w:ascii="Times New Roman" w:hAnsi="Times New Roman" w:eastAsia="宋体" w:cs="宋体"/>
                      <w:bCs/>
                      <w:color w:val="auto"/>
                      <w:szCs w:val="21"/>
                      <w:highlight w:val="none"/>
                    </w:rPr>
                    <w:t>。</w:t>
                  </w:r>
                </w:p>
              </w:tc>
            </w:tr>
            <w:tr w14:paraId="0B7B7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EFC0FA0">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第二十六条</w:t>
                  </w:r>
                </w:p>
              </w:tc>
              <w:tc>
                <w:tcPr>
                  <w:tcW w:w="2970" w:type="pct"/>
                  <w:gridSpan w:val="3"/>
                  <w:vAlign w:val="center"/>
                </w:tcPr>
                <w:p w14:paraId="418D5AC1">
                  <w:pPr>
                    <w:snapToGrid w:val="0"/>
                    <w:ind w:firstLine="420" w:firstLineChars="200"/>
                    <w:jc w:val="left"/>
                    <w:rPr>
                      <w:rFonts w:ascii="Times New Roman" w:hAnsi="Times New Roman" w:eastAsia="宋体" w:cs="宋体"/>
                      <w:color w:val="auto"/>
                      <w:szCs w:val="21"/>
                      <w:highlight w:val="none"/>
                      <w:shd w:val="clear" w:color="auto" w:fill="FFFFFF"/>
                    </w:rPr>
                  </w:pPr>
                  <w:r>
                    <w:rPr>
                      <w:rFonts w:hint="eastAsia" w:ascii="Times New Roman" w:hAnsi="Times New Roman" w:eastAsia="宋体" w:cs="宋体"/>
                      <w:color w:val="auto"/>
                      <w:szCs w:val="21"/>
                      <w:highlight w:val="none"/>
                      <w:shd w:val="clear" w:color="auto" w:fill="FFFFFF"/>
                    </w:rPr>
                    <w:t>向污水集中处理设施排放工业废水的，应当按照国家和省有关规定进行预处理，符合国家、省有关标准和污水集中处理设施的接纳要求。污水集中处理设施尾水，可以采取生态净化等方式处理后排放。</w:t>
                  </w:r>
                </w:p>
                <w:p w14:paraId="27869C5B">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实行工业废水与生活污水分质处理，对不符合城镇污水集中处理设施接纳要求的工业废水，限期退出城镇污水管网。</w:t>
                  </w:r>
                </w:p>
              </w:tc>
              <w:tc>
                <w:tcPr>
                  <w:tcW w:w="1138" w:type="pct"/>
                  <w:gridSpan w:val="2"/>
                  <w:vAlign w:val="center"/>
                </w:tcPr>
                <w:p w14:paraId="0C6DB2F9">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本项目不涉及工业废</w:t>
                  </w:r>
                  <w:r>
                    <w:rPr>
                      <w:rFonts w:hint="eastAsia" w:ascii="Times New Roman" w:hAnsi="Times New Roman" w:eastAsia="宋体" w:cs="宋体"/>
                      <w:bCs/>
                      <w:color w:val="auto"/>
                      <w:szCs w:val="21"/>
                      <w:highlight w:val="none"/>
                    </w:rPr>
                    <w:t>水</w:t>
                  </w:r>
                  <w:r>
                    <w:rPr>
                      <w:rFonts w:ascii="Times New Roman" w:hAnsi="Times New Roman" w:eastAsia="宋体" w:cs="宋体"/>
                      <w:bCs/>
                      <w:color w:val="auto"/>
                      <w:szCs w:val="21"/>
                      <w:highlight w:val="none"/>
                    </w:rPr>
                    <w:t>排放</w:t>
                  </w:r>
                  <w:r>
                    <w:rPr>
                      <w:rFonts w:hint="eastAsia" w:ascii="Times New Roman" w:hAnsi="Times New Roman" w:eastAsia="宋体" w:cs="宋体"/>
                      <w:bCs/>
                      <w:color w:val="auto"/>
                      <w:szCs w:val="21"/>
                      <w:highlight w:val="none"/>
                    </w:rPr>
                    <w:t>。</w:t>
                  </w:r>
                </w:p>
              </w:tc>
            </w:tr>
            <w:tr w14:paraId="1B686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87E1352">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第二十九条</w:t>
                  </w:r>
                </w:p>
              </w:tc>
              <w:tc>
                <w:tcPr>
                  <w:tcW w:w="2970" w:type="pct"/>
                  <w:gridSpan w:val="3"/>
                  <w:vAlign w:val="center"/>
                </w:tcPr>
                <w:p w14:paraId="77D13DDC">
                  <w:pPr>
                    <w:snapToGrid w:val="0"/>
                    <w:ind w:firstLine="420" w:firstLineChars="200"/>
                    <w:jc w:val="left"/>
                    <w:rPr>
                      <w:rFonts w:ascii="Times New Roman" w:hAnsi="Times New Roman" w:eastAsia="宋体" w:cs="宋体"/>
                      <w:color w:val="auto"/>
                      <w:szCs w:val="21"/>
                      <w:highlight w:val="none"/>
                      <w:shd w:val="clear" w:color="auto" w:fill="FFFFFF"/>
                    </w:rPr>
                  </w:pPr>
                  <w:r>
                    <w:rPr>
                      <w:rFonts w:hint="eastAsia" w:ascii="Times New Roman" w:hAnsi="Times New Roman" w:eastAsia="宋体" w:cs="宋体"/>
                      <w:color w:val="auto"/>
                      <w:szCs w:val="21"/>
                      <w:highlight w:val="none"/>
                      <w:shd w:val="clear" w:color="auto" w:fill="FFFFFF"/>
                    </w:rPr>
                    <w:t>排放工业废水的工业企业应当逐步实行雨污分流、清污分流。化工、电镀等企业应当将初期雨水收集处理，不得直接排放。</w:t>
                  </w:r>
                </w:p>
                <w:p w14:paraId="73FD07CA">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shd w:val="clear" w:color="auto" w:fill="FFFFFF"/>
                    </w:rPr>
                    <w:t>实施雨污分流、清污分流的工业企业应当按照有关规定标识雨水管、清下水管、污水管的走向，在雨水、污水排放口或者接管口设置标识牌。</w:t>
                  </w:r>
                </w:p>
              </w:tc>
              <w:tc>
                <w:tcPr>
                  <w:tcW w:w="1138" w:type="pct"/>
                  <w:gridSpan w:val="2"/>
                  <w:vAlign w:val="center"/>
                </w:tcPr>
                <w:p w14:paraId="0159F0E0">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本项目不涉及工业废</w:t>
                  </w:r>
                  <w:r>
                    <w:rPr>
                      <w:rFonts w:hint="eastAsia" w:ascii="Times New Roman" w:hAnsi="Times New Roman" w:eastAsia="宋体" w:cs="宋体"/>
                      <w:bCs/>
                      <w:color w:val="auto"/>
                      <w:szCs w:val="21"/>
                      <w:highlight w:val="none"/>
                    </w:rPr>
                    <w:t>水</w:t>
                  </w:r>
                  <w:r>
                    <w:rPr>
                      <w:rFonts w:ascii="Times New Roman" w:hAnsi="Times New Roman" w:eastAsia="宋体" w:cs="宋体"/>
                      <w:bCs/>
                      <w:color w:val="auto"/>
                      <w:szCs w:val="21"/>
                      <w:highlight w:val="none"/>
                    </w:rPr>
                    <w:t>排放</w:t>
                  </w:r>
                  <w:r>
                    <w:rPr>
                      <w:rFonts w:hint="eastAsia" w:ascii="Times New Roman" w:hAnsi="Times New Roman" w:eastAsia="宋体" w:cs="宋体"/>
                      <w:bCs/>
                      <w:color w:val="auto"/>
                      <w:szCs w:val="21"/>
                      <w:highlight w:val="none"/>
                    </w:rPr>
                    <w:t>，厂区内已实行“雨污分流、清污分流”，在接管口设置标识牌。</w:t>
                  </w:r>
                </w:p>
              </w:tc>
            </w:tr>
            <w:tr w14:paraId="2670D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CCB08B8">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w:t>
                  </w:r>
                  <w:r>
                    <w:rPr>
                      <w:rFonts w:hint="eastAsia" w:ascii="Times New Roman" w:hAnsi="Times New Roman" w:eastAsia="宋体" w:cs="宋体"/>
                      <w:b/>
                      <w:color w:val="auto"/>
                      <w:szCs w:val="21"/>
                      <w:highlight w:val="none"/>
                    </w:rPr>
                    <w:t>国家发展改革委等部门关于印发太湖流域水环境综合治理总体方案的通知</w:t>
                  </w:r>
                  <w:r>
                    <w:rPr>
                      <w:rFonts w:ascii="Times New Roman" w:hAnsi="Times New Roman" w:eastAsia="宋体" w:cs="宋体"/>
                      <w:b/>
                      <w:color w:val="auto"/>
                      <w:szCs w:val="21"/>
                      <w:highlight w:val="none"/>
                    </w:rPr>
                    <w:t>》</w:t>
                  </w:r>
                </w:p>
                <w:p w14:paraId="57E50F24">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（发改地区</w:t>
                  </w:r>
                  <w:r>
                    <w:rPr>
                      <w:rFonts w:hint="eastAsia" w:ascii="Times New Roman" w:hAnsi="Times New Roman" w:eastAsia="宋体" w:cs="宋体"/>
                      <w:b/>
                      <w:bCs/>
                      <w:color w:val="auto"/>
                      <w:szCs w:val="21"/>
                      <w:highlight w:val="none"/>
                    </w:rPr>
                    <w:t>〔2022〕</w:t>
                  </w:r>
                  <w:r>
                    <w:rPr>
                      <w:rFonts w:hint="eastAsia" w:ascii="Times New Roman" w:hAnsi="Times New Roman" w:eastAsia="宋体" w:cs="宋体"/>
                      <w:b/>
                      <w:color w:val="auto"/>
                      <w:szCs w:val="21"/>
                      <w:highlight w:val="none"/>
                    </w:rPr>
                    <w:t>959号）</w:t>
                  </w:r>
                </w:p>
              </w:tc>
            </w:tr>
            <w:tr w14:paraId="0DBB9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329AAAC9">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第三章</w:t>
                  </w:r>
                </w:p>
                <w:p w14:paraId="753EE0D3">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第一节</w:t>
                  </w:r>
                </w:p>
                <w:p w14:paraId="74843D33">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深化工业污染治理</w:t>
                  </w:r>
                </w:p>
              </w:tc>
              <w:tc>
                <w:tcPr>
                  <w:tcW w:w="2970" w:type="pct"/>
                  <w:gridSpan w:val="3"/>
                  <w:vAlign w:val="center"/>
                </w:tcPr>
                <w:p w14:paraId="305111E2">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督促企业依法持证排污、按证排污，严格落实总磷许可排放浓度和许可排放量要求。持续强化涉水行业污染整治，基于水生态环境质量改善需要，大力推进印染、化工、造纸、钢铁、电镀、食品</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啤酒、味精</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等重点行业企业废水深度处理。实施工业园区限值限量管理，全面推进工业园区污水管网排查整治和污水收集处理设施建设，加快实施管网混错接改造、管网更新、破损修复改造等，依法推动园区生产废水应纳尽纳。推进化工园区雨污分流改造和初期雨水收集处理，鼓励有条件的园区实施化工企业废水分类收集、分质处理、一企一管、明管输送、实时监测。</w:t>
                  </w:r>
                </w:p>
                <w:p w14:paraId="11F5B7D1">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推进企业内部工业用水循环利用、园区内企业间用水系统集成优化，推动工业废水资源化利用。积极推进清洁生产，引导工业园区、开发区尤其是耗水量大的企业新建中水回用设施和环保循环设施，推行尾水循环再生利用。开展造纸、印染等高耗水行业工业废水循环利用示范，率先在纺织印染、化工材料等工业园区探索建设</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污水零直排区</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，实施环境信息依法披露、生态环境损害赔偿、环境污染责任保险等制度。</w:t>
                  </w:r>
                </w:p>
              </w:tc>
              <w:tc>
                <w:tcPr>
                  <w:tcW w:w="1138" w:type="pct"/>
                  <w:gridSpan w:val="2"/>
                  <w:vAlign w:val="center"/>
                </w:tcPr>
                <w:p w14:paraId="53ABFF81">
                  <w:pPr>
                    <w:widowControl/>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建设单位不属于重点行业企业，不属于化工企业，无生产废水排放，生活污水接管至污水处理厂集中处理，尾水达标排放。</w:t>
                  </w:r>
                </w:p>
              </w:tc>
            </w:tr>
            <w:tr w14:paraId="3A747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D1C6BED">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第六章</w:t>
                  </w:r>
                </w:p>
                <w:p w14:paraId="39915494">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第一节</w:t>
                  </w:r>
                </w:p>
                <w:p w14:paraId="07C7A0EB">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引导产业合理布局</w:t>
                  </w:r>
                </w:p>
              </w:tc>
              <w:tc>
                <w:tcPr>
                  <w:tcW w:w="2970" w:type="pct"/>
                  <w:gridSpan w:val="3"/>
                  <w:vAlign w:val="center"/>
                </w:tcPr>
                <w:p w14:paraId="4EA500AE">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w:t>
                  </w:r>
                </w:p>
                <w:p w14:paraId="0BFDA10C">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三线一单</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管控要求、相关规划和环境影响评价要求，符合区域主导生态功能，鼓励工业企业项目采用国际国内行业先进的生产工艺与装备，提高污染物排放控制水平。</w:t>
                  </w:r>
                </w:p>
              </w:tc>
              <w:tc>
                <w:tcPr>
                  <w:tcW w:w="1138" w:type="pct"/>
                  <w:gridSpan w:val="2"/>
                  <w:vAlign w:val="center"/>
                </w:tcPr>
                <w:p w14:paraId="384809C8">
                  <w:pPr>
                    <w:widowControl/>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本项目符合相关产业政策与用地，不属于污染较重的企业，不在太湖流域等重要饮用水水源地300米范围内，符合“三线一单”管控要求。</w:t>
                  </w:r>
                </w:p>
              </w:tc>
            </w:tr>
            <w:tr w14:paraId="0325F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32979EC">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《关于加强生态保护红线管理的通知（试行）》（自然资发</w:t>
                  </w:r>
                  <w:r>
                    <w:rPr>
                      <w:rFonts w:hint="eastAsia" w:ascii="Times New Roman" w:hAnsi="Times New Roman" w:eastAsia="宋体" w:cs="宋体"/>
                      <w:b/>
                      <w:bCs/>
                      <w:color w:val="auto"/>
                      <w:szCs w:val="21"/>
                      <w:highlight w:val="none"/>
                    </w:rPr>
                    <w:t>〔2022〕</w:t>
                  </w:r>
                  <w:r>
                    <w:rPr>
                      <w:rFonts w:hint="eastAsia" w:ascii="Times New Roman" w:hAnsi="Times New Roman" w:eastAsia="宋体" w:cs="宋体"/>
                      <w:b/>
                      <w:color w:val="auto"/>
                      <w:szCs w:val="21"/>
                      <w:highlight w:val="none"/>
                    </w:rPr>
                    <w:t>142号）</w:t>
                  </w:r>
                </w:p>
              </w:tc>
            </w:tr>
            <w:tr w14:paraId="03645A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3F6823E3">
                  <w:pPr>
                    <w:snapToGrid w:val="0"/>
                    <w:jc w:val="center"/>
                    <w:rPr>
                      <w:rFonts w:ascii="Times New Roman" w:hAnsi="Times New Roman" w:eastAsia="宋体" w:cs="宋体"/>
                      <w:color w:val="auto"/>
                      <w:szCs w:val="21"/>
                      <w:highlight w:val="none"/>
                      <w:shd w:val="clear" w:color="auto" w:fill="FFFFFF"/>
                    </w:rPr>
                  </w:pPr>
                  <w:r>
                    <w:rPr>
                      <w:rFonts w:hint="eastAsia" w:ascii="Times New Roman" w:hAnsi="Times New Roman" w:eastAsia="宋体" w:cs="宋体"/>
                      <w:bCs/>
                      <w:color w:val="auto"/>
                      <w:szCs w:val="21"/>
                      <w:highlight w:val="none"/>
                    </w:rPr>
                    <w:t>一、加强人为活动管控</w:t>
                  </w:r>
                </w:p>
              </w:tc>
              <w:tc>
                <w:tcPr>
                  <w:tcW w:w="2970" w:type="pct"/>
                  <w:gridSpan w:val="3"/>
                  <w:vAlign w:val="center"/>
                </w:tcPr>
                <w:p w14:paraId="71D6E0BA">
                  <w:pPr>
                    <w:snapToGrid w:val="0"/>
                    <w:ind w:firstLine="420" w:firstLineChars="200"/>
                    <w:jc w:val="left"/>
                    <w:rPr>
                      <w:rFonts w:ascii="Times New Roman" w:hAnsi="Times New Roman" w:eastAsia="宋体" w:cs="宋体"/>
                      <w:b/>
                      <w:color w:val="auto"/>
                      <w:szCs w:val="21"/>
                      <w:highlight w:val="none"/>
                    </w:rPr>
                  </w:pPr>
                  <w:r>
                    <w:rPr>
                      <w:rFonts w:hint="eastAsia" w:ascii="Times New Roman" w:hAnsi="Times New Roman" w:eastAsia="宋体" w:cs="宋体"/>
                      <w:bCs/>
                      <w:color w:val="auto"/>
                      <w:szCs w:val="21"/>
                      <w:highlight w:val="none"/>
                    </w:rPr>
                    <w:t>（一）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tc>
              <w:tc>
                <w:tcPr>
                  <w:tcW w:w="1138" w:type="pct"/>
                  <w:gridSpan w:val="2"/>
                  <w:vMerge w:val="restart"/>
                  <w:vAlign w:val="center"/>
                </w:tcPr>
                <w:p w14:paraId="048F6CD3">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本项目不在生态保护红线范围内，与文件相符</w:t>
                  </w:r>
                </w:p>
              </w:tc>
            </w:tr>
            <w:tr w14:paraId="4A772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28E9014C">
                  <w:pPr>
                    <w:snapToGrid w:val="0"/>
                    <w:jc w:val="center"/>
                    <w:rPr>
                      <w:rFonts w:ascii="Times New Roman" w:hAnsi="Times New Roman" w:eastAsia="宋体" w:cs="宋体"/>
                      <w:color w:val="auto"/>
                      <w:szCs w:val="21"/>
                      <w:highlight w:val="none"/>
                      <w:shd w:val="clear" w:color="auto" w:fill="FFFFFF"/>
                    </w:rPr>
                  </w:pPr>
                </w:p>
              </w:tc>
              <w:tc>
                <w:tcPr>
                  <w:tcW w:w="2970" w:type="pct"/>
                  <w:gridSpan w:val="3"/>
                  <w:vAlign w:val="center"/>
                </w:tcPr>
                <w:p w14:paraId="4B493EE7">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二）加强有限人为活动管理。上述生态保护红线管控范围内有限人为活动，涉及新增建设用地、用海用岛审批的，在报批农用地转用、土地征收、海域使用权、无居民海岛开发利用时，附省级人民政府出具符合生态保护红线内允许有限人为活动的认定意见；不涉及新增建设用地、用海用岛审批的，按有关规定进行管理，无明确规定的由省级人民政府制定具体监管办法。上述活动涉及自然保护地的，应征求林业和草原主管部门或自然保护地管理机构意见。</w:t>
                  </w:r>
                </w:p>
              </w:tc>
              <w:tc>
                <w:tcPr>
                  <w:tcW w:w="1138" w:type="pct"/>
                  <w:gridSpan w:val="2"/>
                  <w:vMerge w:val="continue"/>
                  <w:vAlign w:val="center"/>
                </w:tcPr>
                <w:p w14:paraId="3E726FA2">
                  <w:pPr>
                    <w:snapToGrid w:val="0"/>
                    <w:jc w:val="center"/>
                    <w:rPr>
                      <w:rFonts w:ascii="Times New Roman" w:hAnsi="Times New Roman" w:eastAsia="宋体" w:cs="宋体"/>
                      <w:bCs/>
                      <w:color w:val="auto"/>
                      <w:szCs w:val="21"/>
                      <w:highlight w:val="none"/>
                    </w:rPr>
                  </w:pPr>
                </w:p>
              </w:tc>
            </w:tr>
            <w:tr w14:paraId="13504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30635673">
                  <w:pPr>
                    <w:snapToGrid w:val="0"/>
                    <w:jc w:val="center"/>
                    <w:rPr>
                      <w:rFonts w:ascii="Times New Roman" w:hAnsi="Times New Roman" w:eastAsia="宋体" w:cs="宋体"/>
                      <w:color w:val="auto"/>
                      <w:szCs w:val="21"/>
                      <w:highlight w:val="none"/>
                      <w:shd w:val="clear" w:color="auto" w:fill="FFFFFF"/>
                    </w:rPr>
                  </w:pPr>
                </w:p>
              </w:tc>
              <w:tc>
                <w:tcPr>
                  <w:tcW w:w="2970" w:type="pct"/>
                  <w:gridSpan w:val="3"/>
                  <w:vAlign w:val="center"/>
                </w:tcPr>
                <w:p w14:paraId="57F2856E">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三）有序处理历史遗留问题。生态保护红线经国务院批准后，对需逐步有序退出的矿业权等，由省级人民政府按照尊重历史、实事求是的原则，结合实际制定退出计划，明确时序安排、补偿安置、生态修复等要求，确保生态安全和社会稳定。鼓励有条件的地方通过租赁、置换、赎买等方式，对人工商品林实行统一管护，并将重要生态区位的人工商品林按规定逐步转为公益林。零星分布的已有水电、风电、光伏、海洋能设施，按照相关法律法规规定进行管理，严禁扩大现有规模与范围，项目到期后由建设单位负责做好生态修复。</w:t>
                  </w:r>
                </w:p>
              </w:tc>
              <w:tc>
                <w:tcPr>
                  <w:tcW w:w="1138" w:type="pct"/>
                  <w:gridSpan w:val="2"/>
                  <w:vMerge w:val="continue"/>
                  <w:vAlign w:val="center"/>
                </w:tcPr>
                <w:p w14:paraId="19D7DC00">
                  <w:pPr>
                    <w:snapToGrid w:val="0"/>
                    <w:jc w:val="center"/>
                    <w:rPr>
                      <w:rFonts w:ascii="Times New Roman" w:hAnsi="Times New Roman" w:eastAsia="宋体" w:cs="宋体"/>
                      <w:bCs/>
                      <w:color w:val="auto"/>
                      <w:szCs w:val="21"/>
                      <w:highlight w:val="none"/>
                    </w:rPr>
                  </w:pPr>
                </w:p>
              </w:tc>
            </w:tr>
            <w:tr w14:paraId="05036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5BFEF31">
                  <w:pPr>
                    <w:tabs>
                      <w:tab w:val="left" w:pos="2160"/>
                    </w:tabs>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w:t>
                  </w:r>
                  <w:r>
                    <w:rPr>
                      <w:rFonts w:hint="eastAsia" w:ascii="Times New Roman" w:hAnsi="Times New Roman" w:eastAsia="宋体" w:cs="宋体"/>
                      <w:b/>
                      <w:color w:val="auto"/>
                      <w:szCs w:val="21"/>
                      <w:highlight w:val="none"/>
                    </w:rPr>
                    <w:t>省生态环境厅关于进一步做好建设项目环评审批工作的通知</w:t>
                  </w:r>
                  <w:r>
                    <w:rPr>
                      <w:rFonts w:ascii="Times New Roman" w:hAnsi="Times New Roman" w:eastAsia="宋体" w:cs="宋体"/>
                      <w:b/>
                      <w:color w:val="auto"/>
                      <w:szCs w:val="21"/>
                      <w:highlight w:val="none"/>
                    </w:rPr>
                    <w:t>》</w:t>
                  </w:r>
                </w:p>
                <w:p w14:paraId="110E737B">
                  <w:pPr>
                    <w:tabs>
                      <w:tab w:val="left" w:pos="2160"/>
                    </w:tab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（苏环办</w:t>
                  </w:r>
                  <w:r>
                    <w:rPr>
                      <w:rFonts w:hint="eastAsia" w:ascii="Times New Roman" w:hAnsi="Times New Roman" w:eastAsia="宋体" w:cs="宋体"/>
                      <w:b/>
                      <w:bCs/>
                      <w:color w:val="auto"/>
                      <w:szCs w:val="21"/>
                      <w:highlight w:val="none"/>
                    </w:rPr>
                    <w:t>〔2019〕</w:t>
                  </w:r>
                  <w:r>
                    <w:rPr>
                      <w:rFonts w:hint="eastAsia" w:ascii="Times New Roman" w:hAnsi="Times New Roman" w:eastAsia="宋体" w:cs="宋体"/>
                      <w:b/>
                      <w:color w:val="auto"/>
                      <w:szCs w:val="21"/>
                      <w:highlight w:val="none"/>
                    </w:rPr>
                    <w:t>36号）附件 建设项目环评审批要点</w:t>
                  </w:r>
                </w:p>
              </w:tc>
            </w:tr>
            <w:tr w14:paraId="0B41C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2EECA57">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一、《建设项目环境保护管理条例》</w:t>
                  </w:r>
                </w:p>
              </w:tc>
              <w:tc>
                <w:tcPr>
                  <w:tcW w:w="2970" w:type="pct"/>
                  <w:gridSpan w:val="3"/>
                  <w:vAlign w:val="center"/>
                </w:tcPr>
                <w:p w14:paraId="60E27486">
                  <w:pPr>
                    <w:keepNext w:val="0"/>
                    <w:keepLines w:val="0"/>
                    <w:pageBreakBefore w:val="0"/>
                    <w:widowControl w:val="0"/>
                    <w:tabs>
                      <w:tab w:val="left" w:pos="2160"/>
                    </w:tabs>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有下列情形之一的，不予批准</w:t>
                  </w:r>
                  <w:r>
                    <w:rPr>
                      <w:rFonts w:hint="eastAsia" w:ascii="Times New Roman" w:hAnsi="Times New Roman" w:eastAsia="宋体" w:cs="宋体"/>
                      <w:color w:val="auto"/>
                      <w:szCs w:val="21"/>
                      <w:highlight w:val="none"/>
                    </w:rPr>
                    <w:t>：（1）</w:t>
                  </w:r>
                  <w:r>
                    <w:rPr>
                      <w:rFonts w:ascii="Times New Roman" w:hAnsi="Times New Roman" w:eastAsia="宋体" w:cs="宋体"/>
                      <w:color w:val="auto"/>
                      <w:szCs w:val="21"/>
                      <w:highlight w:val="none"/>
                    </w:rPr>
                    <w:t>建设项目类型及其选址、布局、规模等不符合环境保护法律法规和相关法定规划</w:t>
                  </w:r>
                  <w:r>
                    <w:rPr>
                      <w:rFonts w:hint="eastAsia" w:ascii="Times New Roman" w:hAnsi="Times New Roman" w:eastAsia="宋体" w:cs="宋体"/>
                      <w:color w:val="auto"/>
                      <w:szCs w:val="21"/>
                      <w:highlight w:val="none"/>
                    </w:rPr>
                    <w:t>；（2）</w:t>
                  </w:r>
                  <w:r>
                    <w:rPr>
                      <w:rFonts w:ascii="Times New Roman" w:hAnsi="Times New Roman" w:eastAsia="宋体" w:cs="宋体"/>
                      <w:color w:val="auto"/>
                      <w:szCs w:val="21"/>
                      <w:highlight w:val="none"/>
                    </w:rPr>
                    <w:t>所在区域环境质量未达到国家或者地方环境质量标准，且建设项目拟采取的措施不能满足区域环境质量改善目标管理要求</w:t>
                  </w:r>
                  <w:r>
                    <w:rPr>
                      <w:rFonts w:hint="eastAsia" w:ascii="Times New Roman" w:hAnsi="Times New Roman" w:eastAsia="宋体" w:cs="宋体"/>
                      <w:color w:val="auto"/>
                      <w:szCs w:val="21"/>
                      <w:highlight w:val="none"/>
                    </w:rPr>
                    <w:t>；（3）</w:t>
                  </w:r>
                  <w:r>
                    <w:rPr>
                      <w:rFonts w:ascii="Times New Roman" w:hAnsi="Times New Roman" w:eastAsia="宋体" w:cs="宋体"/>
                      <w:color w:val="auto"/>
                      <w:szCs w:val="21"/>
                      <w:highlight w:val="none"/>
                    </w:rPr>
                    <w:t>建设项目采取的污染防治措施无法确保污染物排放达到国家和地方排放标准，或者未采取必要措施预防和控制生态破坏</w:t>
                  </w:r>
                  <w:r>
                    <w:rPr>
                      <w:rFonts w:hint="eastAsia" w:ascii="Times New Roman" w:hAnsi="Times New Roman" w:eastAsia="宋体" w:cs="宋体"/>
                      <w:color w:val="auto"/>
                      <w:szCs w:val="21"/>
                      <w:highlight w:val="none"/>
                    </w:rPr>
                    <w:t>；（4）</w:t>
                  </w:r>
                  <w:r>
                    <w:rPr>
                      <w:rFonts w:ascii="Times New Roman" w:hAnsi="Times New Roman" w:eastAsia="宋体" w:cs="宋体"/>
                      <w:color w:val="auto"/>
                      <w:szCs w:val="21"/>
                      <w:highlight w:val="none"/>
                    </w:rPr>
                    <w:t>改建、扩建和技术改造项目，未针对项目原有环境污染和生态破坏提出有效防止措施</w:t>
                  </w:r>
                  <w:r>
                    <w:rPr>
                      <w:rFonts w:hint="eastAsia" w:ascii="Times New Roman" w:hAnsi="Times New Roman" w:eastAsia="宋体" w:cs="宋体"/>
                      <w:color w:val="auto"/>
                      <w:szCs w:val="21"/>
                      <w:highlight w:val="none"/>
                    </w:rPr>
                    <w:t>；（5）</w:t>
                  </w:r>
                  <w:r>
                    <w:rPr>
                      <w:rFonts w:ascii="Times New Roman" w:hAnsi="Times New Roman" w:eastAsia="宋体" w:cs="宋体"/>
                      <w:color w:val="auto"/>
                      <w:szCs w:val="21"/>
                      <w:highlight w:val="none"/>
                    </w:rPr>
                    <w:t>建设项目的环境影响报告书、环境影响报告表的基础资料数据明显不实，内容存在重大缺陷、遗漏，或者环境影响评价结论不明确、不合理。</w:t>
                  </w:r>
                </w:p>
              </w:tc>
              <w:tc>
                <w:tcPr>
                  <w:tcW w:w="1138" w:type="pct"/>
                  <w:gridSpan w:val="2"/>
                  <w:vAlign w:val="center"/>
                </w:tcPr>
                <w:p w14:paraId="57DE3A47">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本项目类型</w:t>
                  </w:r>
                  <w:r>
                    <w:rPr>
                      <w:rFonts w:hint="eastAsia" w:ascii="Times New Roman" w:hAnsi="Times New Roman" w:eastAsia="宋体" w:cs="宋体"/>
                      <w:color w:val="auto"/>
                      <w:szCs w:val="21"/>
                      <w:highlight w:val="none"/>
                    </w:rPr>
                    <w:t>及其选址、布局、规模符合环境保护法律法规和相关法定规划，所在区域</w:t>
                  </w:r>
                  <w:r>
                    <w:rPr>
                      <w:rFonts w:ascii="Times New Roman" w:hAnsi="Times New Roman" w:eastAsia="宋体" w:cs="宋体"/>
                      <w:color w:val="auto"/>
                      <w:szCs w:val="21"/>
                      <w:highlight w:val="none"/>
                    </w:rPr>
                    <w:t>为非达标区域，在落实大气污染防治措施的情况下，区域环境空气质量可以得到改善</w:t>
                  </w:r>
                  <w:r>
                    <w:rPr>
                      <w:rFonts w:hint="eastAsia" w:ascii="Times New Roman" w:hAnsi="Times New Roman" w:eastAsia="宋体" w:cs="宋体"/>
                      <w:color w:val="auto"/>
                      <w:szCs w:val="21"/>
                      <w:highlight w:val="none"/>
                    </w:rPr>
                    <w:t>，</w:t>
                  </w:r>
                  <w:r>
                    <w:rPr>
                      <w:rFonts w:ascii="Times New Roman" w:hAnsi="Times New Roman" w:eastAsia="宋体" w:cs="宋体"/>
                      <w:color w:val="auto"/>
                      <w:szCs w:val="21"/>
                      <w:highlight w:val="none"/>
                    </w:rPr>
                    <w:t>采取的污染防治措施属于</w:t>
                  </w:r>
                  <w:r>
                    <w:rPr>
                      <w:rFonts w:hint="eastAsia" w:ascii="Times New Roman" w:hAnsi="Times New Roman" w:eastAsia="宋体" w:cs="宋体"/>
                      <w:color w:val="auto"/>
                      <w:kern w:val="0"/>
                      <w:szCs w:val="21"/>
                      <w:highlight w:val="none"/>
                    </w:rPr>
                    <w:t>可行技术，数据真实，结论可行。</w:t>
                  </w:r>
                </w:p>
              </w:tc>
            </w:tr>
            <w:tr w14:paraId="551DE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32F8AE64">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二、《农用地土壤环境管理办法（试行）》（环境保护部农业部令第46号）</w:t>
                  </w:r>
                </w:p>
              </w:tc>
              <w:tc>
                <w:tcPr>
                  <w:tcW w:w="2970" w:type="pct"/>
                  <w:gridSpan w:val="3"/>
                  <w:vAlign w:val="center"/>
                </w:tcPr>
                <w:p w14:paraId="7AE06F38">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138" w:type="pct"/>
                  <w:gridSpan w:val="2"/>
                  <w:vAlign w:val="center"/>
                </w:tcPr>
                <w:p w14:paraId="7153D132">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本项目所在地为工业用地且不属于上述行业企业</w:t>
                  </w:r>
                  <w:r>
                    <w:rPr>
                      <w:rFonts w:hint="eastAsia" w:ascii="Times New Roman" w:hAnsi="Times New Roman" w:eastAsia="宋体" w:cs="宋体"/>
                      <w:color w:val="auto"/>
                      <w:szCs w:val="21"/>
                      <w:highlight w:val="none"/>
                    </w:rPr>
                    <w:t>。</w:t>
                  </w:r>
                </w:p>
              </w:tc>
            </w:tr>
            <w:tr w14:paraId="5FED8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1F38601">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三、《关于印发&lt;建设项目主要污染物排放总量指标审核及管理暂行办法&gt;的通知》（环发〔2014〕197号）</w:t>
                  </w:r>
                </w:p>
              </w:tc>
              <w:tc>
                <w:tcPr>
                  <w:tcW w:w="2970" w:type="pct"/>
                  <w:gridSpan w:val="3"/>
                  <w:vAlign w:val="center"/>
                </w:tcPr>
                <w:p w14:paraId="6AA3A07A">
                  <w:pPr>
                    <w:keepNext w:val="0"/>
                    <w:keepLines w:val="0"/>
                    <w:pageBreakBefore w:val="0"/>
                    <w:widowControl w:val="0"/>
                    <w:tabs>
                      <w:tab w:val="left" w:pos="2160"/>
                    </w:tabs>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138" w:type="pct"/>
                  <w:gridSpan w:val="2"/>
                  <w:vAlign w:val="center"/>
                </w:tcPr>
                <w:p w14:paraId="400221C8">
                  <w:pPr>
                    <w:keepNext w:val="0"/>
                    <w:keepLines w:val="0"/>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本项目新增的污染物在</w:t>
                  </w:r>
                  <w:r>
                    <w:rPr>
                      <w:rFonts w:hint="eastAsia" w:cs="宋体"/>
                      <w:color w:val="auto"/>
                      <w:szCs w:val="21"/>
                      <w:highlight w:val="none"/>
                      <w:lang w:val="en-US" w:eastAsia="zh-CN"/>
                    </w:rPr>
                    <w:t>金坛</w:t>
                  </w:r>
                  <w:r>
                    <w:rPr>
                      <w:rFonts w:hint="eastAsia" w:ascii="Times New Roman" w:hAnsi="Times New Roman" w:eastAsia="宋体" w:cs="宋体"/>
                      <w:color w:val="auto"/>
                      <w:szCs w:val="21"/>
                      <w:highlight w:val="none"/>
                    </w:rPr>
                    <w:t>区</w:t>
                  </w:r>
                  <w:r>
                    <w:rPr>
                      <w:rFonts w:ascii="Times New Roman" w:hAnsi="Times New Roman" w:eastAsia="宋体" w:cs="宋体"/>
                      <w:color w:val="auto"/>
                      <w:szCs w:val="21"/>
                      <w:highlight w:val="none"/>
                    </w:rPr>
                    <w:t>范围内平衡</w:t>
                  </w:r>
                  <w:r>
                    <w:rPr>
                      <w:rFonts w:hint="eastAsia" w:ascii="Times New Roman" w:hAnsi="Times New Roman" w:eastAsia="宋体" w:cs="宋体"/>
                      <w:color w:val="auto"/>
                      <w:szCs w:val="21"/>
                      <w:highlight w:val="none"/>
                    </w:rPr>
                    <w:t>。</w:t>
                  </w:r>
                </w:p>
              </w:tc>
            </w:tr>
            <w:tr w14:paraId="38F8E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1B44A82A">
                  <w:pPr>
                    <w:keepNext w:val="0"/>
                    <w:keepLines/>
                    <w:pageBreakBefore w:val="0"/>
                    <w:widowControl w:val="0"/>
                    <w:tabs>
                      <w:tab w:val="left" w:pos="2160"/>
                    </w:tabs>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四、《关于以改善环境质量为核心加强环境影响评价管理的通知》（环环评</w:t>
                  </w:r>
                  <w:r>
                    <w:rPr>
                      <w:rFonts w:hint="eastAsia" w:ascii="Times New Roman" w:hAnsi="Times New Roman" w:eastAsia="宋体" w:cs="宋体"/>
                      <w:color w:val="auto"/>
                      <w:szCs w:val="21"/>
                      <w:highlight w:val="none"/>
                    </w:rPr>
                    <w:t>〔2016〕</w:t>
                  </w:r>
                  <w:r>
                    <w:rPr>
                      <w:rFonts w:ascii="Times New Roman" w:hAnsi="Times New Roman" w:eastAsia="宋体" w:cs="宋体"/>
                      <w:color w:val="auto"/>
                      <w:szCs w:val="21"/>
                      <w:highlight w:val="none"/>
                    </w:rPr>
                    <w:t>150号）</w:t>
                  </w:r>
                </w:p>
              </w:tc>
              <w:tc>
                <w:tcPr>
                  <w:tcW w:w="2970" w:type="pct"/>
                  <w:gridSpan w:val="3"/>
                  <w:vAlign w:val="center"/>
                </w:tcPr>
                <w:p w14:paraId="73F84269">
                  <w:pPr>
                    <w:keepNext w:val="0"/>
                    <w:keepLines/>
                    <w:pageBreakBefore w:val="0"/>
                    <w:widowControl w:val="0"/>
                    <w:tabs>
                      <w:tab w:val="left" w:pos="2160"/>
                    </w:tabs>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p w14:paraId="79098391">
                  <w:pPr>
                    <w:keepNext w:val="0"/>
                    <w:keepLines/>
                    <w:pageBreakBefore w:val="0"/>
                    <w:widowControl w:val="0"/>
                    <w:tabs>
                      <w:tab w:val="left" w:pos="2160"/>
                    </w:tabs>
                    <w:kinsoku/>
                    <w:wordWrap/>
                    <w:overflowPunct/>
                    <w:topLinePunct w:val="0"/>
                    <w:autoSpaceDE/>
                    <w:autoSpaceDN/>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138" w:type="pct"/>
                  <w:gridSpan w:val="2"/>
                  <w:vAlign w:val="center"/>
                </w:tcPr>
                <w:p w14:paraId="03DB33D2">
                  <w:pPr>
                    <w:keepLines/>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相符。</w:t>
                  </w:r>
                </w:p>
              </w:tc>
            </w:tr>
            <w:tr w14:paraId="0C451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E8F2DBF">
                  <w:pPr>
                    <w:keepLines/>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五、《关于全面加强生态环境保护坚决打好污染防治攻坚战的实施意见》（苏发</w:t>
                  </w:r>
                  <w:r>
                    <w:rPr>
                      <w:rFonts w:hint="eastAsia" w:ascii="Times New Roman" w:hAnsi="Times New Roman" w:eastAsia="宋体" w:cs="宋体"/>
                      <w:color w:val="auto"/>
                      <w:szCs w:val="21"/>
                      <w:highlight w:val="none"/>
                    </w:rPr>
                    <w:t>〔2018〕</w:t>
                  </w:r>
                  <w:r>
                    <w:rPr>
                      <w:rFonts w:ascii="Times New Roman" w:hAnsi="Times New Roman" w:eastAsia="宋体" w:cs="宋体"/>
                      <w:color w:val="auto"/>
                      <w:szCs w:val="21"/>
                      <w:highlight w:val="none"/>
                    </w:rPr>
                    <w:t>24号）</w:t>
                  </w:r>
                </w:p>
              </w:tc>
              <w:tc>
                <w:tcPr>
                  <w:tcW w:w="2970" w:type="pct"/>
                  <w:gridSpan w:val="3"/>
                  <w:vAlign w:val="center"/>
                </w:tcPr>
                <w:p w14:paraId="51DCFEE6">
                  <w:pPr>
                    <w:keepLines/>
                    <w:tabs>
                      <w:tab w:val="left" w:pos="2160"/>
                    </w:tabs>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138" w:type="pct"/>
                  <w:gridSpan w:val="2"/>
                  <w:vAlign w:val="center"/>
                </w:tcPr>
                <w:p w14:paraId="3A47F1A4">
                  <w:pPr>
                    <w:keepLines/>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本项目不在长江干流及主要支流岸线1公里范围内且不属于化工企业。</w:t>
                  </w:r>
                </w:p>
              </w:tc>
            </w:tr>
            <w:tr w14:paraId="1CC1B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36FF332B">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九、《省政府关于印发江苏省国家级生态保护红线规划的通知》（苏政发〔2018〕74号）</w:t>
                  </w:r>
                </w:p>
              </w:tc>
              <w:tc>
                <w:tcPr>
                  <w:tcW w:w="2970" w:type="pct"/>
                  <w:gridSpan w:val="3"/>
                  <w:vAlign w:val="center"/>
                </w:tcPr>
                <w:p w14:paraId="558B56E1">
                  <w:pPr>
                    <w:tabs>
                      <w:tab w:val="left" w:pos="2160"/>
                    </w:tabs>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生态保护红线原则上按禁止开发区域的要求进行管理，</w:t>
                  </w:r>
                  <w:r>
                    <w:rPr>
                      <w:rFonts w:hint="eastAsia" w:ascii="Times New Roman" w:hAnsi="Times New Roman" w:eastAsia="宋体" w:cs="宋体"/>
                      <w:color w:val="auto"/>
                      <w:szCs w:val="21"/>
                      <w:highlight w:val="none"/>
                    </w:rPr>
                    <w:t>严禁</w:t>
                  </w:r>
                  <w:r>
                    <w:rPr>
                      <w:rFonts w:ascii="Times New Roman" w:hAnsi="Times New Roman" w:eastAsia="宋体" w:cs="宋体"/>
                      <w:color w:val="auto"/>
                      <w:szCs w:val="21"/>
                      <w:highlight w:val="none"/>
                    </w:rPr>
                    <w:t>不符合主体功能定位的各类开发活动，严禁任意改变用途。</w:t>
                  </w:r>
                </w:p>
              </w:tc>
              <w:tc>
                <w:tcPr>
                  <w:tcW w:w="1138" w:type="pct"/>
                  <w:gridSpan w:val="2"/>
                  <w:vAlign w:val="center"/>
                </w:tcPr>
                <w:p w14:paraId="29BD9256">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本项目不在生态保护红线范围内</w:t>
                  </w:r>
                  <w:r>
                    <w:rPr>
                      <w:rFonts w:hint="eastAsia" w:ascii="Times New Roman" w:hAnsi="Times New Roman" w:eastAsia="宋体" w:cs="宋体"/>
                      <w:color w:val="auto"/>
                      <w:szCs w:val="21"/>
                      <w:highlight w:val="none"/>
                    </w:rPr>
                    <w:t>。</w:t>
                  </w:r>
                </w:p>
              </w:tc>
            </w:tr>
            <w:tr w14:paraId="7BDFE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01D110D">
                  <w:pPr>
                    <w:keepLines/>
                    <w:tabs>
                      <w:tab w:val="left" w:pos="2160"/>
                    </w:tabs>
                    <w:snapToGrid w:val="0"/>
                    <w:jc w:val="center"/>
                    <w:rPr>
                      <w:rFonts w:ascii="Times New Roman" w:hAnsi="Times New Roman" w:eastAsia="宋体" w:cs="宋体"/>
                      <w:color w:val="auto"/>
                      <w:highlight w:val="none"/>
                    </w:rPr>
                  </w:pPr>
                  <w:r>
                    <w:rPr>
                      <w:rFonts w:ascii="Times New Roman" w:hAnsi="Times New Roman" w:eastAsia="宋体" w:cs="宋体"/>
                      <w:color w:val="auto"/>
                      <w:highlight w:val="none"/>
                    </w:rPr>
                    <w:t>十、《省政府办公厅关于加强危险废物污染防治工作的意见》（苏政办发</w:t>
                  </w:r>
                  <w:r>
                    <w:rPr>
                      <w:rFonts w:hint="eastAsia" w:ascii="Times New Roman" w:hAnsi="Times New Roman" w:eastAsia="宋体" w:cs="宋体"/>
                      <w:color w:val="auto"/>
                      <w:szCs w:val="21"/>
                      <w:highlight w:val="none"/>
                    </w:rPr>
                    <w:t>〔2018〕</w:t>
                  </w:r>
                  <w:r>
                    <w:rPr>
                      <w:rFonts w:ascii="Times New Roman" w:hAnsi="Times New Roman" w:eastAsia="宋体" w:cs="宋体"/>
                      <w:color w:val="auto"/>
                      <w:highlight w:val="none"/>
                    </w:rPr>
                    <w:t>91号）</w:t>
                  </w:r>
                </w:p>
              </w:tc>
              <w:tc>
                <w:tcPr>
                  <w:tcW w:w="2970" w:type="pct"/>
                  <w:gridSpan w:val="3"/>
                  <w:vAlign w:val="center"/>
                </w:tcPr>
                <w:p w14:paraId="07668070">
                  <w:pPr>
                    <w:keepLines/>
                    <w:tabs>
                      <w:tab w:val="left" w:pos="2160"/>
                    </w:tabs>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禁止审批无法落实危险废物利用、处置途径的项目，从严审批危险废物产生量大、本地无配套利用处置能力、且需设区市统筹解决的项目。</w:t>
                  </w:r>
                </w:p>
              </w:tc>
              <w:tc>
                <w:tcPr>
                  <w:tcW w:w="1138" w:type="pct"/>
                  <w:gridSpan w:val="2"/>
                  <w:vAlign w:val="center"/>
                </w:tcPr>
                <w:p w14:paraId="6AEFA2D1">
                  <w:pPr>
                    <w:keepLines/>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本项目危险废物</w:t>
                  </w:r>
                  <w:r>
                    <w:rPr>
                      <w:rFonts w:hint="eastAsia" w:ascii="Times New Roman" w:hAnsi="Times New Roman" w:eastAsia="宋体" w:cs="宋体"/>
                      <w:color w:val="auto"/>
                      <w:szCs w:val="21"/>
                      <w:highlight w:val="none"/>
                    </w:rPr>
                    <w:t>委托当地有资质单位处置</w:t>
                  </w:r>
                  <w:r>
                    <w:rPr>
                      <w:rFonts w:ascii="Times New Roman" w:hAnsi="Times New Roman" w:eastAsia="宋体" w:cs="宋体"/>
                      <w:color w:val="auto"/>
                      <w:szCs w:val="21"/>
                      <w:highlight w:val="none"/>
                    </w:rPr>
                    <w:t>。</w:t>
                  </w:r>
                </w:p>
              </w:tc>
            </w:tr>
            <w:tr w14:paraId="3FA39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514BC83D">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《省生态环境厅关于进一步加强建设项目环评审批和服务工作的指导意见》</w:t>
                  </w:r>
                </w:p>
                <w:p w14:paraId="74BB861D">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color w:val="auto"/>
                      <w:szCs w:val="21"/>
                      <w:highlight w:val="none"/>
                    </w:rPr>
                    <w:t>（苏环办</w:t>
                  </w:r>
                  <w:r>
                    <w:rPr>
                      <w:rFonts w:hint="eastAsia" w:ascii="Times New Roman" w:hAnsi="Times New Roman" w:eastAsia="宋体" w:cs="宋体"/>
                      <w:b/>
                      <w:bCs/>
                      <w:color w:val="auto"/>
                      <w:szCs w:val="21"/>
                      <w:highlight w:val="none"/>
                    </w:rPr>
                    <w:t>〔2020〕</w:t>
                  </w:r>
                  <w:r>
                    <w:rPr>
                      <w:rFonts w:hint="eastAsia" w:ascii="Times New Roman" w:hAnsi="Times New Roman" w:eastAsia="宋体" w:cs="宋体"/>
                      <w:b/>
                      <w:color w:val="auto"/>
                      <w:szCs w:val="21"/>
                      <w:highlight w:val="none"/>
                    </w:rPr>
                    <w:t>225号）</w:t>
                  </w:r>
                </w:p>
              </w:tc>
            </w:tr>
            <w:tr w14:paraId="35DB5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D708E8D">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严守生态环境质量底线</w:t>
                  </w:r>
                </w:p>
              </w:tc>
              <w:tc>
                <w:tcPr>
                  <w:tcW w:w="2970" w:type="pct"/>
                  <w:gridSpan w:val="3"/>
                  <w:vAlign w:val="center"/>
                </w:tcPr>
                <w:p w14:paraId="148A32BE">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坚持以改善环境质量为核心，开发建设活动不得突破区域生态环境承载能力，确保“生态环境质量只能更好、不能变坏”。</w:t>
                  </w:r>
                </w:p>
                <w:p w14:paraId="00C1616F">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（一）建设项目所在区域环境质量未达到国家或地方环境质量标准，且项目拟采取的污染防治措施不能满足区域环境质量改善目标管理要求的，一律不得审批。</w:t>
                  </w:r>
                </w:p>
                <w:p w14:paraId="417C13FA">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（二）加强规划环评与建设项目环评联动，对不符合规划环评结论及审查意见的项目环评，依法不予审批。规划所包含项目的环评内容，可根据规划环评结论和审查意见予以简化。</w:t>
                  </w:r>
                </w:p>
                <w:p w14:paraId="2076CB6F">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（三）切实加强区域环境容量、环境承载力研究，不得审批突破环境容量和环境承载力的建设项目。</w:t>
                  </w:r>
                </w:p>
                <w:p w14:paraId="02B59A55">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（四）应将“三线一单”作为建设项目环评审批的重要依据，严格落实生态环境分区管控要求，从严把好环境准入关。</w:t>
                  </w:r>
                </w:p>
              </w:tc>
              <w:tc>
                <w:tcPr>
                  <w:tcW w:w="1138" w:type="pct"/>
                  <w:gridSpan w:val="2"/>
                  <w:vMerge w:val="restart"/>
                  <w:vAlign w:val="center"/>
                </w:tcPr>
                <w:p w14:paraId="16EB66D9">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本项目所在区域为非达标区，为实现区域环境质量达标，</w:t>
                  </w:r>
                  <w:r>
                    <w:rPr>
                      <w:rFonts w:hint="eastAsia" w:ascii="Times New Roman" w:hAnsi="Times New Roman" w:eastAsia="宋体" w:cs="宋体"/>
                      <w:bCs/>
                      <w:color w:val="auto"/>
                      <w:szCs w:val="21"/>
                      <w:highlight w:val="none"/>
                    </w:rPr>
                    <w:t>常州市生态环境</w:t>
                  </w:r>
                  <w:r>
                    <w:rPr>
                      <w:rFonts w:ascii="Times New Roman" w:hAnsi="Times New Roman" w:eastAsia="宋体" w:cs="宋体"/>
                      <w:bCs/>
                      <w:color w:val="auto"/>
                      <w:szCs w:val="21"/>
                      <w:highlight w:val="none"/>
                    </w:rPr>
                    <w:t>局提出</w:t>
                  </w:r>
                  <w:r>
                    <w:rPr>
                      <w:rFonts w:hint="eastAsia" w:ascii="Times New Roman" w:hAnsi="Times New Roman" w:eastAsia="宋体" w:cs="宋体"/>
                      <w:bCs/>
                      <w:color w:val="auto"/>
                      <w:szCs w:val="21"/>
                      <w:highlight w:val="none"/>
                    </w:rPr>
                    <w:t>一系列</w:t>
                  </w:r>
                  <w:r>
                    <w:rPr>
                      <w:rFonts w:ascii="Times New Roman" w:hAnsi="Times New Roman" w:eastAsia="宋体" w:cs="宋体"/>
                      <w:bCs/>
                      <w:color w:val="auto"/>
                      <w:szCs w:val="21"/>
                      <w:highlight w:val="none"/>
                    </w:rPr>
                    <w:t>大气污染防治措施，区域环境空气质量可以得到改善</w:t>
                  </w:r>
                  <w:r>
                    <w:rPr>
                      <w:rFonts w:hint="eastAsia" w:ascii="Times New Roman" w:hAnsi="Times New Roman" w:eastAsia="宋体" w:cs="宋体"/>
                      <w:bCs/>
                      <w:color w:val="auto"/>
                      <w:szCs w:val="21"/>
                      <w:highlight w:val="none"/>
                    </w:rPr>
                    <w:t>，</w:t>
                  </w:r>
                  <w:r>
                    <w:rPr>
                      <w:rFonts w:ascii="Times New Roman" w:hAnsi="Times New Roman" w:eastAsia="宋体" w:cs="宋体"/>
                      <w:bCs/>
                      <w:color w:val="auto"/>
                      <w:szCs w:val="21"/>
                      <w:highlight w:val="none"/>
                    </w:rPr>
                    <w:t>符合区域产业定位</w:t>
                  </w:r>
                  <w:r>
                    <w:rPr>
                      <w:rFonts w:hint="eastAsia" w:ascii="Times New Roman" w:hAnsi="Times New Roman" w:eastAsia="宋体" w:cs="宋体"/>
                      <w:bCs/>
                      <w:color w:val="auto"/>
                      <w:szCs w:val="21"/>
                      <w:highlight w:val="none"/>
                    </w:rPr>
                    <w:t>，在环境影响评价文件审批前，取得主要污染物排放总量指标，符合“三线一单”管理要求，不属于禁止类项目</w:t>
                  </w:r>
                  <w:r>
                    <w:rPr>
                      <w:rFonts w:ascii="Times New Roman" w:hAnsi="Times New Roman" w:eastAsia="宋体" w:cs="宋体"/>
                      <w:bCs/>
                      <w:color w:val="auto"/>
                      <w:szCs w:val="21"/>
                      <w:highlight w:val="none"/>
                    </w:rPr>
                    <w:t>。</w:t>
                  </w:r>
                </w:p>
              </w:tc>
            </w:tr>
            <w:tr w14:paraId="0B47B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94E39BC">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严格重点行业环评审批</w:t>
                  </w:r>
                </w:p>
              </w:tc>
              <w:tc>
                <w:tcPr>
                  <w:tcW w:w="2970" w:type="pct"/>
                  <w:gridSpan w:val="3"/>
                  <w:vAlign w:val="center"/>
                </w:tcPr>
                <w:p w14:paraId="4893BA4A">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严格执行《江苏省长江经济带发展负面清单实施细则（试行）》，禁止在合规园区外新建、扩建钢铁、石化、化工、焦化、建材、有色等行业中的高污染项目。禁止新建燃煤自备电厂。</w:t>
                  </w:r>
                </w:p>
              </w:tc>
              <w:tc>
                <w:tcPr>
                  <w:tcW w:w="1138" w:type="pct"/>
                  <w:gridSpan w:val="2"/>
                  <w:vMerge w:val="continue"/>
                  <w:vAlign w:val="center"/>
                </w:tcPr>
                <w:p w14:paraId="62267490">
                  <w:pPr>
                    <w:snapToGrid w:val="0"/>
                    <w:jc w:val="center"/>
                    <w:rPr>
                      <w:rFonts w:ascii="Times New Roman" w:hAnsi="Times New Roman" w:eastAsia="宋体" w:cs="宋体"/>
                      <w:bCs/>
                      <w:color w:val="auto"/>
                      <w:szCs w:val="21"/>
                      <w:highlight w:val="none"/>
                    </w:rPr>
                  </w:pPr>
                </w:p>
              </w:tc>
            </w:tr>
            <w:tr w14:paraId="30325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243D579D">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《市生态环境局关于建设项目的审批指导意见（试行）》（2021年4月7日）</w:t>
                  </w:r>
                </w:p>
                <w:p w14:paraId="5BBE2B00">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《常州市生态环境局关于调整建设项目报备范围的通知》（2021年11月10日）</w:t>
                  </w:r>
                </w:p>
              </w:tc>
            </w:tr>
            <w:tr w14:paraId="78DA1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CB9A7F3">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pacing w:val="-11"/>
                      <w:sz w:val="21"/>
                      <w:szCs w:val="21"/>
                      <w:highlight w:val="none"/>
                    </w:rPr>
                    <w:t>1、严格项目总量</w:t>
                  </w:r>
                </w:p>
              </w:tc>
              <w:tc>
                <w:tcPr>
                  <w:tcW w:w="2970" w:type="pct"/>
                  <w:gridSpan w:val="3"/>
                  <w:vAlign w:val="center"/>
                </w:tcPr>
                <w:p w14:paraId="02C18E39">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实施建设项目大气污染物总量负增长原则，即重点区域内建设项目使用大气污染物总量，原则上在重点区域范围内实施总量平衡，且必须实行总量2倍减量替代。</w:t>
                  </w:r>
                </w:p>
              </w:tc>
              <w:tc>
                <w:tcPr>
                  <w:tcW w:w="1138" w:type="pct"/>
                  <w:gridSpan w:val="2"/>
                  <w:vMerge w:val="restart"/>
                  <w:vAlign w:val="center"/>
                </w:tcPr>
                <w:p w14:paraId="15027C1E">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color w:val="auto"/>
                      <w:szCs w:val="21"/>
                      <w:highlight w:val="none"/>
                    </w:rPr>
                    <w:t>实行区域总量平衡，</w:t>
                  </w:r>
                  <w:r>
                    <w:rPr>
                      <w:rFonts w:ascii="Times New Roman" w:hAnsi="Times New Roman" w:eastAsia="宋体" w:cs="宋体"/>
                      <w:color w:val="auto"/>
                      <w:szCs w:val="21"/>
                      <w:highlight w:val="none"/>
                    </w:rPr>
                    <w:t>不在大气质量国控点三公里范围内，不属于重点</w:t>
                  </w:r>
                  <w:r>
                    <w:rPr>
                      <w:rFonts w:hint="eastAsia" w:ascii="Times New Roman" w:hAnsi="Times New Roman" w:eastAsia="宋体" w:cs="宋体"/>
                      <w:color w:val="auto"/>
                      <w:szCs w:val="21"/>
                      <w:highlight w:val="none"/>
                    </w:rPr>
                    <w:t>区域，不属于“高污染、高环境风险”类别项目</w:t>
                  </w:r>
                  <w:r>
                    <w:rPr>
                      <w:rFonts w:ascii="Times New Roman" w:hAnsi="Times New Roman" w:eastAsia="宋体" w:cs="宋体"/>
                      <w:color w:val="auto"/>
                      <w:szCs w:val="21"/>
                      <w:highlight w:val="none"/>
                    </w:rPr>
                    <w:t>。</w:t>
                  </w:r>
                </w:p>
              </w:tc>
            </w:tr>
            <w:tr w14:paraId="1DCEE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018AC0C">
                  <w:pPr>
                    <w:tabs>
                      <w:tab w:val="left" w:pos="2160"/>
                    </w:tabs>
                    <w:snapToGrid w:val="0"/>
                    <w:jc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2、强化环评审批</w:t>
                  </w:r>
                </w:p>
              </w:tc>
              <w:tc>
                <w:tcPr>
                  <w:tcW w:w="2970" w:type="pct"/>
                  <w:gridSpan w:val="3"/>
                  <w:vAlign w:val="center"/>
                </w:tcPr>
                <w:p w14:paraId="0A8469AC">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对重点区域内新上的大气污染物排放的建设项目及全市范围内新上高能耗项目，审批部门对其环评文本应实施质量评估。</w:t>
                  </w:r>
                </w:p>
              </w:tc>
              <w:tc>
                <w:tcPr>
                  <w:tcW w:w="1138" w:type="pct"/>
                  <w:gridSpan w:val="2"/>
                  <w:vMerge w:val="continue"/>
                  <w:vAlign w:val="center"/>
                </w:tcPr>
                <w:p w14:paraId="6F43A6C9">
                  <w:pPr>
                    <w:snapToGrid w:val="0"/>
                    <w:jc w:val="center"/>
                    <w:rPr>
                      <w:rFonts w:ascii="Times New Roman" w:hAnsi="Times New Roman" w:eastAsia="宋体" w:cs="宋体"/>
                      <w:bCs/>
                      <w:color w:val="auto"/>
                      <w:szCs w:val="21"/>
                      <w:highlight w:val="none"/>
                    </w:rPr>
                  </w:pPr>
                </w:p>
              </w:tc>
            </w:tr>
            <w:tr w14:paraId="1A2A3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A947CFE">
                  <w:pPr>
                    <w:tabs>
                      <w:tab w:val="left" w:pos="2160"/>
                    </w:tabs>
                    <w:snapToGrid w:val="0"/>
                    <w:jc w:val="center"/>
                    <w:rPr>
                      <w:rFonts w:hint="eastAsia" w:ascii="Times New Roman" w:hAnsi="Times New Roman" w:eastAsia="宋体" w:cs="宋体"/>
                      <w:color w:val="auto"/>
                      <w:spacing w:val="-11"/>
                      <w:sz w:val="21"/>
                      <w:szCs w:val="21"/>
                      <w:highlight w:val="none"/>
                    </w:rPr>
                  </w:pPr>
                  <w:r>
                    <w:rPr>
                      <w:rFonts w:hint="eastAsia" w:ascii="Times New Roman" w:hAnsi="Times New Roman" w:eastAsia="宋体" w:cs="宋体"/>
                      <w:color w:val="auto"/>
                      <w:spacing w:val="-11"/>
                      <w:sz w:val="21"/>
                      <w:szCs w:val="21"/>
                      <w:highlight w:val="none"/>
                    </w:rPr>
                    <w:t>3、推进减污降碳</w:t>
                  </w:r>
                </w:p>
              </w:tc>
              <w:tc>
                <w:tcPr>
                  <w:tcW w:w="2970" w:type="pct"/>
                  <w:gridSpan w:val="3"/>
                  <w:vAlign w:val="center"/>
                </w:tcPr>
                <w:p w14:paraId="4A7C10CD">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对重点区域内新上的大气污染物排放的建设项目及全市范围内新上高能耗项目的严格审批，区级审批部门审批前需向生态环境局报备，审批部门方可出具审批文件。</w:t>
                  </w:r>
                </w:p>
              </w:tc>
              <w:tc>
                <w:tcPr>
                  <w:tcW w:w="1138" w:type="pct"/>
                  <w:gridSpan w:val="2"/>
                  <w:vMerge w:val="continue"/>
                  <w:vAlign w:val="center"/>
                </w:tcPr>
                <w:p w14:paraId="21195EC3">
                  <w:pPr>
                    <w:snapToGrid w:val="0"/>
                    <w:jc w:val="center"/>
                    <w:rPr>
                      <w:rFonts w:ascii="Times New Roman" w:hAnsi="Times New Roman" w:eastAsia="宋体" w:cs="宋体"/>
                      <w:bCs/>
                      <w:color w:val="auto"/>
                      <w:szCs w:val="21"/>
                      <w:highlight w:val="none"/>
                    </w:rPr>
                  </w:pPr>
                </w:p>
              </w:tc>
            </w:tr>
            <w:tr w14:paraId="26DE9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BD3A5AE">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c>
                <w:tcPr>
                  <w:tcW w:w="2970" w:type="pct"/>
                  <w:gridSpan w:val="3"/>
                  <w:vAlign w:val="center"/>
                </w:tcPr>
                <w:p w14:paraId="2E273CFF">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重点区域：我市大气质量国控点位周边三公里范围。2、重点行业：①“两高”行业主要包括煤电、石化、化工、钢铁、有色金属冶炼和建材六大行业，以及制药、农药行业；②《环境保护综合名录（2021年版）》中“高污染”和“高污染、高环境风险”类别项目。</w:t>
                  </w:r>
                </w:p>
              </w:tc>
              <w:tc>
                <w:tcPr>
                  <w:tcW w:w="1138" w:type="pct"/>
                  <w:gridSpan w:val="2"/>
                  <w:vMerge w:val="continue"/>
                  <w:vAlign w:val="center"/>
                </w:tcPr>
                <w:p w14:paraId="7FD3D0B4">
                  <w:pPr>
                    <w:snapToGrid w:val="0"/>
                    <w:jc w:val="center"/>
                    <w:rPr>
                      <w:rFonts w:ascii="Times New Roman" w:hAnsi="Times New Roman" w:eastAsia="宋体" w:cs="宋体"/>
                      <w:bCs/>
                      <w:color w:val="auto"/>
                      <w:szCs w:val="21"/>
                      <w:highlight w:val="none"/>
                    </w:rPr>
                  </w:pPr>
                </w:p>
              </w:tc>
            </w:tr>
            <w:tr w14:paraId="1A52A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0366C689">
                  <w:pPr>
                    <w:snapToGrid w:val="0"/>
                    <w:jc w:val="center"/>
                    <w:rPr>
                      <w:rFonts w:ascii="Times New Roman" w:hAnsi="Times New Roman" w:eastAsia="宋体" w:cs="宋体"/>
                      <w:bCs/>
                      <w:color w:val="auto"/>
                      <w:szCs w:val="21"/>
                      <w:highlight w:val="none"/>
                    </w:rPr>
                  </w:pPr>
                  <w:r>
                    <w:rPr>
                      <w:rFonts w:hint="eastAsia" w:ascii="Times New Roman" w:hAnsi="Times New Roman" w:cs="Times New Roman"/>
                      <w:b/>
                      <w:color w:val="auto"/>
                      <w:szCs w:val="21"/>
                      <w:lang w:val="en-US" w:eastAsia="zh-CN"/>
                    </w:rPr>
                    <w:t>关于印发</w:t>
                  </w:r>
                  <w:r>
                    <w:rPr>
                      <w:rFonts w:hint="default" w:ascii="Times New Roman" w:hAnsi="Times New Roman" w:cs="Times New Roman"/>
                      <w:b/>
                      <w:color w:val="auto"/>
                      <w:szCs w:val="21"/>
                    </w:rPr>
                    <w:t>《江苏省“两高”项目管理名录（2024年版）》</w:t>
                  </w:r>
                  <w:r>
                    <w:rPr>
                      <w:rFonts w:hint="eastAsia" w:ascii="Times New Roman" w:hAnsi="Times New Roman" w:cs="Times New Roman"/>
                      <w:b/>
                      <w:color w:val="auto"/>
                      <w:szCs w:val="21"/>
                      <w:lang w:eastAsia="zh-CN"/>
                    </w:rPr>
                    <w:t>的</w:t>
                  </w:r>
                  <w:r>
                    <w:rPr>
                      <w:rFonts w:hint="eastAsia" w:ascii="Times New Roman" w:hAnsi="Times New Roman" w:cs="Times New Roman"/>
                      <w:b/>
                      <w:color w:val="auto"/>
                      <w:szCs w:val="21"/>
                      <w:lang w:val="en-US" w:eastAsia="zh-CN"/>
                    </w:rPr>
                    <w:t>通知</w:t>
                  </w:r>
                  <w:r>
                    <w:rPr>
                      <w:rFonts w:hint="default" w:ascii="Times New Roman" w:hAnsi="Times New Roman" w:cs="Times New Roman"/>
                      <w:b/>
                      <w:color w:val="auto"/>
                      <w:szCs w:val="21"/>
                    </w:rPr>
                    <w:t>（苏</w:t>
                  </w:r>
                  <w:r>
                    <w:rPr>
                      <w:rFonts w:hint="eastAsia" w:ascii="Times New Roman" w:hAnsi="Times New Roman" w:cs="Times New Roman"/>
                      <w:b/>
                      <w:color w:val="auto"/>
                      <w:szCs w:val="21"/>
                      <w:lang w:val="en-US" w:eastAsia="zh-CN"/>
                    </w:rPr>
                    <w:t>发改规发</w:t>
                  </w:r>
                  <w:r>
                    <w:rPr>
                      <w:rFonts w:hint="default" w:ascii="Times New Roman" w:hAnsi="Times New Roman" w:cs="Times New Roman"/>
                      <w:b/>
                      <w:color w:val="auto"/>
                      <w:szCs w:val="21"/>
                    </w:rPr>
                    <w:t>[202</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号）</w:t>
                  </w:r>
                </w:p>
              </w:tc>
            </w:tr>
            <w:tr w14:paraId="19E76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F9BE447">
                  <w:pPr>
                    <w:keepLines/>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cs="Times New Roman"/>
                      <w:bCs/>
                      <w:color w:val="auto"/>
                      <w:szCs w:val="21"/>
                      <w:lang w:val="en-US" w:eastAsia="zh-CN"/>
                    </w:rPr>
                    <w:t>有色金属冶炼和压延加工</w:t>
                  </w:r>
                </w:p>
              </w:tc>
              <w:tc>
                <w:tcPr>
                  <w:tcW w:w="2970" w:type="pct"/>
                  <w:gridSpan w:val="3"/>
                  <w:vAlign w:val="center"/>
                </w:tcPr>
                <w:p w14:paraId="628696EC">
                  <w:pPr>
                    <w:keepLines/>
                    <w:tabs>
                      <w:tab w:val="left" w:pos="2160"/>
                    </w:tabs>
                    <w:snapToGrid w:val="0"/>
                    <w:ind w:firstLine="420" w:firstLineChars="200"/>
                    <w:jc w:val="left"/>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铜冶炼（3211）、铅锌冶炼（3212）、镍钴冶炼（3213）、锡冶炼（3214）、锑冶炼（3215）、铝冶炼（3216）、镁冶炼（3217）、硅冶炼（3218）、其它常用有色金属冶炼（3219）、金冶炼（3221）、银冶炼（3222）、其它贵金属冶炼（3229）</w:t>
                  </w:r>
                </w:p>
              </w:tc>
              <w:tc>
                <w:tcPr>
                  <w:tcW w:w="1138" w:type="pct"/>
                  <w:gridSpan w:val="2"/>
                  <w:vAlign w:val="center"/>
                </w:tcPr>
                <w:p w14:paraId="2480A997">
                  <w:pPr>
                    <w:snapToGrid w:val="0"/>
                    <w:jc w:val="center"/>
                    <w:rPr>
                      <w:rFonts w:ascii="Times New Roman" w:hAnsi="Times New Roman" w:eastAsia="宋体" w:cs="宋体"/>
                      <w:bCs/>
                      <w:color w:val="auto"/>
                      <w:szCs w:val="21"/>
                      <w:highlight w:val="none"/>
                    </w:rPr>
                  </w:pPr>
                  <w:r>
                    <w:rPr>
                      <w:rFonts w:hint="default" w:ascii="Times New Roman" w:hAnsi="Times New Roman" w:cs="Times New Roman"/>
                      <w:bCs/>
                      <w:color w:val="auto"/>
                      <w:szCs w:val="21"/>
                    </w:rPr>
                    <w:t>本项目</w:t>
                  </w:r>
                  <w:r>
                    <w:rPr>
                      <w:rFonts w:hint="default" w:ascii="Times New Roman" w:hAnsi="Times New Roman" w:eastAsia="宋体" w:cs="Times New Roman"/>
                      <w:color w:val="auto"/>
                      <w:kern w:val="0"/>
                      <w:sz w:val="21"/>
                      <w:szCs w:val="21"/>
                      <w:highlight w:val="none"/>
                    </w:rPr>
                    <w:t>为</w:t>
                  </w:r>
                  <w:r>
                    <w:rPr>
                      <w:rFonts w:hint="eastAsia" w:ascii="Times New Roman" w:hAnsi="Times New Roman" w:eastAsia="宋体" w:cs="宋体"/>
                      <w:color w:val="auto"/>
                      <w:szCs w:val="21"/>
                      <w:highlight w:val="none"/>
                    </w:rPr>
                    <w:t>C3392有色金属铸造</w:t>
                  </w: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bCs/>
                      <w:color w:val="auto"/>
                      <w:szCs w:val="21"/>
                    </w:rPr>
                    <w:t>不属于</w:t>
                  </w:r>
                  <w:r>
                    <w:rPr>
                      <w:rFonts w:hint="eastAsia" w:ascii="Times New Roman" w:hAnsi="Times New Roman" w:cs="Times New Roman"/>
                      <w:bCs/>
                      <w:color w:val="auto"/>
                      <w:szCs w:val="21"/>
                      <w:lang w:eastAsia="zh-CN"/>
                    </w:rPr>
                    <w:t>“</w:t>
                  </w:r>
                  <w:r>
                    <w:rPr>
                      <w:rFonts w:hint="default" w:ascii="Times New Roman" w:hAnsi="Times New Roman" w:cs="Times New Roman"/>
                      <w:bCs/>
                      <w:color w:val="auto"/>
                      <w:szCs w:val="21"/>
                    </w:rPr>
                    <w:t>两高</w:t>
                  </w:r>
                  <w:r>
                    <w:rPr>
                      <w:rFonts w:hint="eastAsia" w:ascii="Times New Roman" w:hAnsi="Times New Roman" w:cs="Times New Roman"/>
                      <w:bCs/>
                      <w:color w:val="auto"/>
                      <w:szCs w:val="21"/>
                      <w:lang w:eastAsia="zh-CN"/>
                    </w:rPr>
                    <w:t>”</w:t>
                  </w:r>
                  <w:r>
                    <w:rPr>
                      <w:rFonts w:hint="default" w:ascii="Times New Roman" w:hAnsi="Times New Roman" w:cs="Times New Roman"/>
                      <w:bCs/>
                      <w:color w:val="auto"/>
                      <w:szCs w:val="21"/>
                    </w:rPr>
                    <w:t>行业</w:t>
                  </w:r>
                </w:p>
              </w:tc>
            </w:tr>
            <w:tr w14:paraId="35165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2CFAEFAE">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省大气办关于印发《江苏省挥发性有机物清洁原料替代工作方案》的通知</w:t>
                  </w:r>
                </w:p>
                <w:p w14:paraId="54A57E0B">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（苏大气办〔2021〕2号）</w:t>
                  </w:r>
                </w:p>
                <w:p w14:paraId="2B78A126">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《关于印发常州市挥发性有机物清洁原料替代工作方案的通知》</w:t>
                  </w:r>
                </w:p>
                <w:p w14:paraId="2D74D858">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（常污防攻坚指办〔2021〕3</w:t>
                  </w:r>
                  <w:r>
                    <w:rPr>
                      <w:rFonts w:hint="eastAsia" w:ascii="Times New Roman" w:hAnsi="Times New Roman" w:eastAsia="宋体" w:cs="宋体"/>
                      <w:b/>
                      <w:bCs/>
                      <w:color w:val="auto"/>
                      <w:szCs w:val="21"/>
                      <w:highlight w:val="none"/>
                    </w:rPr>
                    <w:t>2号）</w:t>
                  </w:r>
                </w:p>
              </w:tc>
            </w:tr>
            <w:tr w14:paraId="74CB8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46B6672">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明确替代要求</w:t>
                  </w:r>
                </w:p>
              </w:tc>
              <w:tc>
                <w:tcPr>
                  <w:tcW w:w="2970" w:type="pct"/>
                  <w:gridSpan w:val="3"/>
                  <w:vAlign w:val="center"/>
                </w:tcPr>
                <w:p w14:paraId="6BFF79AB">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138" w:type="pct"/>
                  <w:gridSpan w:val="2"/>
                  <w:vMerge w:val="restart"/>
                  <w:vAlign w:val="center"/>
                </w:tcPr>
                <w:p w14:paraId="00476DA8">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本项目不属于生产和使用高</w:t>
                  </w:r>
                  <w:r>
                    <w:rPr>
                      <w:rFonts w:hint="eastAsia" w:ascii="Times New Roman" w:hAnsi="Times New Roman" w:eastAsia="宋体" w:cs="宋体"/>
                      <w:color w:val="auto"/>
                      <w:szCs w:val="21"/>
                      <w:highlight w:val="none"/>
                    </w:rPr>
                    <w:t>VOCs含量的涂料、油墨、胶粘剂等项目</w:t>
                  </w:r>
                  <w:r>
                    <w:rPr>
                      <w:rFonts w:hint="eastAsia"/>
                      <w:color w:val="auto"/>
                      <w:lang w:eastAsia="zh-CN"/>
                    </w:rPr>
                    <w:t>，</w:t>
                  </w:r>
                  <w:r>
                    <w:rPr>
                      <w:rFonts w:hint="eastAsia"/>
                      <w:color w:val="auto"/>
                      <w:lang w:val="en-US" w:eastAsia="zh-CN"/>
                    </w:rPr>
                    <w:t>根据检测报告本项目使用的清洗剂VOCs含量为42g/L，满足</w:t>
                  </w:r>
                  <w:r>
                    <w:rPr>
                      <w:rFonts w:hint="eastAsia" w:ascii="Times New Roman" w:hAnsi="Times New Roman" w:eastAsia="宋体" w:cs="宋体"/>
                      <w:color w:val="auto"/>
                      <w:szCs w:val="21"/>
                      <w:highlight w:val="none"/>
                    </w:rPr>
                    <w:t>《清洗剂挥发性有机化合物含量限值》（GB38508-2020）</w:t>
                  </w:r>
                  <w:r>
                    <w:rPr>
                      <w:rFonts w:hint="eastAsia" w:cs="宋体"/>
                      <w:color w:val="auto"/>
                      <w:szCs w:val="21"/>
                      <w:highlight w:val="none"/>
                      <w:lang w:val="en-US" w:eastAsia="zh-CN"/>
                    </w:rPr>
                    <w:t>相应标准</w:t>
                  </w:r>
                  <w:r>
                    <w:rPr>
                      <w:rFonts w:hint="eastAsia" w:ascii="Times New Roman" w:hAnsi="Times New Roman" w:eastAsia="宋体" w:cs="宋体"/>
                      <w:color w:val="auto"/>
                      <w:szCs w:val="21"/>
                      <w:highlight w:val="none"/>
                    </w:rPr>
                    <w:t>。</w:t>
                  </w:r>
                </w:p>
              </w:tc>
            </w:tr>
            <w:tr w14:paraId="55706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AABC346">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严格准入条件</w:t>
                  </w:r>
                </w:p>
              </w:tc>
              <w:tc>
                <w:tcPr>
                  <w:tcW w:w="2970" w:type="pct"/>
                  <w:gridSpan w:val="3"/>
                  <w:vAlign w:val="center"/>
                </w:tcPr>
                <w:p w14:paraId="0508812F">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禁止建设生产和使用高VOCs含量的涂料、油墨、胶黏剂等项目。2021年起，全市工业涂装、包装印刷、纺织、木材加工等行业以及涂料、油墨等生产企业的新（改、扩）建项目需满足低（无）VOCs含量限值要求。全市市场上流通的水性涂料等低挥发性有机物含量涂料产品，执行国家《低挥发性有机化合物含量涂料产品技术要求》（GB/T38597-2020）。</w:t>
                  </w:r>
                </w:p>
              </w:tc>
              <w:tc>
                <w:tcPr>
                  <w:tcW w:w="1138" w:type="pct"/>
                  <w:gridSpan w:val="2"/>
                  <w:vMerge w:val="continue"/>
                  <w:vAlign w:val="center"/>
                </w:tcPr>
                <w:p w14:paraId="272B6371">
                  <w:pPr>
                    <w:snapToGrid w:val="0"/>
                    <w:jc w:val="center"/>
                    <w:rPr>
                      <w:rFonts w:ascii="Times New Roman" w:hAnsi="Times New Roman" w:eastAsia="宋体" w:cs="宋体"/>
                      <w:bCs/>
                      <w:color w:val="auto"/>
                      <w:szCs w:val="21"/>
                      <w:highlight w:val="none"/>
                    </w:rPr>
                  </w:pPr>
                </w:p>
              </w:tc>
            </w:tr>
            <w:tr w14:paraId="3E7E7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1C6F839A">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w:t>
                  </w:r>
                  <w:r>
                    <w:rPr>
                      <w:rFonts w:ascii="Times New Roman" w:hAnsi="Times New Roman" w:eastAsia="宋体" w:cs="宋体"/>
                      <w:b/>
                      <w:color w:val="auto"/>
                      <w:szCs w:val="21"/>
                      <w:highlight w:val="none"/>
                    </w:rPr>
                    <w:t>江苏省大气污染物防治条例</w:t>
                  </w:r>
                  <w:r>
                    <w:rPr>
                      <w:rFonts w:hint="eastAsia" w:ascii="Times New Roman" w:hAnsi="Times New Roman" w:eastAsia="宋体" w:cs="宋体"/>
                      <w:b/>
                      <w:color w:val="auto"/>
                      <w:szCs w:val="21"/>
                      <w:highlight w:val="none"/>
                    </w:rPr>
                    <w:t>》（2018.11.23第二次修正）</w:t>
                  </w:r>
                </w:p>
              </w:tc>
            </w:tr>
            <w:tr w14:paraId="042CD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F99AD43">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Cs/>
                      <w:color w:val="auto"/>
                      <w:szCs w:val="21"/>
                      <w:highlight w:val="none"/>
                    </w:rPr>
                    <w:t>第三十九条</w:t>
                  </w:r>
                </w:p>
              </w:tc>
              <w:tc>
                <w:tcPr>
                  <w:tcW w:w="2970" w:type="pct"/>
                  <w:gridSpan w:val="3"/>
                  <w:vAlign w:val="center"/>
                </w:tcPr>
                <w:p w14:paraId="3724909C">
                  <w:pPr>
                    <w:snapToGrid w:val="0"/>
                    <w:ind w:firstLine="420" w:firstLineChars="200"/>
                    <w:jc w:val="left"/>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产生挥发性有机物废气的生产经营活动，应当在密闭空间或者设备中进行，并设置废气收集和处理系统等污染防治设施，保持其正常使用</w:t>
                  </w:r>
                  <w:r>
                    <w:rPr>
                      <w:rFonts w:ascii="Times New Roman" w:hAnsi="Times New Roman" w:eastAsia="宋体" w:cs="宋体"/>
                      <w:bCs/>
                      <w:color w:val="auto"/>
                      <w:szCs w:val="21"/>
                      <w:highlight w:val="none"/>
                    </w:rPr>
                    <w:t>；造船等无法在密闭空间进行的生产经营活动，应当采取有效措施，减少挥发性有机物排放量。</w:t>
                  </w:r>
                </w:p>
                <w:p w14:paraId="6417091C">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石油、化工以及其他生产和使用有机溶剂的企业，应当建立泄漏检测与修复制度，对管道、设备进行日常维护、维修，及时收集处理泄漏物料。</w:t>
                  </w:r>
                </w:p>
                <w:p w14:paraId="6A161B22">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省生态环境行政主管部门应当向社会公布重点控制的挥发性有机物名录。</w:t>
                  </w:r>
                </w:p>
              </w:tc>
              <w:tc>
                <w:tcPr>
                  <w:tcW w:w="1138" w:type="pct"/>
                  <w:gridSpan w:val="2"/>
                  <w:vAlign w:val="center"/>
                </w:tcPr>
                <w:p w14:paraId="5D5AB1A2">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s="宋体"/>
                      <w:bCs/>
                      <w:color w:val="auto"/>
                      <w:szCs w:val="21"/>
                      <w:highlight w:val="none"/>
                      <w:lang w:val="en-US" w:eastAsia="zh-CN"/>
                    </w:rPr>
                    <w:t>脱模剂废气经集气罩收集，</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hint="eastAsia" w:ascii="Times New Roman" w:hAnsi="Times New Roman" w:eastAsia="宋体" w:cs="宋体"/>
                      <w:bCs/>
                      <w:color w:val="auto"/>
                      <w:szCs w:val="21"/>
                      <w:highlight w:val="none"/>
                    </w:rPr>
                    <w:t>。</w:t>
                  </w:r>
                </w:p>
              </w:tc>
            </w:tr>
            <w:tr w14:paraId="7C864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C2893B1">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《关于印发江苏省重点行业挥发性有机物污染控制指南的通知》</w:t>
                  </w:r>
                </w:p>
                <w:p w14:paraId="4B85ED54">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（苏环办</w:t>
                  </w:r>
                  <w:r>
                    <w:rPr>
                      <w:rFonts w:hint="eastAsia" w:ascii="Times New Roman" w:hAnsi="Times New Roman" w:eastAsia="宋体" w:cs="宋体"/>
                      <w:b/>
                      <w:bCs/>
                      <w:color w:val="auto"/>
                      <w:szCs w:val="21"/>
                      <w:highlight w:val="none"/>
                    </w:rPr>
                    <w:t>〔2014〕</w:t>
                  </w:r>
                  <w:r>
                    <w:rPr>
                      <w:rFonts w:hint="eastAsia" w:ascii="Times New Roman" w:hAnsi="Times New Roman" w:eastAsia="宋体" w:cs="宋体"/>
                      <w:b/>
                      <w:color w:val="auto"/>
                      <w:szCs w:val="21"/>
                      <w:highlight w:val="none"/>
                    </w:rPr>
                    <w:t>128号）</w:t>
                  </w:r>
                </w:p>
              </w:tc>
            </w:tr>
            <w:tr w14:paraId="7B4F8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AFE71C6">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一、总体要求</w:t>
                  </w:r>
                </w:p>
              </w:tc>
              <w:tc>
                <w:tcPr>
                  <w:tcW w:w="2970" w:type="pct"/>
                  <w:gridSpan w:val="3"/>
                  <w:vAlign w:val="center"/>
                </w:tcPr>
                <w:p w14:paraId="497CAB90">
                  <w:pPr>
                    <w:tabs>
                      <w:tab w:val="left" w:pos="2160"/>
                    </w:tabs>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（一）所有产生有机废气污染的企业，应优先采用环保型原辅料、生产工艺和装备，对相应生产单元或设施进行密闭，从源头控制VOCs的产生，</w:t>
                  </w:r>
                  <w:r>
                    <w:rPr>
                      <w:rFonts w:hint="eastAsia" w:ascii="Times New Roman" w:hAnsi="Times New Roman" w:eastAsia="宋体" w:cs="宋体"/>
                      <w:color w:val="auto"/>
                      <w:szCs w:val="21"/>
                      <w:highlight w:val="none"/>
                    </w:rPr>
                    <w:t>减少</w:t>
                  </w:r>
                  <w:r>
                    <w:rPr>
                      <w:rFonts w:ascii="Times New Roman" w:hAnsi="Times New Roman" w:eastAsia="宋体" w:cs="宋体"/>
                      <w:color w:val="auto"/>
                      <w:szCs w:val="21"/>
                      <w:highlight w:val="none"/>
                    </w:rPr>
                    <w:t>废气污染物排放。</w:t>
                  </w:r>
                </w:p>
                <w:p w14:paraId="10DF4015">
                  <w:pPr>
                    <w:tabs>
                      <w:tab w:val="left" w:pos="2160"/>
                    </w:tabs>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1138" w:type="pct"/>
                  <w:gridSpan w:val="2"/>
                  <w:vAlign w:val="center"/>
                </w:tcPr>
                <w:p w14:paraId="4B307C84">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本项目均采用环保型原辅料、生产工艺和装备，</w:t>
                  </w:r>
                  <w:r>
                    <w:rPr>
                      <w:rFonts w:hint="eastAsia" w:ascii="Times New Roman" w:hAnsi="Times New Roman" w:eastAsia="宋体" w:cs="宋体"/>
                      <w:bCs/>
                      <w:color w:val="auto"/>
                      <w:szCs w:val="21"/>
                      <w:highlight w:val="none"/>
                    </w:rPr>
                    <w:t>涉VOCs挥发的工序均在密闭的生产区域内进行，收集、净化处理率均≥90%</w:t>
                  </w:r>
                  <w:r>
                    <w:rPr>
                      <w:rFonts w:hint="eastAsia" w:ascii="Times New Roman" w:hAnsi="Times New Roman" w:eastAsia="宋体" w:cs="宋体"/>
                      <w:color w:val="auto"/>
                      <w:szCs w:val="21"/>
                      <w:highlight w:val="none"/>
                    </w:rPr>
                    <w:t>。</w:t>
                  </w:r>
                </w:p>
              </w:tc>
            </w:tr>
            <w:tr w14:paraId="41ACF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9B8B63A">
                  <w:pPr>
                    <w:tabs>
                      <w:tab w:val="left" w:pos="2160"/>
                    </w:tab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w:t>
                  </w:r>
                  <w:r>
                    <w:rPr>
                      <w:rFonts w:ascii="Times New Roman" w:hAnsi="Times New Roman" w:eastAsia="宋体" w:cs="宋体"/>
                      <w:b/>
                      <w:color w:val="auto"/>
                      <w:szCs w:val="21"/>
                      <w:highlight w:val="none"/>
                    </w:rPr>
                    <w:t>江苏省挥发性有机物污染防治管理办法</w:t>
                  </w:r>
                  <w:r>
                    <w:rPr>
                      <w:rFonts w:hint="eastAsia" w:ascii="Times New Roman" w:hAnsi="Times New Roman" w:eastAsia="宋体" w:cs="宋体"/>
                      <w:b/>
                      <w:color w:val="auto"/>
                      <w:szCs w:val="21"/>
                      <w:highlight w:val="none"/>
                    </w:rPr>
                    <w:t>》</w:t>
                  </w:r>
                </w:p>
                <w:p w14:paraId="5190B93A">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color w:val="auto"/>
                      <w:szCs w:val="21"/>
                      <w:highlight w:val="none"/>
                    </w:rPr>
                    <w:t>（江苏省人民政府令119号）</w:t>
                  </w:r>
                </w:p>
              </w:tc>
            </w:tr>
            <w:tr w14:paraId="7C6CD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C395F15">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第三条</w:t>
                  </w:r>
                </w:p>
              </w:tc>
              <w:tc>
                <w:tcPr>
                  <w:tcW w:w="2970" w:type="pct"/>
                  <w:gridSpan w:val="3"/>
                  <w:vAlign w:val="center"/>
                </w:tcPr>
                <w:p w14:paraId="42349330">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bCs/>
                      <w:color w:val="auto"/>
                      <w:szCs w:val="21"/>
                      <w:highlight w:val="none"/>
                    </w:rPr>
                    <w:t>挥发性有机物污染防治坚持源头控制、综合治理、损害担责、公众参与的原则，重点防治工业源排放的挥发性有机物，强化生活源、农业源等挥发性有机物污染防治。</w:t>
                  </w:r>
                </w:p>
              </w:tc>
              <w:tc>
                <w:tcPr>
                  <w:tcW w:w="1138" w:type="pct"/>
                  <w:gridSpan w:val="2"/>
                  <w:vAlign w:val="center"/>
                </w:tcPr>
                <w:p w14:paraId="2A9AA683">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相符。</w:t>
                  </w:r>
                </w:p>
              </w:tc>
            </w:tr>
            <w:tr w14:paraId="0599F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2178FC9">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第十三条</w:t>
                  </w:r>
                </w:p>
              </w:tc>
              <w:tc>
                <w:tcPr>
                  <w:tcW w:w="2970" w:type="pct"/>
                  <w:gridSpan w:val="3"/>
                  <w:vAlign w:val="center"/>
                </w:tcPr>
                <w:p w14:paraId="60B558F7">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新建、改建、扩建排放挥发性有机物的建设项目，应当依法进行环境影响评价。新增挥发性有机物排放总量指标的不足部分，可以依照有关规定通过排污权交易取得。</w:t>
                  </w:r>
                </w:p>
                <w:p w14:paraId="35A2AE77">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建设项目的环境影响评价文件未经审查或者审查后未予批准的，建设单位不得开工建设。</w:t>
                  </w:r>
                </w:p>
              </w:tc>
              <w:tc>
                <w:tcPr>
                  <w:tcW w:w="1138" w:type="pct"/>
                  <w:gridSpan w:val="2"/>
                  <w:vAlign w:val="center"/>
                </w:tcPr>
                <w:p w14:paraId="4FF32326">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rPr>
                    <w:t>本项目污染物排放在</w:t>
                  </w:r>
                  <w:r>
                    <w:rPr>
                      <w:rFonts w:hint="eastAsia" w:cs="宋体"/>
                      <w:color w:val="auto"/>
                      <w:szCs w:val="21"/>
                      <w:highlight w:val="none"/>
                      <w:lang w:val="en-US" w:eastAsia="zh-CN"/>
                    </w:rPr>
                    <w:t>金坛</w:t>
                  </w:r>
                  <w:r>
                    <w:rPr>
                      <w:rFonts w:hint="eastAsia" w:ascii="Times New Roman" w:hAnsi="Times New Roman" w:eastAsia="宋体" w:cs="宋体"/>
                      <w:color w:val="auto"/>
                      <w:szCs w:val="21"/>
                      <w:highlight w:val="none"/>
                    </w:rPr>
                    <w:t>区范围内平衡。</w:t>
                  </w:r>
                </w:p>
              </w:tc>
            </w:tr>
            <w:tr w14:paraId="02903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609E5A1">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第十五条</w:t>
                  </w:r>
                </w:p>
              </w:tc>
              <w:tc>
                <w:tcPr>
                  <w:tcW w:w="2970" w:type="pct"/>
                  <w:gridSpan w:val="3"/>
                  <w:vAlign w:val="center"/>
                </w:tcPr>
                <w:p w14:paraId="0DDF15F4">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138" w:type="pct"/>
                  <w:gridSpan w:val="2"/>
                  <w:vAlign w:val="center"/>
                </w:tcPr>
                <w:p w14:paraId="4E5A8F27">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hint="eastAsia" w:ascii="Times New Roman" w:hAnsi="Times New Roman" w:eastAsia="宋体" w:cs="宋体"/>
                      <w:color w:val="auto"/>
                      <w:szCs w:val="21"/>
                      <w:highlight w:val="none"/>
                    </w:rPr>
                    <w:t>。</w:t>
                  </w:r>
                </w:p>
              </w:tc>
            </w:tr>
            <w:tr w14:paraId="36EE4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48413E7C">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第十七条</w:t>
                  </w:r>
                </w:p>
              </w:tc>
              <w:tc>
                <w:tcPr>
                  <w:tcW w:w="2970" w:type="pct"/>
                  <w:gridSpan w:val="3"/>
                  <w:vAlign w:val="center"/>
                </w:tcPr>
                <w:p w14:paraId="10915D0C">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挥发性有机物排放单位应当按照有关规定和监测规范自行或者委托有关监测机构对其排放的挥发性有机物进行监测，记录、保存监测数据，并按照规定向社会公开。</w:t>
                  </w:r>
                </w:p>
                <w:p w14:paraId="5DB0E09E">
                  <w:pPr>
                    <w:snapToGrid w:val="0"/>
                    <w:ind w:firstLine="396"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pacing w:val="-6"/>
                      <w:sz w:val="21"/>
                      <w:szCs w:val="21"/>
                      <w:highlight w:val="none"/>
                    </w:rPr>
                    <w:t>监测数据应当真实、可靠，保存时间不得少于3年。</w:t>
                  </w:r>
                </w:p>
              </w:tc>
              <w:tc>
                <w:tcPr>
                  <w:tcW w:w="1138" w:type="pct"/>
                  <w:gridSpan w:val="2"/>
                  <w:vAlign w:val="center"/>
                </w:tcPr>
                <w:p w14:paraId="183ADFDC">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本项目定期进行环境现状检测，并按照规定向社会公开，相应监测数据存档。</w:t>
                  </w:r>
                </w:p>
              </w:tc>
            </w:tr>
            <w:tr w14:paraId="5FF35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7FE86B1">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第二十一条</w:t>
                  </w:r>
                </w:p>
              </w:tc>
              <w:tc>
                <w:tcPr>
                  <w:tcW w:w="2970" w:type="pct"/>
                  <w:gridSpan w:val="3"/>
                  <w:vAlign w:val="center"/>
                </w:tcPr>
                <w:p w14:paraId="7A7A7D84">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6296CEC2">
                  <w:pPr>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无法在密闭空间进行的生产经营活动应当采取有效措施，减少挥发性有机物排放量。</w:t>
                  </w:r>
                </w:p>
              </w:tc>
              <w:tc>
                <w:tcPr>
                  <w:tcW w:w="1138" w:type="pct"/>
                  <w:gridSpan w:val="2"/>
                  <w:vAlign w:val="center"/>
                </w:tcPr>
                <w:p w14:paraId="5329A81A">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ascii="Times New Roman" w:hAnsi="Times New Roman" w:eastAsia="宋体" w:cs="宋体"/>
                      <w:bCs/>
                      <w:color w:val="auto"/>
                      <w:szCs w:val="21"/>
                      <w:highlight w:val="none"/>
                    </w:rPr>
                    <w:t>。</w:t>
                  </w:r>
                </w:p>
              </w:tc>
            </w:tr>
            <w:tr w14:paraId="2E4AD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2DA4816C">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关于印发《重点行业挥发性有机物综合治理方案》的通知</w:t>
                  </w:r>
                </w:p>
                <w:p w14:paraId="7DA062F9">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bCs/>
                      <w:color w:val="auto"/>
                      <w:szCs w:val="21"/>
                      <w:highlight w:val="none"/>
                    </w:rPr>
                    <w:t>（环大气〔2019〕53号）</w:t>
                  </w:r>
                </w:p>
              </w:tc>
            </w:tr>
            <w:tr w14:paraId="1D262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1FD2A8C">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w:t>
                  </w:r>
                </w:p>
              </w:tc>
              <w:tc>
                <w:tcPr>
                  <w:tcW w:w="2970" w:type="pct"/>
                  <w:gridSpan w:val="3"/>
                  <w:vAlign w:val="center"/>
                </w:tcPr>
                <w:p w14:paraId="40A83840">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0B2229D8">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138" w:type="pct"/>
                  <w:gridSpan w:val="2"/>
                  <w:vAlign w:val="center"/>
                </w:tcPr>
                <w:p w14:paraId="5735C288">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本项目不属于生产和使用高</w:t>
                  </w:r>
                  <w:r>
                    <w:rPr>
                      <w:rFonts w:hint="eastAsia" w:ascii="Times New Roman" w:hAnsi="Times New Roman" w:eastAsia="宋体" w:cs="宋体"/>
                      <w:color w:val="auto"/>
                      <w:szCs w:val="21"/>
                      <w:highlight w:val="none"/>
                    </w:rPr>
                    <w:t>VOCs含量的涂料、油墨、胶粘剂等项目</w:t>
                  </w:r>
                  <w:r>
                    <w:rPr>
                      <w:rFonts w:hint="eastAsia"/>
                      <w:color w:val="auto"/>
                      <w:lang w:eastAsia="zh-CN"/>
                    </w:rPr>
                    <w:t>，</w:t>
                  </w:r>
                  <w:r>
                    <w:rPr>
                      <w:rFonts w:hint="eastAsia"/>
                      <w:color w:val="auto"/>
                      <w:lang w:val="en-US" w:eastAsia="zh-CN"/>
                    </w:rPr>
                    <w:t>根据检测报告本项目使用的清洗剂VOCs含量为42g/L，满足</w:t>
                  </w:r>
                  <w:r>
                    <w:rPr>
                      <w:rFonts w:hint="eastAsia" w:ascii="Times New Roman" w:hAnsi="Times New Roman" w:eastAsia="宋体" w:cs="宋体"/>
                      <w:color w:val="auto"/>
                      <w:szCs w:val="21"/>
                      <w:highlight w:val="none"/>
                    </w:rPr>
                    <w:t>《清洗剂挥发性有机化合物含量限值》（GB38508-2020）</w:t>
                  </w:r>
                  <w:r>
                    <w:rPr>
                      <w:rFonts w:hint="eastAsia" w:cs="宋体"/>
                      <w:color w:val="auto"/>
                      <w:szCs w:val="21"/>
                      <w:highlight w:val="none"/>
                      <w:lang w:val="en-US" w:eastAsia="zh-CN"/>
                    </w:rPr>
                    <w:t>相应标准</w:t>
                  </w:r>
                  <w:r>
                    <w:rPr>
                      <w:rFonts w:hint="eastAsia" w:ascii="Times New Roman" w:hAnsi="Times New Roman" w:eastAsia="宋体" w:cs="宋体"/>
                      <w:color w:val="auto"/>
                      <w:szCs w:val="21"/>
                      <w:highlight w:val="none"/>
                    </w:rPr>
                    <w:t>。</w:t>
                  </w:r>
                </w:p>
              </w:tc>
            </w:tr>
            <w:tr w14:paraId="10846B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508978D">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二</w:t>
                  </w:r>
                </w:p>
              </w:tc>
              <w:tc>
                <w:tcPr>
                  <w:tcW w:w="2970" w:type="pct"/>
                  <w:gridSpan w:val="3"/>
                  <w:vAlign w:val="center"/>
                </w:tcPr>
                <w:p w14:paraId="7947A333">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1544AD26">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138" w:type="pct"/>
                  <w:gridSpan w:val="2"/>
                  <w:vAlign w:val="center"/>
                </w:tcPr>
                <w:p w14:paraId="3BF5D121">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s="宋体"/>
                      <w:bCs/>
                      <w:color w:val="auto"/>
                      <w:szCs w:val="21"/>
                      <w:highlight w:val="none"/>
                      <w:lang w:val="en-US" w:eastAsia="zh-CN"/>
                    </w:rPr>
                    <w:t>脱模剂废气经集气罩收集，</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hint="eastAsia" w:ascii="Times New Roman" w:hAnsi="Times New Roman" w:eastAsia="宋体" w:cs="宋体"/>
                      <w:bCs/>
                      <w:color w:val="auto"/>
                      <w:szCs w:val="21"/>
                      <w:highlight w:val="none"/>
                    </w:rPr>
                    <w:t>（处理效率≥90%）</w:t>
                  </w:r>
                  <w:r>
                    <w:rPr>
                      <w:rFonts w:hint="eastAsia" w:ascii="Times New Roman" w:hAnsi="Times New Roman" w:eastAsia="宋体" w:cs="宋体"/>
                      <w:color w:val="auto"/>
                      <w:szCs w:val="21"/>
                      <w:highlight w:val="none"/>
                    </w:rPr>
                    <w:t>。</w:t>
                  </w:r>
                </w:p>
              </w:tc>
            </w:tr>
            <w:tr w14:paraId="26D6A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3C55EEDE">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三</w:t>
                  </w:r>
                </w:p>
              </w:tc>
              <w:tc>
                <w:tcPr>
                  <w:tcW w:w="2970" w:type="pct"/>
                  <w:gridSpan w:val="3"/>
                  <w:vAlign w:val="center"/>
                </w:tcPr>
                <w:p w14:paraId="23D8F5D8">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388BB179">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4EE69F7D">
                  <w:pPr>
                    <w:autoSpaceDE w:val="0"/>
                    <w:autoSpaceDN w:val="0"/>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138" w:type="pct"/>
                  <w:gridSpan w:val="2"/>
                  <w:vAlign w:val="center"/>
                </w:tcPr>
                <w:p w14:paraId="1A861942">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color w:val="auto"/>
                      <w:szCs w:val="21"/>
                      <w:highlight w:val="none"/>
                    </w:rPr>
                    <w:t>采用吸附处理工艺，满足《吸附法工业有机废气治理工程技术规范》要求。</w:t>
                  </w:r>
                </w:p>
              </w:tc>
            </w:tr>
            <w:tr w14:paraId="396DB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D59B4EC">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bCs/>
                      <w:color w:val="auto"/>
                      <w:highlight w:val="none"/>
                    </w:rPr>
                    <w:t>《2022年江苏省挥发性有机物减排攻坚方案》（苏大气办</w:t>
                  </w:r>
                  <w:r>
                    <w:rPr>
                      <w:rFonts w:hint="eastAsia" w:ascii="Times New Roman" w:hAnsi="Times New Roman" w:eastAsia="宋体" w:cs="宋体"/>
                      <w:b/>
                      <w:bCs/>
                      <w:color w:val="auto"/>
                      <w:szCs w:val="21"/>
                      <w:highlight w:val="none"/>
                    </w:rPr>
                    <w:t>〔2022〕</w:t>
                  </w:r>
                  <w:r>
                    <w:rPr>
                      <w:rFonts w:hint="eastAsia" w:ascii="Times New Roman" w:hAnsi="Times New Roman" w:eastAsia="宋体" w:cs="宋体"/>
                      <w:b/>
                      <w:bCs/>
                      <w:color w:val="auto"/>
                      <w:highlight w:val="none"/>
                    </w:rPr>
                    <w:t>2号）</w:t>
                  </w:r>
                </w:p>
              </w:tc>
            </w:tr>
            <w:tr w14:paraId="04BDD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3961B380">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highlight w:val="none"/>
                    </w:rPr>
                    <w:t>推进重点行业深度治理</w:t>
                  </w:r>
                </w:p>
              </w:tc>
              <w:tc>
                <w:tcPr>
                  <w:tcW w:w="2970" w:type="pct"/>
                  <w:gridSpan w:val="3"/>
                  <w:vAlign w:val="center"/>
                </w:tcPr>
                <w:p w14:paraId="342DBDD4">
                  <w:pPr>
                    <w:keepNext w:val="0"/>
                    <w:keepLines w:val="0"/>
                    <w:pageBreakBefore w:val="0"/>
                    <w:widowControl w:val="0"/>
                    <w:kinsoku/>
                    <w:wordWrap/>
                    <w:overflowPunct/>
                    <w:topLinePunct w:val="0"/>
                    <w:autoSpaceDE w:val="0"/>
                    <w:autoSpaceDN w:val="0"/>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石化、农药、医药企业废水应密闭输送，储存、处理设施应在曝气池及其之前加盖密封；其他行业敞开液面上方100mm处VOCs检测浓度&gt;_200μmo1/mol的需加盖密封；规范涂料、油墨等有机原辅材料的调配和使用环节无组织废气收集，采取车间环境负压改造、安装高效集气装置等措施，提高VOCs产生环节的废气收集率。</w:t>
                  </w:r>
                </w:p>
              </w:tc>
              <w:tc>
                <w:tcPr>
                  <w:tcW w:w="1138" w:type="pct"/>
                  <w:gridSpan w:val="2"/>
                  <w:vAlign w:val="center"/>
                </w:tcPr>
                <w:p w14:paraId="710C020C">
                  <w:pPr>
                    <w:keepNext w:val="0"/>
                    <w:keepLines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s="宋体"/>
                      <w:bCs/>
                      <w:color w:val="auto"/>
                      <w:szCs w:val="21"/>
                      <w:highlight w:val="none"/>
                      <w:lang w:val="en-US" w:eastAsia="zh-CN"/>
                    </w:rPr>
                    <w:t>脱模剂废气经集气罩收集</w:t>
                  </w:r>
                  <w:r>
                    <w:rPr>
                      <w:rFonts w:hint="eastAsia" w:ascii="Times New Roman" w:hAnsi="Times New Roman" w:eastAsia="宋体" w:cs="宋体"/>
                      <w:bCs/>
                      <w:color w:val="auto"/>
                      <w:szCs w:val="21"/>
                      <w:highlight w:val="none"/>
                    </w:rPr>
                    <w:t>，保障罩口最远处控制风速≥0.3m/s</w:t>
                  </w:r>
                  <w:r>
                    <w:rPr>
                      <w:rFonts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rPr>
                    <w:t>提高废气收集率</w:t>
                  </w:r>
                  <w:r>
                    <w:rPr>
                      <w:rFonts w:hint="eastAsia" w:ascii="Times New Roman" w:hAnsi="Times New Roman" w:eastAsia="宋体" w:cs="宋体"/>
                      <w:color w:val="auto"/>
                      <w:szCs w:val="21"/>
                      <w:highlight w:val="none"/>
                    </w:rPr>
                    <w:t>。</w:t>
                  </w:r>
                </w:p>
              </w:tc>
            </w:tr>
            <w:tr w14:paraId="243E2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E498850">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持续推进涉VOCs行业清洁原料替代</w:t>
                  </w:r>
                </w:p>
              </w:tc>
              <w:tc>
                <w:tcPr>
                  <w:tcW w:w="2970" w:type="pct"/>
                  <w:gridSpan w:val="3"/>
                  <w:vAlign w:val="center"/>
                </w:tcPr>
                <w:p w14:paraId="1CAB7363">
                  <w:pPr>
                    <w:keepNext w:val="0"/>
                    <w:keepLines w:val="0"/>
                    <w:pageBreakBefore w:val="0"/>
                    <w:widowControl w:val="0"/>
                    <w:kinsoku/>
                    <w:wordWrap/>
                    <w:overflowPunct/>
                    <w:topLinePunct w:val="0"/>
                    <w:autoSpaceDE w:val="0"/>
                    <w:autoSpaceDN w:val="0"/>
                    <w:bidi w:val="0"/>
                    <w:adjustRightInd/>
                    <w:snapToGrid w:val="0"/>
                    <w:spacing w:line="300" w:lineRule="exact"/>
                    <w:ind w:firstLine="420" w:firstLineChars="200"/>
                    <w:jc w:val="left"/>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对照《江苏省挥发性有机物清洁原料替代工作方案》（苏大气办〔2021〕2号）要求，持续推动源头替代，严把环评审批准入关，控增量，去存量。</w:t>
                  </w:r>
                </w:p>
              </w:tc>
              <w:tc>
                <w:tcPr>
                  <w:tcW w:w="1138" w:type="pct"/>
                  <w:gridSpan w:val="2"/>
                  <w:vAlign w:val="center"/>
                </w:tcPr>
                <w:p w14:paraId="0B9BCAB4">
                  <w:pPr>
                    <w:keepNext w:val="0"/>
                    <w:keepLines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本项目不属于生产和使用高</w:t>
                  </w:r>
                  <w:r>
                    <w:rPr>
                      <w:rFonts w:hint="eastAsia" w:ascii="Times New Roman" w:hAnsi="Times New Roman" w:eastAsia="宋体" w:cs="宋体"/>
                      <w:color w:val="auto"/>
                      <w:szCs w:val="21"/>
                      <w:highlight w:val="none"/>
                    </w:rPr>
                    <w:t>VOCs含量的涂料、油墨、胶粘剂等项目</w:t>
                  </w:r>
                  <w:r>
                    <w:rPr>
                      <w:rFonts w:hint="eastAsia" w:cs="宋体"/>
                      <w:color w:val="auto"/>
                      <w:szCs w:val="21"/>
                      <w:highlight w:val="none"/>
                      <w:lang w:eastAsia="zh-CN"/>
                    </w:rPr>
                    <w:t>，</w:t>
                  </w:r>
                  <w:r>
                    <w:rPr>
                      <w:rFonts w:hint="eastAsia"/>
                      <w:color w:val="auto"/>
                      <w:lang w:val="en-US" w:eastAsia="zh-CN"/>
                    </w:rPr>
                    <w:t>根据检测报告本项目使用的清洗剂VOCs含量为42g/L，满足</w:t>
                  </w:r>
                  <w:r>
                    <w:rPr>
                      <w:rFonts w:hint="eastAsia" w:ascii="Times New Roman" w:hAnsi="Times New Roman" w:eastAsia="宋体" w:cs="宋体"/>
                      <w:color w:val="auto"/>
                      <w:szCs w:val="21"/>
                      <w:highlight w:val="none"/>
                    </w:rPr>
                    <w:t>《清洗剂挥发性有机化合物含量限值》（GB38508-2020）</w:t>
                  </w:r>
                  <w:r>
                    <w:rPr>
                      <w:rFonts w:hint="eastAsia" w:cs="宋体"/>
                      <w:color w:val="auto"/>
                      <w:szCs w:val="21"/>
                      <w:highlight w:val="none"/>
                      <w:lang w:val="en-US" w:eastAsia="zh-CN"/>
                    </w:rPr>
                    <w:t>相应标准</w:t>
                  </w:r>
                  <w:r>
                    <w:rPr>
                      <w:rFonts w:hint="eastAsia" w:ascii="Times New Roman" w:hAnsi="Times New Roman" w:eastAsia="宋体" w:cs="宋体"/>
                      <w:color w:val="auto"/>
                      <w:szCs w:val="21"/>
                      <w:highlight w:val="none"/>
                    </w:rPr>
                    <w:t>。</w:t>
                  </w:r>
                </w:p>
              </w:tc>
            </w:tr>
            <w:tr w14:paraId="3A0E6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E46F8A6">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强化工业</w:t>
                  </w:r>
                  <w:r>
                    <w:rPr>
                      <w:rFonts w:hint="eastAsia" w:ascii="Times New Roman" w:hAnsi="Times New Roman" w:eastAsia="宋体"/>
                      <w:color w:val="auto"/>
                      <w:highlight w:val="none"/>
                    </w:rPr>
                    <w:cr/>
                  </w:r>
                  <w:r>
                    <w:rPr>
                      <w:rFonts w:hint="eastAsia" w:ascii="Times New Roman" w:hAnsi="Times New Roman" w:eastAsia="宋体"/>
                      <w:color w:val="auto"/>
                      <w:highlight w:val="none"/>
                    </w:rPr>
                    <w:t>源日常管理与监管</w:t>
                  </w:r>
                </w:p>
              </w:tc>
              <w:tc>
                <w:tcPr>
                  <w:tcW w:w="2970" w:type="pct"/>
                  <w:gridSpan w:val="3"/>
                  <w:vAlign w:val="center"/>
                </w:tcPr>
                <w:p w14:paraId="3241B49A">
                  <w:pPr>
                    <w:pStyle w:val="60"/>
                    <w:keepNext w:val="0"/>
                    <w:keepLines w:val="0"/>
                    <w:pageBreakBefore w:val="0"/>
                    <w:widowControl w:val="0"/>
                    <w:kinsoku/>
                    <w:wordWrap/>
                    <w:overflowPunct/>
                    <w:topLinePunct w:val="0"/>
                    <w:bidi w:val="0"/>
                    <w:adjustRightInd/>
                    <w:snapToGrid w:val="0"/>
                    <w:spacing w:line="300" w:lineRule="exact"/>
                    <w:ind w:firstLine="396" w:firstLineChars="200"/>
                    <w:jc w:val="left"/>
                    <w:textAlignment w:val="auto"/>
                    <w:rPr>
                      <w:rFonts w:ascii="Times New Roman" w:hAnsi="Times New Roman" w:eastAsia="宋体"/>
                      <w:color w:val="auto"/>
                      <w:highlight w:val="none"/>
                    </w:rPr>
                  </w:pPr>
                  <w:r>
                    <w:rPr>
                      <w:rFonts w:hint="eastAsia" w:ascii="Times New Roman" w:hAnsi="Times New Roman" w:eastAsia="宋体"/>
                      <w:color w:val="auto"/>
                      <w:spacing w:val="-6"/>
                      <w:sz w:val="21"/>
                      <w:highlight w:val="none"/>
                    </w:rPr>
                    <w:t>……对采用活性炭吸附技术的，按照《吸附法工业有机废气治理工程技术规范》（H32026-2013）进行管理，按要求足量添加、定期更换；一次性活性炭吸附工艺需使用柱状炭（颗粒炭），碘吸附值不低于800毫克/克；VOCs初始排放速率大于2kg/h的重点源排气筒进口应设置采样平台，治理效率不低于80%。</w:t>
                  </w:r>
                </w:p>
              </w:tc>
              <w:tc>
                <w:tcPr>
                  <w:tcW w:w="1138" w:type="pct"/>
                  <w:gridSpan w:val="2"/>
                  <w:vAlign w:val="center"/>
                </w:tcPr>
                <w:p w14:paraId="2ABCD565">
                  <w:pPr>
                    <w:keepNext w:val="0"/>
                    <w:keepLines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color w:val="auto"/>
                      <w:szCs w:val="21"/>
                      <w:highlight w:val="none"/>
                    </w:rPr>
                    <w:t>采用吸附处理工艺，满足《吸附法工业有机废气治理工程技术规范》要求，碘吸附值</w:t>
                  </w:r>
                  <w:r>
                    <w:rPr>
                      <w:rFonts w:hint="eastAsia" w:ascii="Times New Roman" w:hAnsi="Times New Roman" w:eastAsia="宋体" w:cs="宋体"/>
                      <w:color w:val="auto"/>
                      <w:highlight w:val="none"/>
                    </w:rPr>
                    <w:t>不低于</w:t>
                  </w:r>
                  <w:r>
                    <w:rPr>
                      <w:rFonts w:hint="eastAsia" w:cs="宋体"/>
                      <w:color w:val="auto"/>
                      <w:highlight w:val="none"/>
                      <w:lang w:val="en-US" w:eastAsia="zh-CN"/>
                    </w:rPr>
                    <w:t>650</w:t>
                  </w:r>
                  <w:r>
                    <w:rPr>
                      <w:rFonts w:hint="eastAsia" w:ascii="Times New Roman" w:hAnsi="Times New Roman" w:eastAsia="宋体" w:cs="宋体"/>
                      <w:color w:val="auto"/>
                      <w:highlight w:val="none"/>
                    </w:rPr>
                    <w:t>毫克/克</w:t>
                  </w:r>
                  <w:r>
                    <w:rPr>
                      <w:rFonts w:hint="eastAsia" w:ascii="Times New Roman" w:hAnsi="Times New Roman" w:eastAsia="宋体" w:cs="宋体"/>
                      <w:color w:val="auto"/>
                      <w:szCs w:val="21"/>
                      <w:highlight w:val="none"/>
                    </w:rPr>
                    <w:t>。</w:t>
                  </w:r>
                </w:p>
              </w:tc>
            </w:tr>
            <w:tr w14:paraId="7FB195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76CB860F">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推进VOCs在线监控安装、验收与联网</w:t>
                  </w:r>
                </w:p>
              </w:tc>
              <w:tc>
                <w:tcPr>
                  <w:tcW w:w="2970" w:type="pct"/>
                  <w:gridSpan w:val="3"/>
                  <w:vAlign w:val="center"/>
                </w:tcPr>
                <w:p w14:paraId="0E7283C2">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按照《江苏省污染源自动监控管理办法（试行）》（苏环发〔2021〕3号）要求，推动单排放口VOCs排放设计小时废气排放量1万立方米及以上的化工行业、3万立方米及以上的其他行业安装VOCs自动监测设施。</w:t>
                  </w:r>
                </w:p>
              </w:tc>
              <w:tc>
                <w:tcPr>
                  <w:tcW w:w="1138" w:type="pct"/>
                  <w:gridSpan w:val="2"/>
                  <w:vAlign w:val="center"/>
                </w:tcPr>
                <w:p w14:paraId="32BC5AE7">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本项目风量小于3万立方米/小时，无需</w:t>
                  </w:r>
                  <w:r>
                    <w:rPr>
                      <w:rFonts w:hint="eastAsia" w:ascii="Times New Roman" w:hAnsi="Times New Roman" w:eastAsia="宋体" w:cs="宋体"/>
                      <w:color w:val="auto"/>
                      <w:highlight w:val="none"/>
                    </w:rPr>
                    <w:t>安装VOCs自动监测设施</w:t>
                  </w:r>
                </w:p>
              </w:tc>
            </w:tr>
            <w:tr w14:paraId="245C2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23C17DA">
                  <w:pPr>
                    <w:autoSpaceDE w:val="0"/>
                    <w:autoSpaceDN w:val="0"/>
                    <w:snapToGrid w:val="0"/>
                    <w:jc w:val="center"/>
                    <w:rPr>
                      <w:rFonts w:ascii="Times New Roman" w:hAnsi="Times New Roman" w:eastAsia="宋体" w:cs="宋体"/>
                      <w:b/>
                      <w:bCs/>
                      <w:color w:val="auto"/>
                      <w:highlight w:val="none"/>
                    </w:rPr>
                  </w:pPr>
                  <w:r>
                    <w:rPr>
                      <w:rFonts w:hint="eastAsia" w:ascii="Times New Roman" w:hAnsi="Times New Roman" w:eastAsia="宋体" w:cs="宋体"/>
                      <w:b/>
                      <w:bCs/>
                      <w:color w:val="auto"/>
                      <w:highlight w:val="none"/>
                    </w:rPr>
                    <w:t>《关于印发常州市2022年大气污染防治工作计划的通知》</w:t>
                  </w:r>
                </w:p>
                <w:p w14:paraId="0D8FD8C0">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bCs/>
                      <w:color w:val="auto"/>
                      <w:highlight w:val="none"/>
                    </w:rPr>
                    <w:t>（常大气办</w:t>
                  </w:r>
                  <w:r>
                    <w:rPr>
                      <w:rFonts w:hint="eastAsia" w:ascii="Times New Roman" w:hAnsi="Times New Roman" w:eastAsia="宋体" w:cs="宋体"/>
                      <w:b/>
                      <w:bCs/>
                      <w:color w:val="auto"/>
                      <w:szCs w:val="21"/>
                      <w:highlight w:val="none"/>
                    </w:rPr>
                    <w:t>〔2022〕</w:t>
                  </w:r>
                  <w:r>
                    <w:rPr>
                      <w:rFonts w:hint="eastAsia" w:ascii="Times New Roman" w:hAnsi="Times New Roman" w:eastAsia="宋体" w:cs="宋体"/>
                      <w:b/>
                      <w:bCs/>
                      <w:color w:val="auto"/>
                      <w:highlight w:val="none"/>
                    </w:rPr>
                    <w:t>1号）</w:t>
                  </w:r>
                </w:p>
              </w:tc>
            </w:tr>
            <w:tr w14:paraId="6A98A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79920A9">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调整优化产业结构，推进产业绿色发展</w:t>
                  </w:r>
                </w:p>
              </w:tc>
              <w:tc>
                <w:tcPr>
                  <w:tcW w:w="2970" w:type="pct"/>
                  <w:gridSpan w:val="3"/>
                  <w:vAlign w:val="center"/>
                </w:tcPr>
                <w:p w14:paraId="1A605FE4">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坚决遏制“两高”项目盲目发展。对不符合要求的“两高”项目，坚决停批停建。依法依规淘汰落后产能和化解过剩产能。强化资源要素差别化配置政策落实，推动低端产业、高排放产业有序退出，持续推进化工行业安全环保整治提升。推进产业结构转型升级。完善“三线一单”生态环境分区管控体系，落实以环评制度为主体的源头预防体系，严格规划环评审查和项目环评准入。</w:t>
                  </w:r>
                </w:p>
              </w:tc>
              <w:tc>
                <w:tcPr>
                  <w:tcW w:w="1138" w:type="pct"/>
                  <w:gridSpan w:val="2"/>
                  <w:vAlign w:val="center"/>
                </w:tcPr>
                <w:p w14:paraId="094A2320">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本项目不属于“两高”项目。</w:t>
                  </w:r>
                </w:p>
              </w:tc>
            </w:tr>
            <w:tr w14:paraId="48F71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B9AD995">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优化能源结构，推进能源清洁低碳发展</w:t>
                  </w:r>
                </w:p>
              </w:tc>
              <w:tc>
                <w:tcPr>
                  <w:tcW w:w="2970" w:type="pct"/>
                  <w:gridSpan w:val="3"/>
                  <w:vAlign w:val="center"/>
                </w:tcPr>
                <w:p w14:paraId="0D5BC6D9">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优化能源结构，大力发展清洁能源，推进工业炉窑清洁能源替代。</w:t>
                  </w:r>
                </w:p>
              </w:tc>
              <w:tc>
                <w:tcPr>
                  <w:tcW w:w="1138" w:type="pct"/>
                  <w:gridSpan w:val="2"/>
                  <w:vAlign w:val="center"/>
                </w:tcPr>
                <w:p w14:paraId="2C139B8A">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本项目主要使用电能</w:t>
                  </w:r>
                  <w:r>
                    <w:rPr>
                      <w:rFonts w:hint="eastAsia" w:cs="宋体"/>
                      <w:bCs/>
                      <w:color w:val="auto"/>
                      <w:szCs w:val="21"/>
                      <w:highlight w:val="none"/>
                      <w:lang w:val="en-US" w:eastAsia="zh-CN"/>
                    </w:rPr>
                    <w:t>和天然气</w:t>
                  </w:r>
                  <w:r>
                    <w:rPr>
                      <w:rFonts w:ascii="Times New Roman" w:hAnsi="Times New Roman" w:eastAsia="宋体" w:cs="宋体"/>
                      <w:bCs/>
                      <w:color w:val="auto"/>
                      <w:szCs w:val="21"/>
                      <w:highlight w:val="none"/>
                    </w:rPr>
                    <w:t>。</w:t>
                  </w:r>
                </w:p>
              </w:tc>
            </w:tr>
            <w:tr w14:paraId="14664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14F6D1B3">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强化协同减排，切实降低VOCs和氮氧化物排放水平</w:t>
                  </w:r>
                </w:p>
              </w:tc>
              <w:tc>
                <w:tcPr>
                  <w:tcW w:w="2970" w:type="pct"/>
                  <w:gridSpan w:val="3"/>
                  <w:vAlign w:val="center"/>
                </w:tcPr>
                <w:p w14:paraId="1641C13A">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大力推进低VOCs含量清洁原料替代。推进各地对照产品质量标准，加大对各类涂料、油墨、胶粘剂、清洗剂等生产、销售、使用环节的监督管理。强化VOCs全流程、全环节综合治理。在确保安全等前提下，加强含VOCs物料全方位、全链条、全环节密闭管理。</w:t>
                  </w:r>
                </w:p>
              </w:tc>
              <w:tc>
                <w:tcPr>
                  <w:tcW w:w="1138" w:type="pct"/>
                  <w:gridSpan w:val="2"/>
                  <w:vAlign w:val="center"/>
                </w:tcPr>
                <w:p w14:paraId="25B1819A">
                  <w:pPr>
                    <w:snapToGrid w:val="0"/>
                    <w:jc w:val="center"/>
                    <w:rPr>
                      <w:rFonts w:hint="default" w:ascii="Times New Roman" w:hAnsi="Times New Roman" w:eastAsia="宋体" w:cs="宋体"/>
                      <w:bCs/>
                      <w:color w:val="auto"/>
                      <w:szCs w:val="21"/>
                      <w:highlight w:val="none"/>
                      <w:lang w:val="en-US" w:eastAsia="zh-CN"/>
                    </w:rPr>
                  </w:pPr>
                  <w:r>
                    <w:rPr>
                      <w:rFonts w:ascii="Times New Roman" w:hAnsi="Times New Roman" w:eastAsia="宋体" w:cs="宋体"/>
                      <w:color w:val="auto"/>
                      <w:szCs w:val="21"/>
                      <w:highlight w:val="none"/>
                    </w:rPr>
                    <w:t>本项目不属于生产和使用高</w:t>
                  </w:r>
                  <w:r>
                    <w:rPr>
                      <w:rFonts w:hint="eastAsia" w:ascii="Times New Roman" w:hAnsi="Times New Roman" w:eastAsia="宋体" w:cs="宋体"/>
                      <w:color w:val="auto"/>
                      <w:szCs w:val="21"/>
                      <w:highlight w:val="none"/>
                    </w:rPr>
                    <w:t>VOCs含量的涂料、油墨、胶粘剂等项目</w:t>
                  </w:r>
                  <w:r>
                    <w:rPr>
                      <w:rFonts w:hint="eastAsia" w:cs="宋体"/>
                      <w:color w:val="auto"/>
                      <w:szCs w:val="21"/>
                      <w:highlight w:val="none"/>
                      <w:lang w:eastAsia="zh-CN"/>
                    </w:rPr>
                    <w:t>，</w:t>
                  </w:r>
                  <w:r>
                    <w:rPr>
                      <w:rFonts w:hint="eastAsia"/>
                      <w:color w:val="auto"/>
                      <w:lang w:val="en-US" w:eastAsia="zh-CN"/>
                    </w:rPr>
                    <w:t>根据检测报告本项目使用的清洗剂VOCs含量为42g/L，满足</w:t>
                  </w:r>
                  <w:r>
                    <w:rPr>
                      <w:rFonts w:hint="eastAsia" w:ascii="Times New Roman" w:hAnsi="Times New Roman" w:eastAsia="宋体" w:cs="宋体"/>
                      <w:color w:val="auto"/>
                      <w:szCs w:val="21"/>
                      <w:highlight w:val="none"/>
                    </w:rPr>
                    <w:t>《清洗剂挥发性有机化合物含量限值》（GB38508-2020）</w:t>
                  </w:r>
                  <w:r>
                    <w:rPr>
                      <w:rFonts w:hint="eastAsia" w:cs="宋体"/>
                      <w:color w:val="auto"/>
                      <w:szCs w:val="21"/>
                      <w:highlight w:val="none"/>
                      <w:lang w:val="en-US" w:eastAsia="zh-CN"/>
                    </w:rPr>
                    <w:t>中水基清洗剂</w:t>
                  </w:r>
                  <w:r>
                    <w:rPr>
                      <w:rFonts w:hint="eastAsia"/>
                      <w:color w:val="auto"/>
                      <w:lang w:val="en-US" w:eastAsia="zh-CN"/>
                    </w:rPr>
                    <w:t>50g/L</w:t>
                  </w:r>
                  <w:r>
                    <w:rPr>
                      <w:rFonts w:hint="eastAsia" w:cs="宋体"/>
                      <w:color w:val="auto"/>
                      <w:szCs w:val="21"/>
                      <w:highlight w:val="none"/>
                      <w:lang w:val="en-US" w:eastAsia="zh-CN"/>
                    </w:rPr>
                    <w:t>标准限值要求</w:t>
                  </w:r>
                </w:p>
              </w:tc>
            </w:tr>
            <w:tr w14:paraId="77799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86D9615">
                  <w:pPr>
                    <w:autoSpaceDE w:val="0"/>
                    <w:autoSpaceDN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
                      <w:bCs/>
                      <w:color w:val="auto"/>
                      <w:highlight w:val="none"/>
                    </w:rPr>
                    <w:t>《常州市深入打好污染防治攻坚战专项行动方案》（常政办发</w:t>
                  </w:r>
                  <w:r>
                    <w:rPr>
                      <w:rFonts w:hint="eastAsia" w:ascii="Times New Roman" w:hAnsi="Times New Roman" w:eastAsia="宋体" w:cs="宋体"/>
                      <w:b/>
                      <w:bCs/>
                      <w:color w:val="auto"/>
                      <w:szCs w:val="21"/>
                      <w:highlight w:val="none"/>
                    </w:rPr>
                    <w:t>〔2022〕</w:t>
                  </w:r>
                  <w:r>
                    <w:rPr>
                      <w:rFonts w:hint="eastAsia" w:ascii="Times New Roman" w:hAnsi="Times New Roman" w:eastAsia="宋体" w:cs="宋体"/>
                      <w:b/>
                      <w:bCs/>
                      <w:color w:val="auto"/>
                      <w:highlight w:val="none"/>
                    </w:rPr>
                    <w:t>32号）</w:t>
                  </w:r>
                </w:p>
              </w:tc>
            </w:tr>
            <w:tr w14:paraId="3CA02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D183243">
                  <w:pPr>
                    <w:pStyle w:val="60"/>
                    <w:adjustRightInd/>
                    <w:rPr>
                      <w:rFonts w:ascii="Times New Roman" w:hAnsi="Times New Roman" w:eastAsia="宋体"/>
                      <w:color w:val="auto"/>
                      <w:highlight w:val="none"/>
                    </w:rPr>
                  </w:pPr>
                  <w:r>
                    <w:rPr>
                      <w:rFonts w:hint="eastAsia" w:ascii="Times New Roman" w:hAnsi="Times New Roman" w:eastAsia="宋体"/>
                      <w:color w:val="auto"/>
                      <w:highlight w:val="none"/>
                    </w:rPr>
                    <w:t>着力打好重污染天气消除攻坚战</w:t>
                  </w:r>
                </w:p>
              </w:tc>
              <w:tc>
                <w:tcPr>
                  <w:tcW w:w="2970" w:type="pct"/>
                  <w:gridSpan w:val="3"/>
                  <w:vAlign w:val="center"/>
                </w:tcPr>
                <w:p w14:paraId="6AFC81A1">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推动重点行业企业和工业炉窑、垃圾焚烧重点设施超低排放改造（深度治理），严格控制物料（含废渣）运输、装卸、储存、转移和工艺过程无组织排放。</w:t>
                  </w:r>
                </w:p>
              </w:tc>
              <w:tc>
                <w:tcPr>
                  <w:tcW w:w="1138" w:type="pct"/>
                  <w:gridSpan w:val="2"/>
                  <w:vAlign w:val="center"/>
                </w:tcPr>
                <w:p w14:paraId="440AF366">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相符。</w:t>
                  </w:r>
                </w:p>
              </w:tc>
            </w:tr>
            <w:tr w14:paraId="299A3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3CE7D6A4">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highlight w:val="none"/>
                    </w:rPr>
                    <w:t>着力打好臭氧污染防治攻坚战</w:t>
                  </w:r>
                </w:p>
              </w:tc>
              <w:tc>
                <w:tcPr>
                  <w:tcW w:w="2970" w:type="pct"/>
                  <w:gridSpan w:val="3"/>
                  <w:vAlign w:val="center"/>
                </w:tcPr>
                <w:p w14:paraId="36750DBC">
                  <w:pPr>
                    <w:pStyle w:val="60"/>
                    <w:adjustRightInd/>
                    <w:ind w:firstLine="396" w:firstLineChars="200"/>
                    <w:jc w:val="left"/>
                    <w:rPr>
                      <w:rFonts w:ascii="Times New Roman" w:hAnsi="Times New Roman" w:eastAsia="宋体"/>
                      <w:color w:val="auto"/>
                      <w:highlight w:val="none"/>
                    </w:rPr>
                  </w:pPr>
                  <w:r>
                    <w:rPr>
                      <w:rFonts w:hint="eastAsia" w:ascii="Times New Roman" w:hAnsi="Times New Roman" w:eastAsia="宋体"/>
                      <w:color w:val="auto"/>
                      <w:spacing w:val="-6"/>
                      <w:sz w:val="21"/>
                      <w:highlight w:val="none"/>
                      <w:shd w:val="clear" w:color="auto" w:fill="auto"/>
                    </w:rPr>
                    <w:t>以化工、涂装、医药、包装印刷、油品储运销等行业领域为重点，实施原辅材料和产品源头替代工程…</w:t>
                  </w:r>
                </w:p>
              </w:tc>
              <w:tc>
                <w:tcPr>
                  <w:tcW w:w="1138" w:type="pct"/>
                  <w:gridSpan w:val="2"/>
                  <w:vAlign w:val="center"/>
                </w:tcPr>
                <w:p w14:paraId="202E1DD0">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相符。</w:t>
                  </w:r>
                </w:p>
              </w:tc>
            </w:tr>
            <w:tr w14:paraId="484B6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507D7C74">
                  <w:pPr>
                    <w:tabs>
                      <w:tab w:val="left" w:pos="2160"/>
                    </w:tabs>
                    <w:snapToGrid w:val="0"/>
                    <w:jc w:val="center"/>
                    <w:rPr>
                      <w:rFonts w:ascii="Times New Roman" w:hAnsi="Times New Roman" w:eastAsia="宋体" w:cs="宋体"/>
                      <w:color w:val="auto"/>
                      <w:szCs w:val="21"/>
                      <w:highlight w:val="none"/>
                    </w:rPr>
                  </w:pPr>
                </w:p>
              </w:tc>
              <w:tc>
                <w:tcPr>
                  <w:tcW w:w="2970" w:type="pct"/>
                  <w:gridSpan w:val="3"/>
                  <w:vAlign w:val="center"/>
                </w:tcPr>
                <w:p w14:paraId="766CBF5E">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提高企业挥发性有机物治理水平…</w:t>
                  </w:r>
                </w:p>
              </w:tc>
              <w:tc>
                <w:tcPr>
                  <w:tcW w:w="1138" w:type="pct"/>
                  <w:gridSpan w:val="2"/>
                  <w:vAlign w:val="center"/>
                </w:tcPr>
                <w:p w14:paraId="6165DFF2">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pacing w:val="-6"/>
                      <w:sz w:val="21"/>
                      <w:szCs w:val="21"/>
                      <w:highlight w:val="none"/>
                    </w:rPr>
                    <w:t>本项目</w:t>
                  </w:r>
                  <w:r>
                    <w:rPr>
                      <w:rFonts w:hint="eastAsia" w:ascii="Times New Roman" w:hAnsi="Times New Roman" w:eastAsia="宋体" w:cs="宋体"/>
                      <w:bCs/>
                      <w:color w:val="auto"/>
                      <w:spacing w:val="-6"/>
                      <w:sz w:val="21"/>
                      <w:szCs w:val="21"/>
                      <w:highlight w:val="none"/>
                    </w:rPr>
                    <w:t>涉VOCs挥发的工序均在密闭的生产区域内进行，</w:t>
                  </w:r>
                  <w:r>
                    <w:rPr>
                      <w:rFonts w:hint="eastAsia" w:cs="宋体"/>
                      <w:bCs/>
                      <w:color w:val="auto"/>
                      <w:spacing w:val="-6"/>
                      <w:sz w:val="21"/>
                      <w:szCs w:val="21"/>
                      <w:highlight w:val="none"/>
                      <w:lang w:val="en-US" w:eastAsia="zh-CN"/>
                    </w:rPr>
                    <w:t>脱模剂废气经集气罩收集，</w:t>
                  </w:r>
                  <w:r>
                    <w:rPr>
                      <w:rFonts w:hint="eastAsia"/>
                      <w:color w:val="auto"/>
                      <w:spacing w:val="-6"/>
                      <w:sz w:val="21"/>
                      <w:lang w:val="en-US" w:eastAsia="zh-CN"/>
                    </w:rPr>
                    <w:t>经</w:t>
                  </w:r>
                  <w:r>
                    <w:rPr>
                      <w:rFonts w:hint="eastAsia" w:cs="宋体"/>
                      <w:bCs/>
                      <w:color w:val="auto"/>
                      <w:szCs w:val="21"/>
                      <w:highlight w:val="none"/>
                      <w:lang w:val="en-US" w:eastAsia="zh-CN"/>
                    </w:rPr>
                    <w:t>静电除油+水喷淋+除湿+二级活性炭吸附装置处理</w:t>
                  </w:r>
                  <w:r>
                    <w:rPr>
                      <w:rFonts w:hint="eastAsia" w:cs="宋体"/>
                      <w:bCs/>
                      <w:color w:val="auto"/>
                      <w:spacing w:val="-6"/>
                      <w:sz w:val="21"/>
                      <w:szCs w:val="21"/>
                      <w:highlight w:val="none"/>
                      <w:lang w:val="en-US" w:eastAsia="zh-CN"/>
                    </w:rPr>
                    <w:t>，</w:t>
                  </w:r>
                  <w:r>
                    <w:rPr>
                      <w:rFonts w:hint="eastAsia"/>
                      <w:color w:val="auto"/>
                      <w:spacing w:val="-6"/>
                      <w:sz w:val="21"/>
                      <w:lang w:val="en-US" w:eastAsia="zh-CN"/>
                    </w:rPr>
                    <w:t>通过</w:t>
                  </w:r>
                  <w:r>
                    <w:rPr>
                      <w:rFonts w:hint="eastAsia" w:cs="宋体"/>
                      <w:bCs/>
                      <w:color w:val="auto"/>
                      <w:spacing w:val="-6"/>
                      <w:sz w:val="21"/>
                      <w:szCs w:val="21"/>
                      <w:highlight w:val="none"/>
                      <w:lang w:val="en-US" w:eastAsia="zh-CN"/>
                    </w:rPr>
                    <w:t>15m高排气筒FQ-1排放</w:t>
                  </w:r>
                  <w:r>
                    <w:rPr>
                      <w:rFonts w:hint="eastAsia" w:ascii="Times New Roman" w:hAnsi="Times New Roman" w:eastAsia="宋体" w:cs="宋体"/>
                      <w:color w:val="auto"/>
                      <w:spacing w:val="-6"/>
                      <w:sz w:val="21"/>
                      <w:szCs w:val="21"/>
                      <w:highlight w:val="none"/>
                    </w:rPr>
                    <w:t>。</w:t>
                  </w:r>
                </w:p>
              </w:tc>
            </w:tr>
            <w:tr w14:paraId="0BDE5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5E6A6DF1">
                  <w:pPr>
                    <w:tabs>
                      <w:tab w:val="left" w:pos="2160"/>
                    </w:tabs>
                    <w:snapToGrid w:val="0"/>
                    <w:jc w:val="center"/>
                    <w:rPr>
                      <w:rFonts w:ascii="Times New Roman" w:hAnsi="Times New Roman" w:eastAsia="宋体" w:cs="宋体"/>
                      <w:color w:val="auto"/>
                      <w:szCs w:val="21"/>
                      <w:highlight w:val="none"/>
                    </w:rPr>
                  </w:pPr>
                </w:p>
              </w:tc>
              <w:tc>
                <w:tcPr>
                  <w:tcW w:w="2970" w:type="pct"/>
                  <w:gridSpan w:val="3"/>
                  <w:vAlign w:val="center"/>
                </w:tcPr>
                <w:p w14:paraId="410BBA7F">
                  <w:pPr>
                    <w:pStyle w:val="60"/>
                    <w:adjustRightInd/>
                    <w:ind w:firstLine="420" w:firstLineChars="200"/>
                    <w:jc w:val="left"/>
                    <w:rPr>
                      <w:rFonts w:ascii="Times New Roman" w:hAnsi="Times New Roman" w:eastAsia="宋体"/>
                      <w:color w:val="auto"/>
                      <w:highlight w:val="none"/>
                    </w:rPr>
                  </w:pPr>
                  <w:r>
                    <w:rPr>
                      <w:rFonts w:hint="eastAsia" w:ascii="Times New Roman" w:hAnsi="Times New Roman" w:eastAsia="宋体"/>
                      <w:color w:val="auto"/>
                      <w:highlight w:val="none"/>
                    </w:rPr>
                    <w:t>强化装卸废气收集治理。向汽车罐车装载汽油、航空煤油、石脑油和苯、甲苯、二甲苯等应采用底部装载方式，换用自封式快速接头…</w:t>
                  </w:r>
                </w:p>
              </w:tc>
              <w:tc>
                <w:tcPr>
                  <w:tcW w:w="1138" w:type="pct"/>
                  <w:gridSpan w:val="2"/>
                  <w:vAlign w:val="center"/>
                </w:tcPr>
                <w:p w14:paraId="366DC6D8">
                  <w:pPr>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相符。</w:t>
                  </w:r>
                </w:p>
              </w:tc>
            </w:tr>
            <w:tr w14:paraId="4971B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58F9FA35">
                  <w:pPr>
                    <w:snapToGrid w:val="0"/>
                    <w:jc w:val="center"/>
                    <w:rPr>
                      <w:rFonts w:ascii="Times New Roman" w:hAnsi="Times New Roman" w:eastAsia="宋体" w:cs="宋体"/>
                      <w:bCs/>
                      <w:color w:val="auto"/>
                      <w:szCs w:val="21"/>
                      <w:highlight w:val="none"/>
                    </w:rPr>
                  </w:pPr>
                  <w:r>
                    <w:rPr>
                      <w:rFonts w:ascii="Times New Roman" w:hAnsi="Times New Roman" w:eastAsia="宋体" w:cs="宋体"/>
                      <w:b/>
                      <w:bCs/>
                      <w:color w:val="auto"/>
                      <w:szCs w:val="21"/>
                      <w:highlight w:val="none"/>
                    </w:rPr>
                    <w:t>关于印发《减污降碳协同增效实施方案》的通知（环综合</w:t>
                  </w:r>
                  <w:r>
                    <w:rPr>
                      <w:rFonts w:hint="eastAsia" w:ascii="Times New Roman" w:hAnsi="Times New Roman" w:eastAsia="宋体" w:cs="宋体"/>
                      <w:b/>
                      <w:bCs/>
                      <w:color w:val="auto"/>
                      <w:szCs w:val="21"/>
                      <w:highlight w:val="none"/>
                    </w:rPr>
                    <w:t>〔2022〕</w:t>
                  </w:r>
                  <w:r>
                    <w:rPr>
                      <w:rFonts w:ascii="Times New Roman" w:hAnsi="Times New Roman" w:eastAsia="宋体" w:cs="宋体"/>
                      <w:b/>
                      <w:bCs/>
                      <w:color w:val="auto"/>
                      <w:szCs w:val="21"/>
                      <w:highlight w:val="none"/>
                    </w:rPr>
                    <w:t>42号）</w:t>
                  </w:r>
                </w:p>
              </w:tc>
            </w:tr>
            <w:tr w14:paraId="58891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B61C276">
                  <w:pPr>
                    <w:tabs>
                      <w:tab w:val="left" w:pos="2160"/>
                    </w:tabs>
                    <w:snapToGrid w:val="0"/>
                    <w:jc w:val="center"/>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（十三）推进大气污染防治协同控制。</w:t>
                  </w:r>
                </w:p>
              </w:tc>
              <w:tc>
                <w:tcPr>
                  <w:tcW w:w="2970" w:type="pct"/>
                  <w:gridSpan w:val="3"/>
                  <w:vAlign w:val="center"/>
                </w:tcPr>
                <w:p w14:paraId="5BFCC4FC">
                  <w:pPr>
                    <w:tabs>
                      <w:tab w:val="left" w:pos="2160"/>
                    </w:tabs>
                    <w:snapToGrid w:val="0"/>
                    <w:ind w:firstLine="420" w:firstLineChars="200"/>
                    <w:jc w:val="left"/>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优化治理技术路线，加大氮氧化物、挥发性有机物（VOCs）以及温室气体协同减排力度。一体推进重点行业大气污染深度治理与节能降碳行动，推动钢铁、水泥、焦化行业及锅炉超低排放改造，探索开展大气污染物与温室气体排放协同控制改造提升工程试点。VOCs等大气污染物治理优先采用源头替代措施。推进大气污染治理设备节能降耗，提高设备自动化智能化运行水平。加强消耗臭氧层物质和氢氟碳化物管理，加快使用含氢氯氟烃生产线改造，逐步淘汰氢氯氟烃使用。推进移动源大气污染物排放和碳排放协同治理。</w:t>
                  </w:r>
                </w:p>
              </w:tc>
              <w:tc>
                <w:tcPr>
                  <w:tcW w:w="1138" w:type="pct"/>
                  <w:gridSpan w:val="2"/>
                  <w:vAlign w:val="center"/>
                </w:tcPr>
                <w:p w14:paraId="2B43FFD3">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s="宋体"/>
                      <w:bCs/>
                      <w:color w:val="auto"/>
                      <w:szCs w:val="21"/>
                      <w:highlight w:val="none"/>
                      <w:lang w:val="en-US" w:eastAsia="zh-CN"/>
                    </w:rPr>
                    <w:t>脱模剂废气经集气罩收集，</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hint="eastAsia" w:ascii="Times New Roman" w:hAnsi="Times New Roman" w:eastAsia="宋体" w:cs="宋体"/>
                      <w:color w:val="auto"/>
                      <w:szCs w:val="21"/>
                      <w:highlight w:val="none"/>
                    </w:rPr>
                    <w:t>，不涉及消耗臭氧层物质和氢氟碳化物。</w:t>
                  </w:r>
                </w:p>
              </w:tc>
            </w:tr>
            <w:tr w14:paraId="24F67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2684F7F">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b/>
                      <w:color w:val="auto"/>
                      <w:szCs w:val="21"/>
                      <w:highlight w:val="none"/>
                    </w:rPr>
                    <w:t>《挥发性有机物无组织排放控制标准》（GB37822-2019）</w:t>
                  </w:r>
                </w:p>
              </w:tc>
            </w:tr>
            <w:tr w14:paraId="03EB2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3A295E81">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5、VOCs物料储存无组织排放控制要求</w:t>
                  </w:r>
                </w:p>
              </w:tc>
              <w:tc>
                <w:tcPr>
                  <w:tcW w:w="2970" w:type="pct"/>
                  <w:gridSpan w:val="3"/>
                  <w:vAlign w:val="center"/>
                </w:tcPr>
                <w:p w14:paraId="61717D48">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5.1.1VOCs物料应储存于密闭的容器、包装袋、储罐、储库、料仓中。</w:t>
                  </w:r>
                </w:p>
              </w:tc>
              <w:tc>
                <w:tcPr>
                  <w:tcW w:w="1138" w:type="pct"/>
                  <w:gridSpan w:val="2"/>
                  <w:vMerge w:val="restart"/>
                  <w:vAlign w:val="center"/>
                </w:tcPr>
                <w:p w14:paraId="4EFFAE9C">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本项目涉VOCs原辅料均采用密闭包装方式，临时储存于密闭的原料仓库中，在非取用状态时全部加盖保持密闭，与文件相符。</w:t>
                  </w:r>
                </w:p>
              </w:tc>
            </w:tr>
            <w:tr w14:paraId="190E5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6E850DD3">
                  <w:pPr>
                    <w:tabs>
                      <w:tab w:val="left" w:pos="2160"/>
                    </w:tabs>
                    <w:snapToGrid w:val="0"/>
                    <w:jc w:val="center"/>
                    <w:rPr>
                      <w:rFonts w:ascii="Times New Roman" w:hAnsi="Times New Roman" w:eastAsia="宋体" w:cs="宋体"/>
                      <w:color w:val="auto"/>
                      <w:szCs w:val="21"/>
                      <w:highlight w:val="none"/>
                    </w:rPr>
                  </w:pPr>
                </w:p>
              </w:tc>
              <w:tc>
                <w:tcPr>
                  <w:tcW w:w="2970" w:type="pct"/>
                  <w:gridSpan w:val="3"/>
                  <w:vAlign w:val="center"/>
                </w:tcPr>
                <w:p w14:paraId="6A31C238">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5.1.2盛装VOCs物料的容器或包装袋应存放于室内，或存放于设置有雨棚、遮阳和防渗设施的专用场地。盛装VOCs物料的容器或包装袋在非取用状态时应加盖、封口，保持密闭。</w:t>
                  </w:r>
                </w:p>
              </w:tc>
              <w:tc>
                <w:tcPr>
                  <w:tcW w:w="1138" w:type="pct"/>
                  <w:gridSpan w:val="2"/>
                  <w:vMerge w:val="continue"/>
                  <w:vAlign w:val="center"/>
                </w:tcPr>
                <w:p w14:paraId="39EDB670">
                  <w:pPr>
                    <w:snapToGrid w:val="0"/>
                    <w:jc w:val="center"/>
                    <w:rPr>
                      <w:rFonts w:ascii="Times New Roman" w:hAnsi="Times New Roman" w:eastAsia="宋体" w:cs="宋体"/>
                      <w:bCs/>
                      <w:color w:val="auto"/>
                      <w:szCs w:val="21"/>
                      <w:highlight w:val="none"/>
                    </w:rPr>
                  </w:pPr>
                </w:p>
              </w:tc>
            </w:tr>
            <w:tr w14:paraId="20DAC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0AE1270">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6、VOCs物料转移和输送无组织排放控制要求</w:t>
                  </w:r>
                </w:p>
              </w:tc>
              <w:tc>
                <w:tcPr>
                  <w:tcW w:w="2970" w:type="pct"/>
                  <w:gridSpan w:val="3"/>
                  <w:vAlign w:val="center"/>
                </w:tcPr>
                <w:p w14:paraId="2982B12A">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6.1.1液态VOCs物料应采用密闭管道输送。采用非管道输送方式转移液态VOCs物料时，应采用密闭容器、罐车。</w:t>
                  </w:r>
                </w:p>
              </w:tc>
              <w:tc>
                <w:tcPr>
                  <w:tcW w:w="1138" w:type="pct"/>
                  <w:gridSpan w:val="2"/>
                  <w:vMerge w:val="continue"/>
                  <w:vAlign w:val="center"/>
                </w:tcPr>
                <w:p w14:paraId="0483AA64">
                  <w:pPr>
                    <w:snapToGrid w:val="0"/>
                    <w:jc w:val="center"/>
                    <w:rPr>
                      <w:rFonts w:ascii="Times New Roman" w:hAnsi="Times New Roman" w:eastAsia="宋体" w:cs="宋体"/>
                      <w:bCs/>
                      <w:color w:val="auto"/>
                      <w:szCs w:val="21"/>
                      <w:highlight w:val="none"/>
                    </w:rPr>
                  </w:pPr>
                </w:p>
              </w:tc>
            </w:tr>
            <w:tr w14:paraId="10EA2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7AC7BB66">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7、工艺过程VOCs无组织排放控制要求</w:t>
                  </w:r>
                </w:p>
              </w:tc>
              <w:tc>
                <w:tcPr>
                  <w:tcW w:w="2970" w:type="pct"/>
                  <w:gridSpan w:val="3"/>
                  <w:vAlign w:val="center"/>
                </w:tcPr>
                <w:p w14:paraId="00DA2F92">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7.2.1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4C33E8FC">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（a）</w:t>
                  </w:r>
                  <w:r>
                    <w:rPr>
                      <w:rFonts w:ascii="Times New Roman" w:hAnsi="Times New Roman" w:eastAsia="宋体" w:cs="宋体"/>
                      <w:color w:val="auto"/>
                      <w:szCs w:val="21"/>
                      <w:highlight w:val="none"/>
                    </w:rPr>
                    <w:t>调配（混合、搅拌等）；</w:t>
                  </w:r>
                </w:p>
                <w:p w14:paraId="3B9F9786">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（b）</w:t>
                  </w:r>
                  <w:r>
                    <w:rPr>
                      <w:rFonts w:ascii="Times New Roman" w:hAnsi="Times New Roman" w:eastAsia="宋体" w:cs="宋体"/>
                      <w:color w:val="auto"/>
                      <w:szCs w:val="21"/>
                      <w:highlight w:val="none"/>
                    </w:rPr>
                    <w:t>涂装（喷涂、浸涂、淋涂、辊涂、刷涂、涂布等）；</w:t>
                  </w:r>
                </w:p>
                <w:p w14:paraId="02C05329">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（c）</w:t>
                  </w:r>
                  <w:r>
                    <w:rPr>
                      <w:rFonts w:ascii="Times New Roman" w:hAnsi="Times New Roman" w:eastAsia="宋体" w:cs="宋体"/>
                      <w:color w:val="auto"/>
                      <w:szCs w:val="21"/>
                      <w:highlight w:val="none"/>
                    </w:rPr>
                    <w:t>印刷（平版、凸版、凹版、孔版等）；</w:t>
                  </w:r>
                </w:p>
                <w:p w14:paraId="58959FE7">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（d）</w:t>
                  </w:r>
                  <w:r>
                    <w:rPr>
                      <w:rFonts w:ascii="Times New Roman" w:hAnsi="Times New Roman" w:eastAsia="宋体" w:cs="宋体"/>
                      <w:color w:val="auto"/>
                      <w:szCs w:val="21"/>
                      <w:highlight w:val="none"/>
                    </w:rPr>
                    <w:t>粘结（涂胶、热压、复合、贴合等）；</w:t>
                  </w:r>
                </w:p>
                <w:p w14:paraId="3A4C4AAE">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（e）</w:t>
                  </w:r>
                  <w:r>
                    <w:rPr>
                      <w:rFonts w:ascii="Times New Roman" w:hAnsi="Times New Roman" w:eastAsia="宋体" w:cs="宋体"/>
                      <w:color w:val="auto"/>
                      <w:szCs w:val="21"/>
                      <w:highlight w:val="none"/>
                    </w:rPr>
                    <w:t>印染（染色、印花、定型等）；</w:t>
                  </w:r>
                </w:p>
                <w:p w14:paraId="2D8CF8FE">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（f）</w:t>
                  </w:r>
                  <w:r>
                    <w:rPr>
                      <w:rFonts w:ascii="Times New Roman" w:hAnsi="Times New Roman" w:eastAsia="宋体" w:cs="宋体"/>
                      <w:color w:val="auto"/>
                      <w:szCs w:val="21"/>
                      <w:highlight w:val="none"/>
                    </w:rPr>
                    <w:t>干燥（烘干、风干、晾干等）；</w:t>
                  </w:r>
                </w:p>
                <w:p w14:paraId="38E297E1">
                  <w:pPr>
                    <w:snapToGrid w:val="0"/>
                    <w:ind w:firstLine="420" w:firstLineChars="200"/>
                    <w:jc w:val="left"/>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（g）</w:t>
                  </w:r>
                  <w:r>
                    <w:rPr>
                      <w:rFonts w:ascii="Times New Roman" w:hAnsi="Times New Roman" w:eastAsia="宋体" w:cs="宋体"/>
                      <w:color w:val="auto"/>
                      <w:szCs w:val="21"/>
                      <w:highlight w:val="none"/>
                    </w:rPr>
                    <w:t>清洗（浸洗、喷洗、淋洗、冲洗、擦洗等）。</w:t>
                  </w:r>
                </w:p>
              </w:tc>
              <w:tc>
                <w:tcPr>
                  <w:tcW w:w="1138" w:type="pct"/>
                  <w:gridSpan w:val="2"/>
                  <w:vAlign w:val="center"/>
                </w:tcPr>
                <w:p w14:paraId="58714816">
                  <w:pPr>
                    <w:snapToGrid w:val="0"/>
                    <w:jc w:val="center"/>
                    <w:rPr>
                      <w:rFonts w:ascii="Times New Roman" w:hAnsi="Times New Roman" w:eastAsia="宋体" w:cs="宋体"/>
                      <w:bCs/>
                      <w:color w:val="auto"/>
                      <w:szCs w:val="21"/>
                      <w:highlight w:val="none"/>
                    </w:rPr>
                  </w:pPr>
                  <w:r>
                    <w:rPr>
                      <w:rFonts w:ascii="Times New Roman" w:hAnsi="Times New Roman" w:eastAsia="宋体" w:cs="宋体"/>
                      <w:color w:val="auto"/>
                      <w:szCs w:val="21"/>
                      <w:highlight w:val="none"/>
                    </w:rPr>
                    <w:t>本项目</w:t>
                  </w:r>
                  <w:r>
                    <w:rPr>
                      <w:rFonts w:hint="eastAsia" w:ascii="Times New Roman" w:hAnsi="Times New Roman" w:eastAsia="宋体" w:cs="宋体"/>
                      <w:bCs/>
                      <w:color w:val="auto"/>
                      <w:szCs w:val="21"/>
                      <w:highlight w:val="none"/>
                    </w:rPr>
                    <w:t>涉VOCs挥发的工序均在密闭的生产区域内进行，</w:t>
                  </w:r>
                  <w:r>
                    <w:rPr>
                      <w:rFonts w:hint="eastAsia" w:cs="宋体"/>
                      <w:bCs/>
                      <w:color w:val="auto"/>
                      <w:szCs w:val="21"/>
                      <w:highlight w:val="none"/>
                      <w:lang w:val="en-US" w:eastAsia="zh-CN"/>
                    </w:rPr>
                    <w:t>脱模剂废气经集气罩收集，</w:t>
                  </w:r>
                  <w:r>
                    <w:rPr>
                      <w:rFonts w:hint="eastAsia"/>
                      <w:color w:val="auto"/>
                      <w:lang w:val="en-US" w:eastAsia="zh-CN"/>
                    </w:rPr>
                    <w:t>经</w:t>
                  </w:r>
                  <w:r>
                    <w:rPr>
                      <w:rFonts w:hint="eastAsia" w:cs="宋体"/>
                      <w:bCs/>
                      <w:color w:val="auto"/>
                      <w:szCs w:val="21"/>
                      <w:highlight w:val="none"/>
                      <w:lang w:val="en-US" w:eastAsia="zh-CN"/>
                    </w:rPr>
                    <w:t>静电除油+水喷淋+除湿+二级活性炭吸附装置处理，</w:t>
                  </w:r>
                  <w:r>
                    <w:rPr>
                      <w:rFonts w:hint="eastAsia"/>
                      <w:color w:val="auto"/>
                      <w:lang w:val="en-US" w:eastAsia="zh-CN"/>
                    </w:rPr>
                    <w:t>通过</w:t>
                  </w:r>
                  <w:r>
                    <w:rPr>
                      <w:rFonts w:hint="eastAsia" w:cs="宋体"/>
                      <w:bCs/>
                      <w:color w:val="auto"/>
                      <w:szCs w:val="21"/>
                      <w:highlight w:val="none"/>
                      <w:lang w:val="en-US" w:eastAsia="zh-CN"/>
                    </w:rPr>
                    <w:t>15m高排气筒FQ-1排放</w:t>
                  </w:r>
                  <w:r>
                    <w:rPr>
                      <w:rFonts w:hint="eastAsia" w:ascii="Times New Roman" w:hAnsi="Times New Roman" w:eastAsia="宋体" w:cs="宋体"/>
                      <w:bCs/>
                      <w:color w:val="auto"/>
                      <w:szCs w:val="21"/>
                      <w:highlight w:val="none"/>
                    </w:rPr>
                    <w:t>。</w:t>
                  </w:r>
                </w:p>
              </w:tc>
            </w:tr>
            <w:tr w14:paraId="7C435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5DE1B45E">
                  <w:pPr>
                    <w:tabs>
                      <w:tab w:val="left" w:pos="2160"/>
                    </w:tabs>
                    <w:snapToGrid w:val="0"/>
                    <w:jc w:val="center"/>
                    <w:rPr>
                      <w:rFonts w:ascii="Times New Roman" w:hAnsi="Times New Roman" w:eastAsia="宋体" w:cs="宋体"/>
                      <w:color w:val="auto"/>
                      <w:szCs w:val="21"/>
                      <w:highlight w:val="none"/>
                    </w:rPr>
                  </w:pPr>
                </w:p>
              </w:tc>
              <w:tc>
                <w:tcPr>
                  <w:tcW w:w="2970" w:type="pct"/>
                  <w:gridSpan w:val="3"/>
                  <w:vAlign w:val="center"/>
                </w:tcPr>
                <w:p w14:paraId="2C7DA2AF">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7.3.4工艺过程产生的含VOCs废料（渣、液）应按照第5章、第6章的要求进行储存、转移和输送。盛装过VOCs物料的废包装容器应加盖密闭。</w:t>
                  </w:r>
                </w:p>
              </w:tc>
              <w:tc>
                <w:tcPr>
                  <w:tcW w:w="1138" w:type="pct"/>
                  <w:gridSpan w:val="2"/>
                  <w:vAlign w:val="center"/>
                </w:tcPr>
                <w:p w14:paraId="66A5CA7B">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本项目生产过程中产生的废活性炭等密闭收集储存，同时密封，妥善堆放于危险废物暂存间中。</w:t>
                  </w:r>
                </w:p>
              </w:tc>
            </w:tr>
            <w:tr w14:paraId="32BE7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51975E59">
                  <w:pPr>
                    <w:tabs>
                      <w:tab w:val="left" w:pos="2160"/>
                    </w:tab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10、VOCs无组织排放废气收集处理系统要求</w:t>
                  </w:r>
                </w:p>
              </w:tc>
              <w:tc>
                <w:tcPr>
                  <w:tcW w:w="2970" w:type="pct"/>
                  <w:gridSpan w:val="3"/>
                  <w:vAlign w:val="center"/>
                </w:tcPr>
                <w:p w14:paraId="28EFEA14">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138" w:type="pct"/>
                  <w:gridSpan w:val="2"/>
                  <w:vMerge w:val="restart"/>
                  <w:vAlign w:val="center"/>
                </w:tcPr>
                <w:p w14:paraId="5C22D49B">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本项目VOCs废气收集处理系统与生产工艺设备同步建设运行；VOCs废气收集处理系统发生故障或检修时，对应的生产工艺设备可停止运行，待检修完毕后同步投入使用；经估算，VOCs废气收集处理系统污染物排放能够符合相应排放标准；本项目收集的NMHC初始排放速率＜2kg/h，VOCs处理设施处理效率大于</w:t>
                  </w:r>
                  <w:r>
                    <w:rPr>
                      <w:rFonts w:hint="eastAsia" w:cs="宋体"/>
                      <w:bCs/>
                      <w:color w:val="auto"/>
                      <w:szCs w:val="21"/>
                      <w:highlight w:val="none"/>
                      <w:lang w:val="en-US" w:eastAsia="zh-CN"/>
                    </w:rPr>
                    <w:t>8</w:t>
                  </w:r>
                  <w:r>
                    <w:rPr>
                      <w:rFonts w:hint="eastAsia" w:ascii="Times New Roman" w:hAnsi="Times New Roman" w:eastAsia="宋体" w:cs="宋体"/>
                      <w:bCs/>
                      <w:color w:val="auto"/>
                      <w:szCs w:val="21"/>
                      <w:highlight w:val="none"/>
                    </w:rPr>
                    <w:t>0%。</w:t>
                  </w:r>
                </w:p>
              </w:tc>
            </w:tr>
            <w:tr w14:paraId="3E11F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528EB687">
                  <w:pPr>
                    <w:tabs>
                      <w:tab w:val="left" w:pos="2160"/>
                    </w:tabs>
                    <w:snapToGrid w:val="0"/>
                    <w:jc w:val="center"/>
                    <w:rPr>
                      <w:rFonts w:ascii="Times New Roman" w:hAnsi="Times New Roman" w:eastAsia="宋体" w:cs="宋体"/>
                      <w:color w:val="auto"/>
                      <w:szCs w:val="21"/>
                      <w:highlight w:val="none"/>
                    </w:rPr>
                  </w:pPr>
                </w:p>
              </w:tc>
              <w:tc>
                <w:tcPr>
                  <w:tcW w:w="2970" w:type="pct"/>
                  <w:gridSpan w:val="3"/>
                  <w:vAlign w:val="center"/>
                </w:tcPr>
                <w:p w14:paraId="7CAE3F54">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10.3.1VOCs废气收集处理系统污染物排放应符合GB16297或相关行业排放标准的规定。</w:t>
                  </w:r>
                </w:p>
                <w:p w14:paraId="0908B259">
                  <w:pPr>
                    <w:snapToGrid w:val="0"/>
                    <w:ind w:firstLine="420" w:firstLineChars="200"/>
                    <w:jc w:val="left"/>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对于重点地区，收集的废气中NMHC初始排放速率≥2kg/h时，应配置VOCs处理设施，处理效率不应低于80%；</w:t>
                  </w:r>
                </w:p>
              </w:tc>
              <w:tc>
                <w:tcPr>
                  <w:tcW w:w="1138" w:type="pct"/>
                  <w:gridSpan w:val="2"/>
                  <w:vMerge w:val="continue"/>
                  <w:vAlign w:val="center"/>
                </w:tcPr>
                <w:p w14:paraId="0E6B5975">
                  <w:pPr>
                    <w:snapToGrid w:val="0"/>
                    <w:jc w:val="center"/>
                    <w:rPr>
                      <w:rFonts w:ascii="Times New Roman" w:hAnsi="Times New Roman" w:eastAsia="宋体" w:cs="宋体"/>
                      <w:bCs/>
                      <w:color w:val="auto"/>
                      <w:szCs w:val="21"/>
                      <w:highlight w:val="none"/>
                    </w:rPr>
                  </w:pPr>
                </w:p>
              </w:tc>
            </w:tr>
            <w:tr w14:paraId="0D831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1C5D164A">
                  <w:pPr>
                    <w:tabs>
                      <w:tab w:val="left" w:pos="2160"/>
                    </w:tabs>
                    <w:snapToGrid w:val="0"/>
                    <w:jc w:val="center"/>
                    <w:rPr>
                      <w:rFonts w:hint="eastAsia" w:cs="宋体"/>
                      <w:b/>
                      <w:bCs/>
                      <w:color w:val="auto"/>
                      <w:szCs w:val="21"/>
                      <w:highlight w:val="none"/>
                      <w:lang w:val="en-US" w:eastAsia="zh-CN"/>
                    </w:rPr>
                  </w:pPr>
                  <w:r>
                    <w:rPr>
                      <w:rFonts w:hint="eastAsia" w:cs="宋体"/>
                      <w:b/>
                      <w:bCs/>
                      <w:color w:val="auto"/>
                      <w:szCs w:val="21"/>
                      <w:highlight w:val="none"/>
                      <w:lang w:val="en-US" w:eastAsia="zh-CN"/>
                    </w:rPr>
                    <w:t>省生态环境厅关于印发《江苏省铸造行业大气污染综合治理方案》的通知</w:t>
                  </w:r>
                </w:p>
                <w:p w14:paraId="726F30BB">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b/>
                      <w:bCs/>
                      <w:color w:val="auto"/>
                      <w:szCs w:val="21"/>
                      <w:highlight w:val="none"/>
                      <w:lang w:val="en-US" w:eastAsia="zh-CN"/>
                    </w:rPr>
                    <w:t>（苏环办</w:t>
                  </w:r>
                  <w:r>
                    <w:rPr>
                      <w:rFonts w:hint="eastAsia" w:ascii="Times New Roman" w:hAnsi="Times New Roman" w:eastAsia="宋体" w:cs="宋体"/>
                      <w:b/>
                      <w:bCs/>
                      <w:color w:val="auto"/>
                      <w:szCs w:val="21"/>
                      <w:highlight w:val="none"/>
                    </w:rPr>
                    <w:t>〔202</w:t>
                  </w:r>
                  <w:r>
                    <w:rPr>
                      <w:rFonts w:hint="eastAsia" w:ascii="Times New Roman" w:hAnsi="Times New Roman" w:eastAsia="宋体" w:cs="宋体"/>
                      <w:b/>
                      <w:bCs/>
                      <w:color w:val="auto"/>
                      <w:szCs w:val="21"/>
                      <w:highlight w:val="none"/>
                      <w:lang w:val="en-US" w:eastAsia="zh-CN"/>
                    </w:rPr>
                    <w:t>3</w:t>
                  </w:r>
                  <w:r>
                    <w:rPr>
                      <w:rFonts w:hint="eastAsia" w:ascii="Times New Roman" w:hAnsi="Times New Roman" w:eastAsia="宋体" w:cs="宋体"/>
                      <w:b/>
                      <w:bCs/>
                      <w:color w:val="auto"/>
                      <w:szCs w:val="21"/>
                      <w:highlight w:val="none"/>
                    </w:rPr>
                    <w:t>〕</w:t>
                  </w:r>
                  <w:r>
                    <w:rPr>
                      <w:rFonts w:hint="eastAsia" w:ascii="Times New Roman" w:hAnsi="Times New Roman" w:eastAsia="宋体" w:cs="宋体"/>
                      <w:b/>
                      <w:bCs/>
                      <w:color w:val="auto"/>
                      <w:szCs w:val="21"/>
                      <w:highlight w:val="none"/>
                      <w:lang w:val="en-US" w:eastAsia="zh-CN"/>
                    </w:rPr>
                    <w:t>242</w:t>
                  </w:r>
                  <w:r>
                    <w:rPr>
                      <w:rFonts w:hint="eastAsia" w:ascii="Times New Roman" w:hAnsi="Times New Roman" w:eastAsia="宋体" w:cs="宋体"/>
                      <w:b/>
                      <w:bCs/>
                      <w:color w:val="auto"/>
                      <w:szCs w:val="21"/>
                      <w:highlight w:val="none"/>
                    </w:rPr>
                    <w:t>号</w:t>
                  </w:r>
                  <w:r>
                    <w:rPr>
                      <w:rFonts w:hint="eastAsia" w:cs="宋体"/>
                      <w:b/>
                      <w:bCs/>
                      <w:color w:val="auto"/>
                      <w:szCs w:val="21"/>
                      <w:highlight w:val="none"/>
                      <w:lang w:val="en-US" w:eastAsia="zh-CN"/>
                    </w:rPr>
                    <w:t>）</w:t>
                  </w:r>
                </w:p>
              </w:tc>
            </w:tr>
            <w:tr w14:paraId="1ECD3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2369BA2">
                  <w:pPr>
                    <w:tabs>
                      <w:tab w:val="left" w:pos="2160"/>
                    </w:tabs>
                    <w:snapToGrid w:val="0"/>
                    <w:jc w:val="center"/>
                    <w:rPr>
                      <w:rFonts w:hint="eastAsia" w:cs="宋体"/>
                      <w:b/>
                      <w:bCs/>
                      <w:color w:val="auto"/>
                      <w:szCs w:val="21"/>
                      <w:highlight w:val="none"/>
                      <w:lang w:val="en-US" w:eastAsia="zh-CN"/>
                    </w:rPr>
                  </w:pPr>
                  <w:r>
                    <w:rPr>
                      <w:rFonts w:hint="eastAsia" w:cs="宋体"/>
                      <w:b w:val="0"/>
                      <w:bCs w:val="0"/>
                      <w:color w:val="auto"/>
                      <w:szCs w:val="21"/>
                      <w:highlight w:val="none"/>
                      <w:lang w:val="en-US" w:eastAsia="zh-CN"/>
                    </w:rPr>
                    <w:t>二、大气污染防治要求</w:t>
                  </w:r>
                </w:p>
              </w:tc>
            </w:tr>
            <w:tr w14:paraId="1584D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59" w:hRule="atLeast"/>
              </w:trPr>
              <w:tc>
                <w:tcPr>
                  <w:tcW w:w="891" w:type="pct"/>
                  <w:gridSpan w:val="2"/>
                  <w:vAlign w:val="center"/>
                </w:tcPr>
                <w:p w14:paraId="68D25D92">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（一）有组织排放控制要求</w:t>
                  </w:r>
                </w:p>
              </w:tc>
              <w:tc>
                <w:tcPr>
                  <w:tcW w:w="2970" w:type="pct"/>
                  <w:gridSpan w:val="3"/>
                  <w:vAlign w:val="center"/>
                </w:tcPr>
                <w:p w14:paraId="3A653666">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冲天炉烟气颗粒物、二氧化硫、氮氧化物浓度小时均值分别不高于40、200、300毫克/立方米；燃气炉烟气颗粒物、二氧化硫、氮氧化物浓度小时均值分别不高于30、100、400毫克/立方米；电弧炉、感应电炉、精炼炉等其他熔炼（化）炉、保温炉烟气颗粒物浓度小时均值不高于30毫克/立方米。自硬砂及干砂等造型设备、落砂机和抛（喷）丸机等清理设备、加砂和制芯设备、浇注区的颗粒物浓度小时均值不高于30毫克/立方米。砂处理及废砂再生设备烟气颗粒物、二氧化硫、氮氧化物浓度小时均值分别不高于30、150、300毫克/立方米；铸件热处理设备烟气颗粒物、二氧化硫、氮氧化物浓度小时均值分别不高于30、100、300毫克/立方米。表面涂装设备（线）烟气的颗粒物、苯、苯系物、NMHC（非甲烷总烃）、TVOC（总挥发性有机物）浓度小时均值分别不高于30、1、60、100、120毫克/立方米。其他生产工序或设备、设施烟气颗粒物浓度不高于30毫克/立方米。车间或生产设施排气中NMHC初始排放速率≥2kg/h的，VOCs（挥发性有机物）处理设施的处理效率不低于80%。</w:t>
                  </w:r>
                </w:p>
              </w:tc>
              <w:tc>
                <w:tcPr>
                  <w:tcW w:w="1138" w:type="pct"/>
                  <w:gridSpan w:val="2"/>
                  <w:vAlign w:val="center"/>
                </w:tcPr>
                <w:p w14:paraId="6A1DBB11">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本项目熔化烟尘、天然气燃烧废气经水喷淋装置处理后经15m高排气筒FQ-1达标排放，压铸粉尘、脱模剂废气经</w:t>
                  </w:r>
                  <w:r>
                    <w:rPr>
                      <w:rFonts w:hint="eastAsia" w:cs="宋体"/>
                      <w:bCs/>
                      <w:color w:val="auto"/>
                      <w:szCs w:val="21"/>
                      <w:highlight w:val="none"/>
                      <w:lang w:val="en-US" w:eastAsia="zh-CN"/>
                    </w:rPr>
                    <w:t>静电除油+水喷淋+除湿+二级活性炭吸附装置处理</w:t>
                  </w:r>
                  <w:r>
                    <w:rPr>
                      <w:rFonts w:hint="eastAsia" w:cs="宋体"/>
                      <w:color w:val="auto"/>
                      <w:szCs w:val="21"/>
                      <w:highlight w:val="none"/>
                      <w:lang w:val="en-US" w:eastAsia="zh-CN"/>
                    </w:rPr>
                    <w:t>后经15m高排气筒FQ-1达标排放。</w:t>
                  </w:r>
                </w:p>
              </w:tc>
            </w:tr>
            <w:tr w14:paraId="2A60C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2324C51A">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（二）无组织排放控制要求</w:t>
                  </w:r>
                </w:p>
              </w:tc>
              <w:tc>
                <w:tcPr>
                  <w:tcW w:w="2970" w:type="pct"/>
                  <w:gridSpan w:val="3"/>
                  <w:vAlign w:val="center"/>
                </w:tcPr>
                <w:p w14:paraId="21E716CE">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1. 颗粒物无组织排放控制要求。企业厂区内颗粒物无组织排放1小时平均浓度值不高于5毫克/立方米。物料储存：煤粉、膨润土等粉状物料和硅砂应袋装或罐装，并储存于封闭储库或半封闭料场（堆棚）中。生铁、废钢、焦炭和铁合金等粒状、块状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备除尘设施。车间外不得有可见烟粉尘外逸。</w:t>
                  </w:r>
                </w:p>
              </w:tc>
              <w:tc>
                <w:tcPr>
                  <w:tcW w:w="1138" w:type="pct"/>
                  <w:gridSpan w:val="2"/>
                  <w:vAlign w:val="center"/>
                </w:tcPr>
                <w:p w14:paraId="0459C1C7">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本项目不涉及粉状、粒状物料，铝锭储存于原料仓库中，抛丸工序位于2#生产车间内，并配有湿式除尘置。</w:t>
                  </w:r>
                </w:p>
              </w:tc>
            </w:tr>
            <w:tr w14:paraId="00874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616DD8F0">
                  <w:pPr>
                    <w:tabs>
                      <w:tab w:val="left" w:pos="2160"/>
                    </w:tabs>
                    <w:snapToGrid w:val="0"/>
                    <w:jc w:val="center"/>
                    <w:rPr>
                      <w:rFonts w:hint="eastAsia" w:ascii="Times New Roman" w:hAnsi="Times New Roman" w:eastAsia="宋体" w:cs="宋体"/>
                      <w:color w:val="auto"/>
                      <w:szCs w:val="21"/>
                      <w:highlight w:val="none"/>
                    </w:rPr>
                  </w:pPr>
                </w:p>
              </w:tc>
              <w:tc>
                <w:tcPr>
                  <w:tcW w:w="2970" w:type="pct"/>
                  <w:gridSpan w:val="3"/>
                  <w:vAlign w:val="center"/>
                </w:tcPr>
                <w:p w14:paraId="6FF71994">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2. VOCs无组织排放控制要求。厂区内NMHC无组织排放1小时平均浓度不高于10毫克/立方米，任意一次浓度不高于30毫克/立方米。VOCs物料的储存和转移：涂料、树脂、固化剂、稀释剂、清洗剂等VOCs物料应储存于密闭的容器、包装袋、储库中。盛装VOCs物料的容器或包装袋应存放于室内，或存放于设置有雨棚、遮阳和防渗的专用场地；盛装VOCs物料的容器或包装袋在非取用状态时应加盖、封口，保持密闭；转移VOCs物料时，应采用密闭容器。表面涂装：表面涂装的配料、涂装和清洗作业应在密闭空间内进行，废气应排至废气收集处理系统；无法密闭的，应采取局部气体收集处理措施。设备与管线组件VOCs泄露控制要求、敞开液面VOCs无组织排放控制要求等，应符合《挥发性有机物无组织排放控制标准》（GB 37822—</w:t>
                  </w:r>
                  <w:r>
                    <w:rPr>
                      <w:rFonts w:hint="eastAsia"/>
                      <w:color w:val="auto"/>
                      <w:highlight w:val="none"/>
                      <w:lang w:val="en-US" w:eastAsia="zh-CN"/>
                    </w:rPr>
                    <w:t>2</w:t>
                  </w:r>
                  <w:r>
                    <w:rPr>
                      <w:rFonts w:hint="eastAsia" w:ascii="Times New Roman" w:hAnsi="Times New Roman" w:eastAsia="宋体"/>
                      <w:color w:val="auto"/>
                      <w:highlight w:val="none"/>
                    </w:rPr>
                    <w:t>019）。</w:t>
                  </w:r>
                </w:p>
              </w:tc>
              <w:tc>
                <w:tcPr>
                  <w:tcW w:w="1138" w:type="pct"/>
                  <w:gridSpan w:val="2"/>
                  <w:vAlign w:val="center"/>
                </w:tcPr>
                <w:p w14:paraId="01D5560D">
                  <w:pPr>
                    <w:tabs>
                      <w:tab w:val="left" w:pos="2160"/>
                    </w:tab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本项目脱模剂废气经</w:t>
                  </w:r>
                  <w:r>
                    <w:rPr>
                      <w:rFonts w:hint="eastAsia" w:cs="宋体"/>
                      <w:bCs/>
                      <w:color w:val="auto"/>
                      <w:szCs w:val="21"/>
                      <w:highlight w:val="none"/>
                      <w:lang w:val="en-US" w:eastAsia="zh-CN"/>
                    </w:rPr>
                    <w:t>静电除油+水喷淋+除湿+二级活性炭吸附装置处理</w:t>
                  </w:r>
                  <w:r>
                    <w:rPr>
                      <w:rFonts w:hint="eastAsia" w:cs="宋体"/>
                      <w:color w:val="auto"/>
                      <w:szCs w:val="21"/>
                      <w:highlight w:val="none"/>
                      <w:lang w:val="en-US" w:eastAsia="zh-CN"/>
                    </w:rPr>
                    <w:t>后经15m高排气筒FQ-1达标排放。</w:t>
                  </w:r>
                </w:p>
              </w:tc>
            </w:tr>
            <w:tr w14:paraId="4139F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67D79D03">
                  <w:pPr>
                    <w:tabs>
                      <w:tab w:val="left" w:pos="21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三、重点任务</w:t>
                  </w:r>
                </w:p>
              </w:tc>
            </w:tr>
            <w:tr w14:paraId="4C7EE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22D70DF2">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（二）推进产业结构优化</w:t>
                  </w:r>
                </w:p>
              </w:tc>
              <w:tc>
                <w:tcPr>
                  <w:tcW w:w="2970" w:type="pct"/>
                  <w:gridSpan w:val="3"/>
                  <w:vAlign w:val="center"/>
                </w:tcPr>
                <w:p w14:paraId="0329D0BB">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严格执行质量、环保、能耗、安全等相关法律法规标准和《产业结构调整指导目录》等政策，配合工信、发改等部门依法依规淘汰工艺设备落后、污染排放不达标、生产安全无保障的落后产能。加快存量项目升级改造，推进企业合理选择成熟高效的污染治理技术和先进工艺，提高行业竞争能力。严格审批新建、改扩建项目，新建、改扩建项目清洁生产水平达到先进水平，确保项目备案、环评、排污许可、安评、节能、审查等手续清晰、完备，项目建设符合相关法律法规标准要求。严格落实主要污染物排放总量控制、能源消耗总量和强度调度控制，坚决遏制不符合要求的项目盲目发展和低水平重复建设，防止产能盲目扩张，切实推进铸造行业产业结构优化升级。</w:t>
                  </w:r>
                </w:p>
              </w:tc>
              <w:tc>
                <w:tcPr>
                  <w:tcW w:w="1138" w:type="pct"/>
                  <w:gridSpan w:val="2"/>
                  <w:vAlign w:val="center"/>
                </w:tcPr>
                <w:p w14:paraId="14038CA4">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本项目不新增铝压铸产能。</w:t>
                  </w:r>
                </w:p>
              </w:tc>
            </w:tr>
            <w:tr w14:paraId="4FBBB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657E9B28">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（三）确保全面达标排放</w:t>
                  </w:r>
                </w:p>
              </w:tc>
              <w:tc>
                <w:tcPr>
                  <w:tcW w:w="2970" w:type="pct"/>
                  <w:gridSpan w:val="3"/>
                  <w:vAlign w:val="center"/>
                </w:tcPr>
                <w:p w14:paraId="65BE7A29">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铸造企业依法申领排污许可证，严格持证排污、按证排污并按排污许可规定落实自行监测、台账记录、执行报告、信息公开等要求。推动现有企业和新建企业参照装备水平及生产工艺、污染治理技术、排放限值、无组织排放、监测监控水平、环境管理水平和运输方式等绩效差异化指标要求，积极培育环保绩效AB级的标杆铸造企业，带动全行业污染治理水平提升。铸造企业严格执行《铸造工业大气污染物排放标准》（GB 39726—2020），加强无组织排放控制，不能稳定达标排放的，限期完成设施升级改造，不具备改造条件及改造后仍不能达标的，依法依规进行淘汰。推动铸造用生铁企业参照钢铁行业超低排放改造要求，开展有组织、无组织和清洁运输超低排放改造和评估监测。铸造企业应安装自动监测、视频监控、用电监控等监测监控设施，强化全过程全流程精细化管理。对物料储存与输送、金属熔炼（化）、造型、制芯、浇注、清理、砂处理、废砂再生、铸件热处理等主要产尘点位和设施安装高清视频监控设施，生产设施和治污设施应安装用电监控设施，生产车间门口和厂区内物料运输主干道路口等关键点位布设空气质量监测微站，有条件的铸造企业应安装分布控制系统（DCS）。推进铸造企业建设全厂一体化环境管控平台，记录有组织排放、无组织排放相关监测监控和治理设施运行情况。自动监测、用电监控、空气质量监测微站、DCS系统等数据至少保存五年以上，高清视频监控数据至少保存一年以上。</w:t>
                  </w:r>
                </w:p>
              </w:tc>
              <w:tc>
                <w:tcPr>
                  <w:tcW w:w="1138" w:type="pct"/>
                  <w:gridSpan w:val="2"/>
                  <w:vAlign w:val="center"/>
                </w:tcPr>
                <w:p w14:paraId="506BB722">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本项目投产后按要求设置监控设施。</w:t>
                  </w:r>
                </w:p>
              </w:tc>
            </w:tr>
            <w:tr w14:paraId="219DB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A323CD9">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（四）推动实施深度治理</w:t>
                  </w:r>
                </w:p>
              </w:tc>
              <w:tc>
                <w:tcPr>
                  <w:tcW w:w="2970" w:type="pct"/>
                  <w:gridSpan w:val="3"/>
                  <w:vAlign w:val="center"/>
                </w:tcPr>
                <w:p w14:paraId="31E50578">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各地组织铸造企业根据《铸造工业大气污染防治可行性技术指南》（HJ 1292—2023），选择适合自身的高效污染防治技术开展深度治理，实现源头减排、过程控制和末端治理的全流程深度治理。源头减排方面，可采用少/无煤粉粘土砂添加替代技术、改性树脂粘结剂（含固化剂）替代技术、陶瓷砂替代技术、无机粘结剂替代技术、水基铸型涂料替代技术、低（无）VOCs含量涂料替代技术等实现煤粉、粘结剂、硅砂、涂料等原辅材料的替代。过程控制方面，可采用炉盖与除尘一体化技术、金属液定点处理技术、微量喷涂技术、金属液封闭转运技术、静电喷涂技术、阴极电泳技术、湿式机械加工技术，实现废气高效收集、涂料高效喷涂和重复利用。颗粒物治理，可采用旋风除尘技术、袋式除尘技术、滤筒除尘技术、湿式除尘技术、漆雾处理技术等。SO</w:t>
                  </w:r>
                  <w:r>
                    <w:rPr>
                      <w:rFonts w:hint="eastAsia" w:ascii="Times New Roman" w:hAnsi="Times New Roman" w:eastAsia="宋体"/>
                      <w:color w:val="auto"/>
                      <w:highlight w:val="none"/>
                      <w:vertAlign w:val="subscript"/>
                    </w:rPr>
                    <w:t>2</w:t>
                  </w:r>
                  <w:r>
                    <w:rPr>
                      <w:rFonts w:hint="eastAsia" w:ascii="Times New Roman" w:hAnsi="Times New Roman" w:eastAsia="宋体"/>
                      <w:color w:val="auto"/>
                      <w:highlight w:val="none"/>
                    </w:rPr>
                    <w:t>（二氧化硫）治理，可采用湿法脱硫技术（钠碱法脱硫技术和双碱法脱硫技术，需配合自动添加脱硫剂设备、自动PH值监测、曝气等系列设施配套使用）、干法脱硫技术（钠基吸收剂细度一般不小于800目，钙基吸收剂细度一般不小于300目）等。NOx(氮氧化物)治理，可采用低氮燃烧、SCR（选择性催化还原）、SNCR（选择性非催化还原）等高效脱硝技术。VOCs治理，可采用吸附技术（固定床吸附和旋转式吸附）、燃烧技术（催化燃烧、蓄热燃烧、热力燃烧）、吸收技术（化学吸收、物理吸收）等。油雾治理，可采用机械过滤技术和静电净化技术等。鼓励铸造企业的大宗物料和产业运输采用铁路、水路、管道或管状带式输送机等清洁运输方式，运输车辆优先采用新能源汽车。</w:t>
                  </w:r>
                </w:p>
              </w:tc>
              <w:tc>
                <w:tcPr>
                  <w:tcW w:w="1138" w:type="pct"/>
                  <w:gridSpan w:val="2"/>
                  <w:vAlign w:val="center"/>
                </w:tcPr>
                <w:p w14:paraId="37932BC0">
                  <w:pPr>
                    <w:tabs>
                      <w:tab w:val="left" w:pos="2160"/>
                    </w:tab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本项目熔化烟尘、天然气燃烧废气经水喷淋装置处理后经15m高排气筒FQ-1达标排放，压铸粉尘、脱模剂废气经静电除油+水喷淋+除湿+二级活性炭吸附装置处理后经15m高排气筒FQ-1达标排放。</w:t>
                  </w:r>
                </w:p>
              </w:tc>
            </w:tr>
            <w:tr w14:paraId="365C7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B69FCCB">
                  <w:pPr>
                    <w:tabs>
                      <w:tab w:val="left" w:pos="21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（五）加快行业绿色发展</w:t>
                  </w:r>
                </w:p>
              </w:tc>
              <w:tc>
                <w:tcPr>
                  <w:tcW w:w="2970" w:type="pct"/>
                  <w:gridSpan w:val="3"/>
                  <w:vAlign w:val="center"/>
                </w:tcPr>
                <w:p w14:paraId="6549F107">
                  <w:pPr>
                    <w:pStyle w:val="60"/>
                    <w:adjustRightInd/>
                    <w:ind w:firstLine="420" w:firstLineChars="200"/>
                    <w:jc w:val="left"/>
                    <w:rPr>
                      <w:rFonts w:hint="eastAsia" w:ascii="Times New Roman" w:hAnsi="Times New Roman" w:eastAsia="宋体"/>
                      <w:color w:val="auto"/>
                      <w:highlight w:val="none"/>
                    </w:rPr>
                  </w:pPr>
                  <w:r>
                    <w:rPr>
                      <w:rFonts w:hint="eastAsia" w:ascii="Times New Roman" w:hAnsi="Times New Roman" w:eastAsia="宋体"/>
                      <w:color w:val="auto"/>
                      <w:highlight w:val="none"/>
                    </w:rPr>
                    <w:t>推进绿色方式贯穿铸造生产全流程，开发绿色原辅材料、推广绿色工艺、建设绿色工厂、发展绿色园区，深入推进园区循环化改造。推动企业依法披露环境信息，接受社会监督。积极开展铸造行业清洁生产审核，环保绩效达到AB级的铸造企业应主动开展清洁生产审核，深入挖掘企业节能、降碳、减污潜力。鼓励企业采用高效节能熔炼、热处理设备，提高余热利用水平。推广短流程铸造，推进铸造行业冲天炉（10吨/小时及以下）改为电炉。推进铸造废砂再生处理技术应用、废旧金属循环再生与利用。协同推进铸造行业降碳、减污、扩绿、增长，推进生态优化、节约集约、绿色低碳发展。</w:t>
                  </w:r>
                </w:p>
              </w:tc>
              <w:tc>
                <w:tcPr>
                  <w:tcW w:w="1138" w:type="pct"/>
                  <w:gridSpan w:val="2"/>
                  <w:vAlign w:val="center"/>
                </w:tcPr>
                <w:p w14:paraId="5D19B8D3">
                  <w:pPr>
                    <w:tabs>
                      <w:tab w:val="left" w:pos="21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本项目不涉及冲天炉。</w:t>
                  </w:r>
                </w:p>
              </w:tc>
            </w:tr>
            <w:tr w14:paraId="3EB3E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1E8E5761">
                  <w:pPr>
                    <w:snapToGrid w:val="0"/>
                    <w:jc w:val="center"/>
                    <w:rPr>
                      <w:rFonts w:hint="eastAsia" w:cs="宋体"/>
                      <w:color w:val="auto"/>
                      <w:szCs w:val="21"/>
                      <w:highlight w:val="no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rPr>
                    <w:t>《铸造企业规范条件》</w:t>
                  </w:r>
                  <w:r>
                    <w:rPr>
                      <w:rFonts w:hint="eastAsia" w:ascii="Times New Roman" w:hAnsi="Times New Roman" w:eastAsia="宋体" w:cs="Times New Roman"/>
                      <w:b/>
                      <w:bCs/>
                      <w:i w:val="0"/>
                      <w:iCs w:val="0"/>
                      <w:caps w:val="0"/>
                      <w:color w:val="auto"/>
                      <w:spacing w:val="0"/>
                      <w:sz w:val="21"/>
                      <w:szCs w:val="21"/>
                      <w:shd w:val="clear" w:color="auto" w:fill="FFFFFF"/>
                      <w:lang w:eastAsia="zh-CN"/>
                    </w:rPr>
                    <w:t>（</w:t>
                  </w:r>
                  <w:r>
                    <w:rPr>
                      <w:rFonts w:hint="default" w:ascii="Times New Roman" w:hAnsi="Times New Roman" w:eastAsia="宋体" w:cs="Times New Roman"/>
                      <w:b/>
                      <w:bCs/>
                      <w:i w:val="0"/>
                      <w:iCs w:val="0"/>
                      <w:caps w:val="0"/>
                      <w:color w:val="auto"/>
                      <w:spacing w:val="0"/>
                      <w:sz w:val="21"/>
                      <w:szCs w:val="21"/>
                      <w:shd w:val="clear" w:color="auto" w:fill="FFFFFF"/>
                    </w:rPr>
                    <w:t>T/CFA0310021</w:t>
                  </w:r>
                  <w:r>
                    <w:rPr>
                      <w:rFonts w:hint="eastAsia" w:ascii="Times New Roman" w:hAnsi="Times New Roman" w:eastAsia="宋体" w:cs="Times New Roman"/>
                      <w:b/>
                      <w:bCs/>
                      <w:i w:val="0"/>
                      <w:iCs w:val="0"/>
                      <w:caps w:val="0"/>
                      <w:color w:val="auto"/>
                      <w:spacing w:val="0"/>
                      <w:sz w:val="21"/>
                      <w:szCs w:val="21"/>
                      <w:shd w:val="clear" w:color="auto" w:fill="FFFFFF"/>
                      <w:lang w:val="en-US" w:eastAsia="zh-CN"/>
                    </w:rPr>
                    <w:t>-</w:t>
                  </w:r>
                  <w:r>
                    <w:rPr>
                      <w:rFonts w:hint="default" w:ascii="Times New Roman" w:hAnsi="Times New Roman" w:eastAsia="宋体" w:cs="Times New Roman"/>
                      <w:b/>
                      <w:bCs/>
                      <w:i w:val="0"/>
                      <w:iCs w:val="0"/>
                      <w:caps w:val="0"/>
                      <w:color w:val="auto"/>
                      <w:spacing w:val="0"/>
                      <w:sz w:val="21"/>
                      <w:szCs w:val="21"/>
                      <w:shd w:val="clear" w:color="auto" w:fill="FFFFFF"/>
                    </w:rPr>
                    <w:t>20</w:t>
                  </w:r>
                  <w:r>
                    <w:rPr>
                      <w:rFonts w:hint="eastAsia" w:ascii="Times New Roman" w:hAnsi="Times New Roman" w:eastAsia="宋体" w:cs="Times New Roman"/>
                      <w:b/>
                      <w:bCs/>
                      <w:i w:val="0"/>
                      <w:iCs w:val="0"/>
                      <w:caps w:val="0"/>
                      <w:color w:val="auto"/>
                      <w:spacing w:val="0"/>
                      <w:sz w:val="21"/>
                      <w:szCs w:val="21"/>
                      <w:shd w:val="clear" w:color="auto" w:fill="FFFFFF"/>
                      <w:lang w:val="en-US" w:eastAsia="zh-CN"/>
                    </w:rPr>
                    <w:t>23</w:t>
                  </w:r>
                  <w:r>
                    <w:rPr>
                      <w:rFonts w:hint="eastAsia" w:ascii="Times New Roman" w:hAnsi="Times New Roman" w:eastAsia="宋体" w:cs="Times New Roman"/>
                      <w:b/>
                      <w:bCs/>
                      <w:i w:val="0"/>
                      <w:iCs w:val="0"/>
                      <w:caps w:val="0"/>
                      <w:color w:val="auto"/>
                      <w:spacing w:val="0"/>
                      <w:sz w:val="21"/>
                      <w:szCs w:val="21"/>
                      <w:shd w:val="clear" w:color="auto" w:fill="FFFFFF"/>
                      <w:lang w:eastAsia="zh-CN"/>
                    </w:rPr>
                    <w:t>）</w:t>
                  </w:r>
                </w:p>
              </w:tc>
            </w:tr>
            <w:tr w14:paraId="66DF1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7C6486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宋体"/>
                      <w:color w:val="auto"/>
                      <w:szCs w:val="21"/>
                      <w:highlight w:val="none"/>
                    </w:rPr>
                  </w:pPr>
                  <w:r>
                    <w:rPr>
                      <w:rFonts w:hint="eastAsia"/>
                      <w:color w:val="auto"/>
                      <w:kern w:val="2"/>
                      <w:sz w:val="21"/>
                      <w:szCs w:val="21"/>
                      <w:lang w:val="en-US" w:eastAsia="zh-CN"/>
                    </w:rPr>
                    <w:t>4建设条件与布局</w:t>
                  </w:r>
                </w:p>
              </w:tc>
              <w:tc>
                <w:tcPr>
                  <w:tcW w:w="2970" w:type="pct"/>
                  <w:gridSpan w:val="3"/>
                  <w:vAlign w:val="center"/>
                </w:tcPr>
                <w:p w14:paraId="7EC12392">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eastAsia" w:ascii="Times New Roman" w:hAnsi="Times New Roman" w:eastAsia="宋体"/>
                      <w:color w:val="auto"/>
                      <w:highlight w:val="none"/>
                    </w:rPr>
                  </w:pPr>
                  <w:r>
                    <w:rPr>
                      <w:rFonts w:hint="eastAsia"/>
                      <w:color w:val="auto"/>
                      <w:kern w:val="2"/>
                      <w:sz w:val="21"/>
                      <w:szCs w:val="21"/>
                      <w:lang w:val="en-US" w:eastAsia="zh-CN"/>
                    </w:rPr>
                    <w:t>4.1企业的布局及厂址的确定应符合国家相关法律法规、产业政策以及各地方装备制造业和铸造行业的总体规划要求。</w:t>
                  </w:r>
                </w:p>
              </w:tc>
              <w:tc>
                <w:tcPr>
                  <w:tcW w:w="1138" w:type="pct"/>
                  <w:gridSpan w:val="2"/>
                  <w:vAlign w:val="center"/>
                </w:tcPr>
                <w:p w14:paraId="71569250">
                  <w:pPr>
                    <w:snapToGrid w:val="0"/>
                    <w:jc w:val="center"/>
                    <w:rPr>
                      <w:rFonts w:hint="eastAsia" w:cs="宋体"/>
                      <w:color w:val="auto"/>
                      <w:szCs w:val="21"/>
                      <w:highlight w:val="none"/>
                      <w:lang w:val="en-US" w:eastAsia="zh-CN"/>
                    </w:rPr>
                  </w:pPr>
                  <w:r>
                    <w:rPr>
                      <w:rFonts w:hint="default" w:ascii="Times New Roman" w:hAnsi="Times New Roman" w:cs="Times New Roman"/>
                      <w:bCs/>
                      <w:color w:val="auto"/>
                      <w:szCs w:val="21"/>
                    </w:rPr>
                    <w:t>本项目位于常州市金坛区河山环路26号</w:t>
                  </w:r>
                  <w:r>
                    <w:rPr>
                      <w:rFonts w:hint="eastAsia" w:cs="Times New Roman"/>
                      <w:bCs/>
                      <w:color w:val="auto"/>
                      <w:szCs w:val="21"/>
                      <w:lang w:val="en-US" w:eastAsia="zh-CN"/>
                    </w:rPr>
                    <w:t>属于金坛经济开发区规划范围，与金坛经济开发区产业定位相符。</w:t>
                  </w:r>
                </w:p>
              </w:tc>
            </w:tr>
            <w:tr w14:paraId="65439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20B034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宋体"/>
                      <w:color w:val="auto"/>
                      <w:szCs w:val="21"/>
                      <w:highlight w:val="none"/>
                    </w:rPr>
                  </w:pPr>
                </w:p>
              </w:tc>
              <w:tc>
                <w:tcPr>
                  <w:tcW w:w="2970" w:type="pct"/>
                  <w:gridSpan w:val="3"/>
                  <w:vAlign w:val="center"/>
                </w:tcPr>
                <w:p w14:paraId="3AA6B269">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olor w:val="auto"/>
                      <w:highlight w:val="none"/>
                    </w:rPr>
                  </w:pPr>
                  <w:r>
                    <w:rPr>
                      <w:rFonts w:hint="eastAsia"/>
                      <w:color w:val="auto"/>
                      <w:kern w:val="2"/>
                      <w:sz w:val="21"/>
                      <w:szCs w:val="21"/>
                      <w:lang w:val="en-US" w:eastAsia="zh-CN"/>
                    </w:rPr>
                    <w:t>4.2企业生产场所应依法取得土地使用权并符合土地使用性质。</w:t>
                  </w:r>
                </w:p>
              </w:tc>
              <w:tc>
                <w:tcPr>
                  <w:tcW w:w="1138" w:type="pct"/>
                  <w:gridSpan w:val="2"/>
                  <w:vAlign w:val="center"/>
                </w:tcPr>
                <w:p w14:paraId="0D79EC3A">
                  <w:pPr>
                    <w:snapToGrid w:val="0"/>
                    <w:jc w:val="center"/>
                    <w:rPr>
                      <w:rFonts w:hint="eastAsia" w:cs="宋体"/>
                      <w:color w:val="auto"/>
                      <w:szCs w:val="21"/>
                      <w:highlight w:val="none"/>
                      <w:lang w:val="en-US" w:eastAsia="zh-CN"/>
                    </w:rPr>
                  </w:pPr>
                  <w:r>
                    <w:rPr>
                      <w:rFonts w:hint="eastAsia" w:cs="Times New Roman"/>
                      <w:bCs/>
                      <w:color w:val="auto"/>
                      <w:szCs w:val="21"/>
                      <w:lang w:val="en-US" w:eastAsia="zh-CN"/>
                    </w:rPr>
                    <w:t>根据企业提供的不动产权证（苏（2016）金坛区不动产权第0004603号），</w:t>
                  </w:r>
                  <w:r>
                    <w:rPr>
                      <w:rFonts w:hint="default" w:ascii="Times New Roman" w:hAnsi="Times New Roman" w:cs="Times New Roman"/>
                      <w:bCs/>
                      <w:color w:val="auto"/>
                      <w:szCs w:val="21"/>
                    </w:rPr>
                    <w:t>项目所在地块用地性质为工业用地，与用地规划相符。</w:t>
                  </w:r>
                </w:p>
              </w:tc>
            </w:tr>
            <w:tr w14:paraId="00358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78CF1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Times New Roman"/>
                      <w:color w:val="auto"/>
                      <w:kern w:val="2"/>
                      <w:sz w:val="21"/>
                      <w:szCs w:val="21"/>
                      <w:lang w:val="en-US" w:eastAsia="zh-CN"/>
                    </w:rPr>
                    <w:t>5企业规模</w:t>
                  </w:r>
                </w:p>
              </w:tc>
              <w:tc>
                <w:tcPr>
                  <w:tcW w:w="2970" w:type="pct"/>
                  <w:gridSpan w:val="3"/>
                  <w:vAlign w:val="center"/>
                </w:tcPr>
                <w:p w14:paraId="1320DCD9">
                  <w:pPr>
                    <w:pStyle w:val="7"/>
                    <w:keepNext w:val="0"/>
                    <w:keepLines w:val="0"/>
                    <w:pageBreakBefore w:val="0"/>
                    <w:kinsoku/>
                    <w:wordWrap/>
                    <w:overflowPunct/>
                    <w:topLinePunct w:val="0"/>
                    <w:autoSpaceDE/>
                    <w:autoSpaceDN/>
                    <w:bidi w:val="0"/>
                    <w:adjustRightInd/>
                    <w:snapToGrid w:val="0"/>
                    <w:spacing w:before="0" w:after="0" w:line="240" w:lineRule="auto"/>
                    <w:ind w:right="0" w:firstLine="420" w:firstLineChars="200"/>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5.2现有企业及新（改、扩）建企业上一年度（或近三年）其最高销售收入应不低于下表的规定要求。</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2254"/>
                    <w:gridCol w:w="1384"/>
                  </w:tblGrid>
                  <w:tr w14:paraId="5B73AB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8" w:type="pct"/>
                        <w:vMerge w:val="restart"/>
                        <w:tcBorders>
                          <w:tl2br w:val="nil"/>
                          <w:tr2bl w:val="nil"/>
                        </w:tcBorders>
                        <w:noWrap w:val="0"/>
                        <w:vAlign w:val="center"/>
                      </w:tcPr>
                      <w:p w14:paraId="4CEA4BA3">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铸件材质</w:t>
                        </w:r>
                      </w:p>
                    </w:tc>
                    <w:tc>
                      <w:tcPr>
                        <w:tcW w:w="3861" w:type="pct"/>
                        <w:gridSpan w:val="2"/>
                        <w:tcBorders>
                          <w:tl2br w:val="nil"/>
                          <w:tr2bl w:val="nil"/>
                        </w:tcBorders>
                        <w:noWrap w:val="0"/>
                        <w:vAlign w:val="center"/>
                      </w:tcPr>
                      <w:p w14:paraId="6C407C79">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新（改、扩）建企业</w:t>
                        </w:r>
                      </w:p>
                    </w:tc>
                  </w:tr>
                  <w:tr w14:paraId="4A7BE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8" w:type="pct"/>
                        <w:vMerge w:val="continue"/>
                        <w:tcBorders>
                          <w:tl2br w:val="nil"/>
                          <w:tr2bl w:val="nil"/>
                        </w:tcBorders>
                        <w:noWrap w:val="0"/>
                        <w:vAlign w:val="center"/>
                      </w:tcPr>
                      <w:p w14:paraId="57C1B8E5">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rPr>
                        </w:pPr>
                      </w:p>
                    </w:tc>
                    <w:tc>
                      <w:tcPr>
                        <w:tcW w:w="2394" w:type="pct"/>
                        <w:tcBorders>
                          <w:tl2br w:val="nil"/>
                          <w:tr2bl w:val="nil"/>
                        </w:tcBorders>
                        <w:noWrap w:val="0"/>
                        <w:vAlign w:val="center"/>
                      </w:tcPr>
                      <w:p w14:paraId="0F6EC518">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销售收入（万元）</w:t>
                        </w:r>
                      </w:p>
                    </w:tc>
                    <w:tc>
                      <w:tcPr>
                        <w:tcW w:w="1467" w:type="pct"/>
                        <w:tcBorders>
                          <w:tl2br w:val="nil"/>
                          <w:tr2bl w:val="nil"/>
                        </w:tcBorders>
                        <w:noWrap w:val="0"/>
                        <w:vAlign w:val="center"/>
                      </w:tcPr>
                      <w:p w14:paraId="252259A6">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参考产量（吨）</w:t>
                        </w:r>
                      </w:p>
                    </w:tc>
                  </w:tr>
                  <w:tr w14:paraId="7253D2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8" w:type="pct"/>
                        <w:tcBorders>
                          <w:tl2br w:val="nil"/>
                          <w:tr2bl w:val="nil"/>
                        </w:tcBorders>
                        <w:noWrap w:val="0"/>
                        <w:vAlign w:val="center"/>
                      </w:tcPr>
                      <w:p w14:paraId="1A96878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rPr>
                          <w:t>铝合金</w:t>
                        </w:r>
                      </w:p>
                    </w:tc>
                    <w:tc>
                      <w:tcPr>
                        <w:tcW w:w="2394" w:type="pct"/>
                        <w:vMerge w:val="restart"/>
                        <w:tcBorders>
                          <w:tl2br w:val="nil"/>
                          <w:tr2bl w:val="nil"/>
                        </w:tcBorders>
                        <w:noWrap w:val="0"/>
                        <w:vAlign w:val="center"/>
                      </w:tcPr>
                      <w:p w14:paraId="30C51232">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≥7000</w:t>
                        </w:r>
                      </w:p>
                    </w:tc>
                    <w:tc>
                      <w:tcPr>
                        <w:tcW w:w="1467" w:type="pct"/>
                        <w:tcBorders>
                          <w:tl2br w:val="nil"/>
                          <w:tr2bl w:val="nil"/>
                        </w:tcBorders>
                        <w:noWrap w:val="0"/>
                        <w:vAlign w:val="center"/>
                      </w:tcPr>
                      <w:p w14:paraId="6E0D5D1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3000</w:t>
                        </w:r>
                      </w:p>
                    </w:tc>
                  </w:tr>
                  <w:tr w14:paraId="550EC3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8" w:type="pct"/>
                        <w:tcBorders>
                          <w:tl2br w:val="nil"/>
                          <w:tr2bl w:val="nil"/>
                        </w:tcBorders>
                        <w:noWrap w:val="0"/>
                        <w:vAlign w:val="center"/>
                      </w:tcPr>
                      <w:p w14:paraId="33B5805D">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铜合金</w:t>
                        </w:r>
                      </w:p>
                    </w:tc>
                    <w:tc>
                      <w:tcPr>
                        <w:tcW w:w="2394" w:type="pct"/>
                        <w:vMerge w:val="continue"/>
                        <w:tcBorders>
                          <w:tl2br w:val="nil"/>
                          <w:tr2bl w:val="nil"/>
                        </w:tcBorders>
                        <w:noWrap w:val="0"/>
                        <w:vAlign w:val="center"/>
                      </w:tcPr>
                      <w:p w14:paraId="4669735F">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rPr>
                        </w:pPr>
                      </w:p>
                    </w:tc>
                    <w:tc>
                      <w:tcPr>
                        <w:tcW w:w="1467" w:type="pct"/>
                        <w:tcBorders>
                          <w:tl2br w:val="nil"/>
                          <w:tr2bl w:val="nil"/>
                        </w:tcBorders>
                        <w:noWrap w:val="0"/>
                        <w:vAlign w:val="center"/>
                      </w:tcPr>
                      <w:p w14:paraId="1453857C">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1000</w:t>
                        </w:r>
                      </w:p>
                    </w:tc>
                  </w:tr>
                  <w:tr w14:paraId="5DB85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8" w:type="pct"/>
                        <w:tcBorders>
                          <w:tl2br w:val="nil"/>
                          <w:tr2bl w:val="nil"/>
                        </w:tcBorders>
                        <w:noWrap w:val="0"/>
                        <w:vAlign w:val="center"/>
                      </w:tcPr>
                      <w:p w14:paraId="3ACC5DA0">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其他（有色）</w:t>
                        </w:r>
                      </w:p>
                    </w:tc>
                    <w:tc>
                      <w:tcPr>
                        <w:tcW w:w="2394" w:type="pct"/>
                        <w:vMerge w:val="continue"/>
                        <w:tcBorders>
                          <w:tl2br w:val="nil"/>
                          <w:tr2bl w:val="nil"/>
                        </w:tcBorders>
                        <w:noWrap w:val="0"/>
                        <w:vAlign w:val="center"/>
                      </w:tcPr>
                      <w:p w14:paraId="323B30A1">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rPr>
                        </w:pPr>
                      </w:p>
                    </w:tc>
                    <w:tc>
                      <w:tcPr>
                        <w:tcW w:w="1467" w:type="pct"/>
                        <w:tcBorders>
                          <w:tl2br w:val="nil"/>
                          <w:tr2bl w:val="nil"/>
                        </w:tcBorders>
                        <w:noWrap w:val="0"/>
                        <w:vAlign w:val="center"/>
                      </w:tcPr>
                      <w:p w14:paraId="43A7879F">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w:t>
                        </w:r>
                      </w:p>
                    </w:tc>
                  </w:tr>
                </w:tbl>
                <w:p w14:paraId="4EC7F86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p>
              </w:tc>
              <w:tc>
                <w:tcPr>
                  <w:tcW w:w="1138" w:type="pct"/>
                  <w:gridSpan w:val="2"/>
                  <w:vAlign w:val="center"/>
                </w:tcPr>
                <w:p w14:paraId="35B06B04">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本项目为技改项目，最高销售收入满足文件要求。</w:t>
                  </w:r>
                </w:p>
              </w:tc>
            </w:tr>
            <w:tr w14:paraId="49B46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6ACB59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r>
                    <w:rPr>
                      <w:rFonts w:hint="eastAsia" w:ascii="Times New Roman" w:hAnsi="Times New Roman" w:eastAsia="宋体" w:cs="Times New Roman"/>
                      <w:color w:val="auto"/>
                      <w:kern w:val="2"/>
                      <w:sz w:val="21"/>
                      <w:szCs w:val="21"/>
                      <w:lang w:val="en-US" w:eastAsia="zh-CN"/>
                    </w:rPr>
                    <w:t>6生产工艺</w:t>
                  </w:r>
                </w:p>
              </w:tc>
              <w:tc>
                <w:tcPr>
                  <w:tcW w:w="2970" w:type="pct"/>
                  <w:gridSpan w:val="3"/>
                  <w:vAlign w:val="center"/>
                </w:tcPr>
                <w:p w14:paraId="2E090E7F">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eastAsia" w:ascii="Times New Roman" w:hAnsi="Times New Roman" w:eastAsia="宋体" w:cs="Times New Roman"/>
                      <w:color w:val="auto"/>
                      <w:kern w:val="2"/>
                      <w:sz w:val="21"/>
                      <w:szCs w:val="21"/>
                      <w:lang w:val="en-US" w:eastAsia="zh-CN"/>
                    </w:rPr>
                    <w:t>6.1企业应根据生产铸件的材质、品种、批量，合理选择低污染、低排放、低能耗、经济高效的铸造工艺。</w:t>
                  </w:r>
                </w:p>
              </w:tc>
              <w:tc>
                <w:tcPr>
                  <w:tcW w:w="1138" w:type="pct"/>
                  <w:gridSpan w:val="2"/>
                  <w:vMerge w:val="restart"/>
                  <w:vAlign w:val="center"/>
                </w:tcPr>
                <w:p w14:paraId="65FCE3D8">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本项目为高压铸造，不采用水玻璃熔模，属于低污染、低排放、</w:t>
                  </w:r>
                  <w:r>
                    <w:rPr>
                      <w:rFonts w:hint="eastAsia" w:ascii="Times New Roman" w:hAnsi="Times New Roman" w:eastAsia="宋体" w:cs="Times New Roman"/>
                      <w:color w:val="auto"/>
                      <w:kern w:val="2"/>
                      <w:sz w:val="21"/>
                      <w:szCs w:val="21"/>
                      <w:lang w:val="en-US" w:eastAsia="zh-CN"/>
                    </w:rPr>
                    <w:t>低能耗、经济高效的铸造工艺。</w:t>
                  </w:r>
                </w:p>
              </w:tc>
            </w:tr>
            <w:tr w14:paraId="1E431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392DF3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5C83208E">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eastAsia" w:ascii="Times New Roman" w:hAnsi="Times New Roman" w:eastAsia="宋体" w:cs="Times New Roman"/>
                      <w:color w:val="auto"/>
                      <w:kern w:val="2"/>
                      <w:sz w:val="21"/>
                      <w:szCs w:val="21"/>
                      <w:lang w:val="en-US" w:eastAsia="zh-CN"/>
                    </w:rPr>
                    <w:t>6.2企业不应使用国家明令淘汰的生产工艺。不应采用粘土砂干型/芯、油砂制芯、七〇砂制型/芯等落后铸造工艺；粘土砂工艺批量生产铸件不应采用手工造型；水玻璃熔模精密铸造模壳硬化不应采用氯化铵硬化工艺；铝合金精炼不应采用六氯乙烷等有毒有害的精炼剂。</w:t>
                  </w:r>
                </w:p>
              </w:tc>
              <w:tc>
                <w:tcPr>
                  <w:tcW w:w="1138" w:type="pct"/>
                  <w:gridSpan w:val="2"/>
                  <w:vMerge w:val="continue"/>
                  <w:vAlign w:val="center"/>
                </w:tcPr>
                <w:p w14:paraId="479BA900">
                  <w:pPr>
                    <w:snapToGrid w:val="0"/>
                    <w:jc w:val="center"/>
                    <w:rPr>
                      <w:rFonts w:hint="default" w:cs="宋体"/>
                      <w:color w:val="auto"/>
                      <w:szCs w:val="21"/>
                      <w:highlight w:val="none"/>
                      <w:lang w:val="en-US" w:eastAsia="zh-CN"/>
                    </w:rPr>
                  </w:pPr>
                </w:p>
              </w:tc>
            </w:tr>
            <w:tr w14:paraId="79272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6F94F0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168397BE">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r>
                    <w:rPr>
                      <w:rFonts w:hint="eastAsia" w:ascii="Times New Roman" w:hAnsi="Times New Roman" w:eastAsia="宋体" w:cs="Times New Roman"/>
                      <w:color w:val="auto"/>
                      <w:kern w:val="2"/>
                      <w:sz w:val="21"/>
                      <w:szCs w:val="21"/>
                      <w:lang w:val="en-US" w:eastAsia="zh-CN"/>
                    </w:rPr>
                    <w:t>6.3新（改、扩）建粘土砂型铸造项目应采用自动化造型；新（改、扩）建熔模精密铸造项目不应采用水玻璃熔模精密铸造工艺。</w:t>
                  </w:r>
                </w:p>
              </w:tc>
              <w:tc>
                <w:tcPr>
                  <w:tcW w:w="1138" w:type="pct"/>
                  <w:gridSpan w:val="2"/>
                  <w:vMerge w:val="continue"/>
                  <w:vAlign w:val="center"/>
                </w:tcPr>
                <w:p w14:paraId="64B3738B">
                  <w:pPr>
                    <w:snapToGrid w:val="0"/>
                    <w:jc w:val="center"/>
                    <w:rPr>
                      <w:rFonts w:hint="default" w:cs="宋体"/>
                      <w:color w:val="auto"/>
                      <w:szCs w:val="21"/>
                      <w:highlight w:val="none"/>
                      <w:lang w:val="en-US" w:eastAsia="zh-CN"/>
                    </w:rPr>
                  </w:pPr>
                </w:p>
              </w:tc>
            </w:tr>
            <w:tr w14:paraId="48C44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77C440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r>
                    <w:rPr>
                      <w:rFonts w:hint="eastAsia"/>
                      <w:color w:val="auto"/>
                      <w:sz w:val="21"/>
                      <w:szCs w:val="21"/>
                      <w:lang w:val="en-US" w:eastAsia="zh-CN"/>
                    </w:rPr>
                    <w:t>7</w:t>
                  </w:r>
                  <w:r>
                    <w:rPr>
                      <w:rFonts w:hint="eastAsia" w:ascii="Times New Roman" w:hAnsi="Times New Roman" w:eastAsia="宋体" w:cs="Times New Roman"/>
                      <w:color w:val="auto"/>
                      <w:kern w:val="2"/>
                      <w:sz w:val="21"/>
                      <w:szCs w:val="21"/>
                      <w:lang w:val="en-US" w:eastAsia="zh-CN"/>
                    </w:rPr>
                    <w:t>生产装备</w:t>
                  </w:r>
                </w:p>
              </w:tc>
              <w:tc>
                <w:tcPr>
                  <w:tcW w:w="2970" w:type="pct"/>
                  <w:gridSpan w:val="3"/>
                  <w:vAlign w:val="center"/>
                </w:tcPr>
                <w:p w14:paraId="712EA559">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7.1.1企业不应使用国家明令淘汰的生产装备，如：无芯工频感应电炉、0.25吨及以上无磁轭的铝壳中频感应电炉等。</w:t>
                  </w:r>
                </w:p>
              </w:tc>
              <w:tc>
                <w:tcPr>
                  <w:tcW w:w="1138" w:type="pct"/>
                  <w:gridSpan w:val="2"/>
                  <w:vAlign w:val="center"/>
                </w:tcPr>
                <w:p w14:paraId="313D7CBC">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本项目不涉及国家明令淘汰的生产装备。</w:t>
                  </w:r>
                </w:p>
              </w:tc>
            </w:tr>
            <w:tr w14:paraId="37312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7FA52A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56FD1AE4">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7.1.2铸件生产企业采用冲天炉熔炼，其设备熔化率宜大于10吨/小时。</w:t>
                  </w:r>
                </w:p>
              </w:tc>
              <w:tc>
                <w:tcPr>
                  <w:tcW w:w="1138" w:type="pct"/>
                  <w:gridSpan w:val="2"/>
                  <w:vAlign w:val="center"/>
                </w:tcPr>
                <w:p w14:paraId="4814DD05">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本项目不涉及冲天炉熔炼。</w:t>
                  </w:r>
                </w:p>
              </w:tc>
            </w:tr>
            <w:tr w14:paraId="646E8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46EAFA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26B6F141">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396"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spacing w:val="-6"/>
                      <w:kern w:val="2"/>
                      <w:sz w:val="21"/>
                      <w:szCs w:val="21"/>
                      <w:lang w:val="en-US" w:eastAsia="zh-CN"/>
                    </w:rPr>
                    <w:t>7.2.1企业应配备与生产能力相匹配的熔炼（化）设备，如冲天炉、中频感应电炉、电弧炉、精炼炉（AOD、VOD、LF等）、电阻炉、燃气炉、保温炉等。</w:t>
                  </w:r>
                </w:p>
              </w:tc>
              <w:tc>
                <w:tcPr>
                  <w:tcW w:w="1138" w:type="pct"/>
                  <w:gridSpan w:val="2"/>
                  <w:vAlign w:val="center"/>
                </w:tcPr>
                <w:p w14:paraId="26FC3CE1">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本项目配备的熔化炉与生产能力相匹配</w:t>
                  </w:r>
                </w:p>
              </w:tc>
            </w:tr>
            <w:tr w14:paraId="5C8A3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72DD97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6CCD3C55">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7.2.2企业熔炼（化）设备炉前应配置必要的化学成分分析、金属液温度测量等检测仪器。</w:t>
                  </w:r>
                </w:p>
              </w:tc>
              <w:tc>
                <w:tcPr>
                  <w:tcW w:w="1138" w:type="pct"/>
                  <w:gridSpan w:val="2"/>
                  <w:vAlign w:val="center"/>
                </w:tcPr>
                <w:p w14:paraId="600AD842">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本项目配备相关检测仪器。</w:t>
                  </w:r>
                </w:p>
              </w:tc>
            </w:tr>
            <w:tr w14:paraId="4CF7A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362A5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67AD0830">
                  <w:pPr>
                    <w:pStyle w:val="7"/>
                    <w:keepNext w:val="0"/>
                    <w:keepLines w:val="0"/>
                    <w:pageBreakBefore w:val="0"/>
                    <w:kinsoku/>
                    <w:wordWrap/>
                    <w:overflowPunct/>
                    <w:topLinePunct w:val="0"/>
                    <w:autoSpaceDE/>
                    <w:autoSpaceDN/>
                    <w:bidi w:val="0"/>
                    <w:adjustRightInd/>
                    <w:snapToGrid w:val="0"/>
                    <w:spacing w:before="0" w:after="0" w:line="240" w:lineRule="auto"/>
                    <w:ind w:right="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7.3成型设备</w:t>
                  </w:r>
                </w:p>
                <w:p w14:paraId="5A85475C">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企业应配备与产品及生产能力相匹配的造型、制芯及其它成型设备（线），如粘土砂造型机（线）、树脂砂混砂机、壳型（芯）机、铁模覆砂生产线、水玻璃砂生产线、消失模/V法/实型铸造设备、离心铸造设备、压铸设备、低压铸造设备、重力铸造设备、挤压铸造设备、差压铸造设备、熔模铸造设备（线）、制芯设备、快速成型设备等。</w:t>
                  </w:r>
                </w:p>
              </w:tc>
              <w:tc>
                <w:tcPr>
                  <w:tcW w:w="1138" w:type="pct"/>
                  <w:gridSpan w:val="2"/>
                  <w:vAlign w:val="center"/>
                </w:tcPr>
                <w:p w14:paraId="2C9364AD">
                  <w:pPr>
                    <w:snapToGrid w:val="0"/>
                    <w:jc w:val="center"/>
                    <w:rPr>
                      <w:rFonts w:hint="default" w:cs="宋体"/>
                      <w:color w:val="auto"/>
                      <w:szCs w:val="21"/>
                      <w:highlight w:val="none"/>
                      <w:lang w:val="en-US" w:eastAsia="zh-CN"/>
                    </w:rPr>
                  </w:pPr>
                  <w:r>
                    <w:rPr>
                      <w:rFonts w:hint="eastAsia" w:ascii="Times New Roman" w:hAnsi="Times New Roman" w:eastAsia="宋体" w:cs="Times New Roman"/>
                      <w:color w:val="auto"/>
                      <w:kern w:val="2"/>
                      <w:sz w:val="21"/>
                      <w:szCs w:val="21"/>
                      <w:lang w:val="en-US" w:eastAsia="zh-CN"/>
                    </w:rPr>
                    <w:t>企业配套与产品及生产能力相匹配的生产线，采用“压铸设备（线）”</w:t>
                  </w:r>
                </w:p>
              </w:tc>
            </w:tr>
            <w:tr w14:paraId="6E169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032AC3CA">
                  <w:pPr>
                    <w:pStyle w:val="7"/>
                    <w:spacing w:before="0" w:after="0" w:line="240" w:lineRule="auto"/>
                    <w:ind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 质量控制</w:t>
                  </w:r>
                </w:p>
                <w:p w14:paraId="5BDA02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1D491456">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8.1 企业应按照GB/T 19001（或IATF 16949、GJB 9001C、RB/T 048等）标准要求建立质量管理体系，通过认证并持续有效运行。</w:t>
                  </w:r>
                </w:p>
              </w:tc>
              <w:tc>
                <w:tcPr>
                  <w:tcW w:w="1138" w:type="pct"/>
                  <w:gridSpan w:val="2"/>
                  <w:vMerge w:val="restart"/>
                  <w:vAlign w:val="center"/>
                </w:tcPr>
                <w:p w14:paraId="42D6ACA6">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企业将按照要求建立质量管理体系，配备</w:t>
                  </w:r>
                  <w:r>
                    <w:rPr>
                      <w:rFonts w:hint="default" w:ascii="Times New Roman" w:hAnsi="Times New Roman" w:eastAsia="宋体" w:cs="Times New Roman"/>
                      <w:caps w:val="0"/>
                      <w:smallCaps w:val="0"/>
                      <w:color w:val="auto"/>
                      <w:spacing w:val="0"/>
                      <w:kern w:val="2"/>
                      <w:sz w:val="21"/>
                      <w:szCs w:val="21"/>
                      <w:highlight w:val="none"/>
                      <w:lang w:val="en-US" w:eastAsia="zh-CN"/>
                    </w:rPr>
                    <w:t>专职质量监测人员，建立健全了质量管理制度；企业</w:t>
                  </w:r>
                  <w:r>
                    <w:rPr>
                      <w:rFonts w:hint="eastAsia" w:ascii="Times New Roman" w:hAnsi="Times New Roman" w:cs="Times New Roman"/>
                      <w:caps w:val="0"/>
                      <w:smallCaps w:val="0"/>
                      <w:color w:val="auto"/>
                      <w:spacing w:val="0"/>
                      <w:kern w:val="2"/>
                      <w:sz w:val="21"/>
                      <w:szCs w:val="21"/>
                      <w:highlight w:val="none"/>
                      <w:lang w:val="en-US" w:eastAsia="zh-CN"/>
                    </w:rPr>
                    <w:t>应</w:t>
                  </w:r>
                  <w:r>
                    <w:rPr>
                      <w:rFonts w:hint="default" w:ascii="Times New Roman" w:hAnsi="Times New Roman" w:eastAsia="宋体" w:cs="Times New Roman"/>
                      <w:caps w:val="0"/>
                      <w:smallCaps w:val="0"/>
                      <w:color w:val="auto"/>
                      <w:spacing w:val="0"/>
                      <w:kern w:val="2"/>
                      <w:sz w:val="21"/>
                      <w:szCs w:val="21"/>
                      <w:highlight w:val="none"/>
                      <w:lang w:val="en-US" w:eastAsia="zh-CN"/>
                    </w:rPr>
                    <w:t>对铸件的外观质量、内在质量及力学性能进行把控，经检验合格后方流入市场。</w:t>
                  </w:r>
                </w:p>
              </w:tc>
            </w:tr>
            <w:tr w14:paraId="3B01B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505EFE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18436A49">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8.2 企业应设置质量管理部门，并配备专职质量检测人员；应配置与原辅材料、生产过程以及铸件质量相关的理化、计量、无损、型砂检测等检验检测设备。</w:t>
                  </w:r>
                </w:p>
              </w:tc>
              <w:tc>
                <w:tcPr>
                  <w:tcW w:w="1138" w:type="pct"/>
                  <w:gridSpan w:val="2"/>
                  <w:vMerge w:val="continue"/>
                  <w:vAlign w:val="center"/>
                </w:tcPr>
                <w:p w14:paraId="0524CF70">
                  <w:pPr>
                    <w:snapToGrid w:val="0"/>
                    <w:jc w:val="center"/>
                    <w:rPr>
                      <w:rFonts w:hint="default" w:cs="宋体"/>
                      <w:color w:val="auto"/>
                      <w:szCs w:val="21"/>
                      <w:highlight w:val="none"/>
                      <w:lang w:val="en-US" w:eastAsia="zh-CN"/>
                    </w:rPr>
                  </w:pPr>
                </w:p>
              </w:tc>
            </w:tr>
            <w:tr w14:paraId="1C5BD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7482F7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3FED8260">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8.3 铸件的外观质量（尺寸精度、表面粗糙度等）、内在质量（化学成分、金相组织等）及力学性能等指标应符合规定的技术要求。</w:t>
                  </w:r>
                </w:p>
              </w:tc>
              <w:tc>
                <w:tcPr>
                  <w:tcW w:w="1138" w:type="pct"/>
                  <w:gridSpan w:val="2"/>
                  <w:vMerge w:val="continue"/>
                  <w:vAlign w:val="center"/>
                </w:tcPr>
                <w:p w14:paraId="30186393">
                  <w:pPr>
                    <w:snapToGrid w:val="0"/>
                    <w:jc w:val="center"/>
                    <w:rPr>
                      <w:rFonts w:hint="default" w:cs="宋体"/>
                      <w:color w:val="auto"/>
                      <w:szCs w:val="21"/>
                      <w:highlight w:val="none"/>
                      <w:lang w:val="en-US" w:eastAsia="zh-CN"/>
                    </w:rPr>
                  </w:pPr>
                </w:p>
              </w:tc>
            </w:tr>
            <w:tr w14:paraId="7BDFD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51C7153A">
                  <w:pPr>
                    <w:pStyle w:val="7"/>
                    <w:spacing w:before="0" w:after="0" w:line="240" w:lineRule="auto"/>
                    <w:ind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9能源消耗</w:t>
                  </w:r>
                </w:p>
                <w:p w14:paraId="060117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3E2BFAEC">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9.1企业应建立能源管理制度，可按照GB/T23331标准要求建立能源管理体系、通过认证并持续有效运行。</w:t>
                  </w:r>
                </w:p>
              </w:tc>
              <w:tc>
                <w:tcPr>
                  <w:tcW w:w="1138" w:type="pct"/>
                  <w:gridSpan w:val="2"/>
                  <w:vMerge w:val="restart"/>
                  <w:vAlign w:val="center"/>
                </w:tcPr>
                <w:p w14:paraId="0BD8C068">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本项目应按文件要求开展节能评估和审查。</w:t>
                  </w:r>
                </w:p>
              </w:tc>
            </w:tr>
            <w:tr w14:paraId="5DD12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166983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734DFC92">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9.2新（改、扩）建铸造项目应开展节能评估和审查。</w:t>
                  </w:r>
                </w:p>
              </w:tc>
              <w:tc>
                <w:tcPr>
                  <w:tcW w:w="1138" w:type="pct"/>
                  <w:gridSpan w:val="2"/>
                  <w:vMerge w:val="continue"/>
                  <w:vAlign w:val="center"/>
                </w:tcPr>
                <w:p w14:paraId="23755A83">
                  <w:pPr>
                    <w:snapToGrid w:val="0"/>
                    <w:jc w:val="center"/>
                    <w:rPr>
                      <w:rFonts w:hint="default" w:cs="宋体"/>
                      <w:color w:val="auto"/>
                      <w:szCs w:val="21"/>
                      <w:highlight w:val="none"/>
                      <w:lang w:val="en-US" w:eastAsia="zh-CN"/>
                    </w:rPr>
                  </w:pPr>
                </w:p>
              </w:tc>
            </w:tr>
            <w:tr w14:paraId="23F0D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2DAAD3A3">
                  <w:pPr>
                    <w:pStyle w:val="7"/>
                    <w:spacing w:before="0" w:after="0" w:line="240" w:lineRule="auto"/>
                    <w:ind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10环境保护</w:t>
                  </w:r>
                </w:p>
                <w:p w14:paraId="132382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4AC773A2">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10.1 企业应按HJ 1115、HJ 1200的要求，取得排污许可证；宜按照HJ 1251的要求制定自行监测方案。</w:t>
                  </w:r>
                </w:p>
                <w:p w14:paraId="0557EAB4">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360" w:firstLineChars="200"/>
                    <w:textAlignment w:val="auto"/>
                    <w:rPr>
                      <w:rFonts w:hint="default" w:ascii="Times New Roman" w:hAnsi="Times New Roman" w:eastAsia="宋体"/>
                      <w:color w:val="auto"/>
                      <w:highlight w:val="none"/>
                      <w:lang w:val="en-US"/>
                    </w:rPr>
                  </w:pPr>
                </w:p>
              </w:tc>
              <w:tc>
                <w:tcPr>
                  <w:tcW w:w="1138" w:type="pct"/>
                  <w:gridSpan w:val="2"/>
                  <w:vAlign w:val="center"/>
                </w:tcPr>
                <w:p w14:paraId="06D12544">
                  <w:pPr>
                    <w:snapToGrid w:val="0"/>
                    <w:jc w:val="center"/>
                    <w:rPr>
                      <w:rFonts w:hint="default" w:cs="宋体"/>
                      <w:color w:val="auto"/>
                      <w:szCs w:val="21"/>
                      <w:highlight w:val="none"/>
                      <w:lang w:val="en-US" w:eastAsia="zh-CN"/>
                    </w:rPr>
                  </w:pPr>
                  <w:r>
                    <w:rPr>
                      <w:rFonts w:hint="eastAsia" w:ascii="Times New Roman" w:hAnsi="Times New Roman" w:eastAsia="宋体" w:cs="Times New Roman"/>
                      <w:color w:val="auto"/>
                      <w:kern w:val="2"/>
                      <w:sz w:val="21"/>
                      <w:szCs w:val="21"/>
                      <w:lang w:val="en-US" w:eastAsia="zh-CN"/>
                    </w:rPr>
                    <w:t>企业于2020年6月22日申领了排污许可证，并于2023年5月31日办理了延续手续，许可证编号：91320413323641574X001U，并按排污许可证要求进行了自行监测。</w:t>
                  </w:r>
                </w:p>
              </w:tc>
            </w:tr>
            <w:tr w14:paraId="4A71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6AF7D2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373F1088">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10.2 企业大气污染物排放应符合GB 39726的要求。应配置完善的环保处理装置，废气、废水、噪声、工业固体废物等排放与处置措施应符合国家及地方环保法规和标准的规定。</w:t>
                  </w:r>
                </w:p>
              </w:tc>
              <w:tc>
                <w:tcPr>
                  <w:tcW w:w="1138" w:type="pct"/>
                  <w:gridSpan w:val="2"/>
                  <w:vMerge w:val="restart"/>
                  <w:vAlign w:val="center"/>
                </w:tcPr>
                <w:p w14:paraId="610D6EA2">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本项目废气均得到妥善处理，生产废水经废水处理系统处理后不外排，生活污水接管至常州市金坛区第二污水处理厂处置，采用隔声、减振等降噪措施；固废全部合规处置，不排放。</w:t>
                  </w:r>
                </w:p>
              </w:tc>
            </w:tr>
            <w:tr w14:paraId="4FDA0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13AA5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34B141CA">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10.3 企业宜参照《重污染天气重点行业应急减排措施制定技术指南》的要求开展绩效分级管理，制定重污染天气应急减排措施。</w:t>
                  </w:r>
                </w:p>
              </w:tc>
              <w:tc>
                <w:tcPr>
                  <w:tcW w:w="1138" w:type="pct"/>
                  <w:gridSpan w:val="2"/>
                  <w:vMerge w:val="continue"/>
                  <w:vAlign w:val="center"/>
                </w:tcPr>
                <w:p w14:paraId="3EA6C09D">
                  <w:pPr>
                    <w:snapToGrid w:val="0"/>
                    <w:jc w:val="center"/>
                    <w:rPr>
                      <w:rFonts w:hint="default" w:cs="宋体"/>
                      <w:color w:val="auto"/>
                      <w:szCs w:val="21"/>
                      <w:highlight w:val="none"/>
                      <w:lang w:val="en-US" w:eastAsia="zh-CN"/>
                    </w:rPr>
                  </w:pPr>
                </w:p>
              </w:tc>
            </w:tr>
            <w:tr w14:paraId="5EA17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3348B5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125965C7">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10.4 企业可按照GB/T 24001要求建立环境管理体系，通过认证并持续有效运行。</w:t>
                  </w:r>
                </w:p>
              </w:tc>
              <w:tc>
                <w:tcPr>
                  <w:tcW w:w="1138" w:type="pct"/>
                  <w:gridSpan w:val="2"/>
                  <w:vAlign w:val="center"/>
                </w:tcPr>
                <w:p w14:paraId="686398F6">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项目建成后，企业将按文件要求建立环境管理体系</w:t>
                  </w:r>
                </w:p>
              </w:tc>
            </w:tr>
            <w:tr w14:paraId="4243E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18AA1B78">
                  <w:pPr>
                    <w:pStyle w:val="7"/>
                    <w:spacing w:before="0" w:after="0" w:line="240" w:lineRule="auto"/>
                    <w:ind w:right="0" w:rightChars="0"/>
                    <w:rPr>
                      <w:rFonts w:hint="default" w:ascii="Times New Roman" w:hAnsi="Times New Roman" w:eastAsia="宋体" w:cs="宋体"/>
                      <w:color w:val="auto"/>
                      <w:szCs w:val="21"/>
                      <w:highlight w:val="none"/>
                      <w:lang w:val="en-US"/>
                    </w:rPr>
                  </w:pPr>
                  <w:r>
                    <w:rPr>
                      <w:rFonts w:hint="default" w:ascii="Times New Roman" w:hAnsi="Times New Roman" w:eastAsia="宋体" w:cs="Times New Roman"/>
                      <w:color w:val="auto"/>
                      <w:kern w:val="2"/>
                      <w:sz w:val="21"/>
                      <w:szCs w:val="21"/>
                      <w:lang w:val="en-US" w:eastAsia="zh-CN"/>
                    </w:rPr>
                    <w:t>11安全生产及职业健康</w:t>
                  </w:r>
                </w:p>
              </w:tc>
              <w:tc>
                <w:tcPr>
                  <w:tcW w:w="2970" w:type="pct"/>
                  <w:gridSpan w:val="3"/>
                  <w:vAlign w:val="center"/>
                </w:tcPr>
                <w:p w14:paraId="078AEF5D">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11.1 企业应遵守国家安全生产相关法律法规和标准要求，建立健全安全设施并有效运行。</w:t>
                  </w:r>
                </w:p>
              </w:tc>
              <w:tc>
                <w:tcPr>
                  <w:tcW w:w="1138" w:type="pct"/>
                  <w:gridSpan w:val="2"/>
                  <w:vMerge w:val="restart"/>
                  <w:vAlign w:val="center"/>
                </w:tcPr>
                <w:p w14:paraId="00ECF222">
                  <w:pPr>
                    <w:keepNext w:val="0"/>
                    <w:keepLines w:val="0"/>
                    <w:pageBreakBefore w:val="0"/>
                    <w:widowControl w:val="0"/>
                    <w:kinsoku/>
                    <w:wordWrap/>
                    <w:overflowPunct/>
                    <w:topLinePunct w:val="0"/>
                    <w:autoSpaceDE/>
                    <w:autoSpaceDN/>
                    <w:bidi w:val="0"/>
                    <w:adjustRightInd/>
                    <w:snapToGrid w:val="0"/>
                    <w:jc w:val="center"/>
                    <w:textAlignment w:val="auto"/>
                    <w:rPr>
                      <w:rFonts w:hint="default" w:cs="宋体"/>
                      <w:color w:val="auto"/>
                      <w:szCs w:val="21"/>
                      <w:highlight w:val="none"/>
                      <w:lang w:val="en-US" w:eastAsia="zh-CN"/>
                    </w:rPr>
                  </w:pPr>
                  <w:r>
                    <w:rPr>
                      <w:rFonts w:hint="eastAsia" w:ascii="Times New Roman" w:hAnsi="Times New Roman" w:eastAsia="宋体" w:cs="Times New Roman"/>
                      <w:color w:val="auto"/>
                      <w:kern w:val="2"/>
                      <w:sz w:val="21"/>
                      <w:szCs w:val="21"/>
                      <w:lang w:val="en-US" w:eastAsia="zh-CN"/>
                    </w:rPr>
                    <w:t>企业将委托专业单位编制职业病危害预评价报告</w:t>
                  </w:r>
                  <w:r>
                    <w:rPr>
                      <w:rFonts w:hint="default" w:ascii="Times New Roman" w:hAnsi="Times New Roman" w:eastAsia="宋体" w:cs="Times New Roman"/>
                      <w:bCs/>
                      <w:caps w:val="0"/>
                      <w:smallCaps w:val="0"/>
                      <w:color w:val="auto"/>
                      <w:spacing w:val="0"/>
                      <w:kern w:val="2"/>
                      <w:sz w:val="21"/>
                      <w:szCs w:val="21"/>
                      <w:highlight w:val="none"/>
                      <w:lang w:val="en-US" w:eastAsia="zh-CN"/>
                    </w:rPr>
                    <w:t>，并按照安全生产及职业健康管理要求落实</w:t>
                  </w:r>
                  <w:r>
                    <w:rPr>
                      <w:rFonts w:hint="eastAsia" w:ascii="Times New Roman" w:hAnsi="Times New Roman" w:cs="Times New Roman"/>
                      <w:bCs/>
                      <w:caps w:val="0"/>
                      <w:smallCaps w:val="0"/>
                      <w:color w:val="auto"/>
                      <w:spacing w:val="0"/>
                      <w:kern w:val="2"/>
                      <w:sz w:val="21"/>
                      <w:szCs w:val="21"/>
                      <w:highlight w:val="none"/>
                      <w:lang w:val="en-US" w:eastAsia="zh-CN"/>
                    </w:rPr>
                    <w:t>。</w:t>
                  </w:r>
                </w:p>
              </w:tc>
            </w:tr>
            <w:tr w14:paraId="172A2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328EA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0323A097">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11.2 企业应遵守国家职业健康相关法律法规和标准要求，建立健全职业危害防治设施和职业卫生管理 制度并有效运行。</w:t>
                  </w:r>
                </w:p>
                <w:p w14:paraId="0EB5C252">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p>
              </w:tc>
              <w:tc>
                <w:tcPr>
                  <w:tcW w:w="1138" w:type="pct"/>
                  <w:gridSpan w:val="2"/>
                  <w:vMerge w:val="continue"/>
                  <w:vAlign w:val="center"/>
                </w:tcPr>
                <w:p w14:paraId="0E7DF414">
                  <w:pPr>
                    <w:snapToGrid w:val="0"/>
                    <w:jc w:val="center"/>
                    <w:rPr>
                      <w:rFonts w:hint="default" w:cs="宋体"/>
                      <w:color w:val="auto"/>
                      <w:szCs w:val="21"/>
                      <w:highlight w:val="none"/>
                      <w:lang w:val="en-US" w:eastAsia="zh-CN"/>
                    </w:rPr>
                  </w:pPr>
                </w:p>
              </w:tc>
            </w:tr>
            <w:tr w14:paraId="0C972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48730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2F395650">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11.3 企业宜参照铸造领域相关安全标准开展安全生产管理。</w:t>
                  </w:r>
                </w:p>
                <w:p w14:paraId="34F275B6">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p>
              </w:tc>
              <w:tc>
                <w:tcPr>
                  <w:tcW w:w="1138" w:type="pct"/>
                  <w:gridSpan w:val="2"/>
                  <w:vMerge w:val="continue"/>
                  <w:vAlign w:val="center"/>
                </w:tcPr>
                <w:p w14:paraId="7F8F7264">
                  <w:pPr>
                    <w:snapToGrid w:val="0"/>
                    <w:jc w:val="center"/>
                    <w:rPr>
                      <w:rFonts w:hint="default" w:cs="宋体"/>
                      <w:color w:val="auto"/>
                      <w:szCs w:val="21"/>
                      <w:highlight w:val="none"/>
                      <w:lang w:val="en-US" w:eastAsia="zh-CN"/>
                    </w:rPr>
                  </w:pPr>
                </w:p>
              </w:tc>
            </w:tr>
            <w:tr w14:paraId="62F5D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27B886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5FF5AA28">
                  <w:pPr>
                    <w:pStyle w:val="7"/>
                    <w:keepNext w:val="0"/>
                    <w:keepLines w:val="0"/>
                    <w:pageBreakBefore w:val="0"/>
                    <w:kinsoku/>
                    <w:wordWrap/>
                    <w:overflowPunct/>
                    <w:topLinePunct w:val="0"/>
                    <w:autoSpaceDE/>
                    <w:autoSpaceDN/>
                    <w:bidi w:val="0"/>
                    <w:adjustRightInd/>
                    <w:snapToGrid w:val="0"/>
                    <w:spacing w:before="0" w:after="0" w:line="240" w:lineRule="auto"/>
                    <w:ind w:right="0" w:rightChars="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11.4 企业可按照GB/T 45001标准要求建立职业健康安全管理体系，通过认证并持续有效运行。</w:t>
                  </w:r>
                </w:p>
                <w:p w14:paraId="2B573E34">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p>
              </w:tc>
              <w:tc>
                <w:tcPr>
                  <w:tcW w:w="1138" w:type="pct"/>
                  <w:gridSpan w:val="2"/>
                  <w:vMerge w:val="continue"/>
                  <w:vAlign w:val="center"/>
                </w:tcPr>
                <w:p w14:paraId="507888E1">
                  <w:pPr>
                    <w:snapToGrid w:val="0"/>
                    <w:jc w:val="center"/>
                    <w:rPr>
                      <w:rFonts w:hint="default" w:cs="宋体"/>
                      <w:color w:val="auto"/>
                      <w:szCs w:val="21"/>
                      <w:highlight w:val="none"/>
                      <w:lang w:val="en-US" w:eastAsia="zh-CN"/>
                    </w:rPr>
                  </w:pPr>
                </w:p>
              </w:tc>
            </w:tr>
            <w:tr w14:paraId="6510B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4AF989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10BC330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olor w:val="auto"/>
                      <w:highlight w:val="none"/>
                      <w:lang w:val="en-US"/>
                    </w:rPr>
                  </w:pPr>
                  <w:r>
                    <w:rPr>
                      <w:rFonts w:hint="default" w:ascii="Times New Roman" w:hAnsi="Times New Roman" w:eastAsia="宋体" w:cs="Times New Roman"/>
                      <w:color w:val="auto"/>
                      <w:kern w:val="2"/>
                      <w:sz w:val="21"/>
                      <w:szCs w:val="21"/>
                      <w:lang w:val="en-US" w:eastAsia="zh-CN"/>
                    </w:rPr>
                    <w:t>11.5 特种作业人员、特种设备操作人员、计量人员、理化检验人员及无损探伤等特殊岗位的人员应具有经相应的资质部门颁发的资格证书，持证上岗率应达100%。</w:t>
                  </w:r>
                </w:p>
              </w:tc>
              <w:tc>
                <w:tcPr>
                  <w:tcW w:w="1138" w:type="pct"/>
                  <w:gridSpan w:val="2"/>
                  <w:vMerge w:val="continue"/>
                  <w:vAlign w:val="center"/>
                </w:tcPr>
                <w:p w14:paraId="4F16B8F3">
                  <w:pPr>
                    <w:snapToGrid w:val="0"/>
                    <w:jc w:val="center"/>
                    <w:rPr>
                      <w:rFonts w:hint="default" w:cs="宋体"/>
                      <w:color w:val="auto"/>
                      <w:szCs w:val="21"/>
                      <w:highlight w:val="none"/>
                      <w:lang w:val="en-US" w:eastAsia="zh-CN"/>
                    </w:rPr>
                  </w:pPr>
                </w:p>
              </w:tc>
            </w:tr>
            <w:tr w14:paraId="68A3C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0671D70A">
                  <w:pPr>
                    <w:snapToGrid w:val="0"/>
                    <w:jc w:val="center"/>
                    <w:rPr>
                      <w:rFonts w:hint="eastAsia"/>
                      <w:b/>
                      <w:bCs/>
                      <w:color w:val="auto"/>
                      <w:sz w:val="21"/>
                      <w:szCs w:val="21"/>
                      <w:lang w:val="en-US" w:eastAsia="zh-CN"/>
                    </w:rPr>
                  </w:pPr>
                  <w:r>
                    <w:rPr>
                      <w:rFonts w:hint="eastAsia"/>
                      <w:b/>
                      <w:bCs/>
                      <w:color w:val="auto"/>
                      <w:sz w:val="21"/>
                      <w:szCs w:val="21"/>
                      <w:lang w:val="en-US" w:eastAsia="zh-CN"/>
                    </w:rPr>
                    <w:t>《关于推动全省铸造和锻压行业高质量发展的实施意见》的通知</w:t>
                  </w:r>
                </w:p>
                <w:p w14:paraId="7F63E5F3">
                  <w:pPr>
                    <w:snapToGrid w:val="0"/>
                    <w:jc w:val="center"/>
                    <w:rPr>
                      <w:rFonts w:hint="default" w:cs="宋体"/>
                      <w:color w:val="auto"/>
                      <w:szCs w:val="21"/>
                      <w:highlight w:val="none"/>
                      <w:lang w:val="en-US" w:eastAsia="zh-CN"/>
                    </w:rPr>
                  </w:pPr>
                  <w:r>
                    <w:rPr>
                      <w:rFonts w:hint="eastAsia"/>
                      <w:b/>
                      <w:bCs/>
                      <w:color w:val="auto"/>
                      <w:sz w:val="21"/>
                      <w:szCs w:val="21"/>
                      <w:lang w:val="en-US" w:eastAsia="zh-CN"/>
                    </w:rPr>
                    <w:t>（苏工信装备〔2023〕403号）</w:t>
                  </w:r>
                </w:p>
              </w:tc>
            </w:tr>
            <w:tr w14:paraId="39D1E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5EF23A39">
                  <w:pPr>
                    <w:pStyle w:val="7"/>
                    <w:numPr>
                      <w:ilvl w:val="0"/>
                      <w:numId w:val="2"/>
                    </w:numPr>
                    <w:spacing w:before="0" w:after="0" w:line="240" w:lineRule="auto"/>
                    <w:ind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坚持创新驱动，提升自主可控能力</w:t>
                  </w:r>
                  <w:r>
                    <w:rPr>
                      <w:rFonts w:hint="eastAsia" w:ascii="Times New Roman" w:hAnsi="Times New Roman" w:eastAsia="宋体" w:cs="Times New Roman"/>
                      <w:color w:val="auto"/>
                      <w:kern w:val="2"/>
                      <w:sz w:val="21"/>
                      <w:szCs w:val="21"/>
                      <w:lang w:val="en-US" w:eastAsia="zh-CN"/>
                    </w:rPr>
                    <w:t>。</w:t>
                  </w:r>
                </w:p>
                <w:p w14:paraId="6E8FF3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69F481C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发展先进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w:t>
                  </w:r>
                </w:p>
              </w:tc>
              <w:tc>
                <w:tcPr>
                  <w:tcW w:w="1138" w:type="pct"/>
                  <w:gridSpan w:val="2"/>
                  <w:vAlign w:val="center"/>
                </w:tcPr>
                <w:p w14:paraId="105D480D">
                  <w:pPr>
                    <w:snapToGrid w:val="0"/>
                    <w:jc w:val="center"/>
                    <w:rPr>
                      <w:rFonts w:hint="default" w:cs="宋体"/>
                      <w:color w:val="auto"/>
                      <w:szCs w:val="21"/>
                      <w:highlight w:val="none"/>
                      <w:lang w:val="en-US" w:eastAsia="zh-CN"/>
                    </w:rPr>
                  </w:pPr>
                  <w:r>
                    <w:rPr>
                      <w:rFonts w:hint="eastAsia" w:cs="Times New Roman"/>
                      <w:bCs/>
                      <w:color w:val="auto"/>
                      <w:szCs w:val="21"/>
                      <w:lang w:val="en-US" w:eastAsia="zh-CN"/>
                    </w:rPr>
                    <w:t>本项目为</w:t>
                  </w:r>
                  <w:r>
                    <w:rPr>
                      <w:rFonts w:hint="eastAsia" w:ascii="Times New Roman" w:hAnsi="Times New Roman" w:eastAsia="宋体" w:cs="Times New Roman"/>
                      <w:color w:val="auto"/>
                      <w:kern w:val="2"/>
                      <w:sz w:val="21"/>
                      <w:szCs w:val="21"/>
                      <w:lang w:val="en-US" w:eastAsia="zh-CN"/>
                    </w:rPr>
                    <w:t>高压</w:t>
                  </w:r>
                  <w:r>
                    <w:rPr>
                      <w:rFonts w:hint="eastAsia" w:cs="Times New Roman"/>
                      <w:bCs/>
                      <w:color w:val="auto"/>
                      <w:szCs w:val="21"/>
                      <w:lang w:val="en-US" w:eastAsia="zh-CN"/>
                    </w:rPr>
                    <w:t>铸造，属于先进工艺与装备。</w:t>
                  </w:r>
                </w:p>
              </w:tc>
            </w:tr>
            <w:tr w14:paraId="65A32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6E808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r>
                    <w:rPr>
                      <w:rFonts w:hint="default" w:ascii="Times New Roman" w:hAnsi="Times New Roman" w:eastAsia="宋体" w:cs="Times New Roman"/>
                      <w:color w:val="auto"/>
                      <w:kern w:val="2"/>
                      <w:sz w:val="21"/>
                      <w:szCs w:val="21"/>
                      <w:lang w:val="en-US" w:eastAsia="zh-CN"/>
                    </w:rPr>
                    <w:t>（二）坚持规范发展，推进产业结构优化</w:t>
                  </w:r>
                </w:p>
              </w:tc>
              <w:tc>
                <w:tcPr>
                  <w:tcW w:w="2970" w:type="pct"/>
                  <w:gridSpan w:val="3"/>
                  <w:vAlign w:val="center"/>
                </w:tcPr>
                <w:p w14:paraId="056A02F2">
                  <w:pPr>
                    <w:pStyle w:val="7"/>
                    <w:keepNext w:val="0"/>
                    <w:keepLines w:val="0"/>
                    <w:pageBreakBefore w:val="0"/>
                    <w:kinsoku/>
                    <w:wordWrap/>
                    <w:overflowPunct/>
                    <w:topLinePunct w:val="0"/>
                    <w:autoSpaceDE/>
                    <w:autoSpaceDN/>
                    <w:bidi w:val="0"/>
                    <w:adjustRightInd/>
                    <w:snapToGrid w:val="0"/>
                    <w:spacing w:before="0" w:after="0" w:line="290" w:lineRule="exact"/>
                    <w:ind w:right="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zh-CN" w:eastAsia="zh-CN"/>
                    </w:rPr>
                    <w:t>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0.25吨）铝壳中频感应电炉等落后工艺装备。新建、改扩建项目单位产品的能耗、物耗、水耗、资源综合利用和污染物排放量等指标应符合相关法律法规标准要求。</w:t>
                  </w:r>
                </w:p>
              </w:tc>
              <w:tc>
                <w:tcPr>
                  <w:tcW w:w="1138" w:type="pct"/>
                  <w:gridSpan w:val="2"/>
                  <w:vAlign w:val="center"/>
                </w:tcPr>
                <w:p w14:paraId="209B7941">
                  <w:pPr>
                    <w:keepNext w:val="0"/>
                    <w:keepLines w:val="0"/>
                    <w:pageBreakBefore w:val="0"/>
                    <w:kinsoku/>
                    <w:wordWrap/>
                    <w:overflowPunct/>
                    <w:topLinePunct w:val="0"/>
                    <w:autoSpaceDE/>
                    <w:autoSpaceDN/>
                    <w:bidi w:val="0"/>
                    <w:adjustRightInd/>
                    <w:snapToGrid w:val="0"/>
                    <w:spacing w:line="290" w:lineRule="exact"/>
                    <w:jc w:val="center"/>
                    <w:textAlignment w:val="auto"/>
                    <w:rPr>
                      <w:rFonts w:hint="default" w:cs="宋体"/>
                      <w:color w:val="auto"/>
                      <w:szCs w:val="21"/>
                      <w:highlight w:val="none"/>
                      <w:lang w:val="en-US" w:eastAsia="zh-CN"/>
                    </w:rPr>
                  </w:pPr>
                  <w:r>
                    <w:rPr>
                      <w:rFonts w:hint="eastAsia" w:cs="Times New Roman"/>
                      <w:bCs/>
                      <w:color w:val="auto"/>
                      <w:szCs w:val="21"/>
                      <w:lang w:val="en-US" w:eastAsia="zh-CN"/>
                    </w:rPr>
                    <w:t>本项目将</w:t>
                  </w:r>
                  <w:r>
                    <w:rPr>
                      <w:rFonts w:hint="default" w:ascii="Times New Roman" w:hAnsi="Times New Roman" w:eastAsia="宋体" w:cs="Times New Roman"/>
                      <w:color w:val="auto"/>
                      <w:kern w:val="2"/>
                      <w:sz w:val="21"/>
                      <w:szCs w:val="21"/>
                      <w:lang w:val="zh-CN" w:eastAsia="zh-CN"/>
                    </w:rPr>
                    <w:t>严格执行节能、环保、质量、安全技术等相关法律法规标准和《产业结构调整指导目录》中限制类、淘汰类目录</w:t>
                  </w:r>
                  <w:r>
                    <w:rPr>
                      <w:rFonts w:hint="eastAsia" w:ascii="Times New Roman" w:hAnsi="Times New Roman" w:eastAsia="宋体" w:cs="Times New Roman"/>
                      <w:color w:val="auto"/>
                      <w:kern w:val="2"/>
                      <w:sz w:val="21"/>
                      <w:szCs w:val="21"/>
                      <w:lang w:val="zh-CN" w:eastAsia="zh-CN"/>
                    </w:rPr>
                    <w:t>。</w:t>
                  </w:r>
                  <w:r>
                    <w:rPr>
                      <w:rFonts w:hint="eastAsia" w:ascii="Times New Roman" w:hAnsi="Times New Roman" w:eastAsia="宋体" w:cs="Times New Roman"/>
                      <w:color w:val="auto"/>
                      <w:kern w:val="2"/>
                      <w:sz w:val="21"/>
                      <w:szCs w:val="21"/>
                      <w:lang w:val="en-US" w:eastAsia="zh-CN"/>
                    </w:rPr>
                    <w:t>各工段废气均得到有效处置。符合相关法律法规标准要求。</w:t>
                  </w:r>
                </w:p>
              </w:tc>
            </w:tr>
            <w:tr w14:paraId="54C98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EE929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611BF1C7">
                  <w:pPr>
                    <w:pStyle w:val="7"/>
                    <w:keepNext w:val="0"/>
                    <w:keepLines w:val="0"/>
                    <w:pageBreakBefore w:val="0"/>
                    <w:kinsoku/>
                    <w:wordWrap/>
                    <w:overflowPunct/>
                    <w:topLinePunct w:val="0"/>
                    <w:autoSpaceDE/>
                    <w:autoSpaceDN/>
                    <w:bidi w:val="0"/>
                    <w:adjustRightInd/>
                    <w:snapToGrid w:val="0"/>
                    <w:spacing w:before="0" w:after="0" w:line="290" w:lineRule="exact"/>
                    <w:ind w:right="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zh-CN" w:eastAsia="zh-CN"/>
                    </w:rPr>
                    <w:t>2.加强项目建设服务。各级发展改革、工业和信息化、生态环境、应急管理、行政审批部门要依照《江苏省企业投资项目核准和备案管理办法》《江苏省建设项目环境影响评价文件分级审批管理办法》《江苏省固定资产投资项目节能审查实施办法》《排污许可管理条例》《建设项目安全设施“三同时”监督管理办法》等文件要求开展项目服务，确保新建、改扩建项目备案、环评、排污许可、安评、节能审查等手续合规、完备，项目建设符合相关法律法规标准要求。加快存量项目升级改造，推进企业选择低污染、低能耗、经济高效的先进工艺技术，提升行业竞争能力。</w:t>
                  </w:r>
                </w:p>
              </w:tc>
              <w:tc>
                <w:tcPr>
                  <w:tcW w:w="1138" w:type="pct"/>
                  <w:gridSpan w:val="2"/>
                  <w:vAlign w:val="center"/>
                </w:tcPr>
                <w:p w14:paraId="3F1898EA">
                  <w:pPr>
                    <w:keepNext w:val="0"/>
                    <w:keepLines w:val="0"/>
                    <w:pageBreakBefore w:val="0"/>
                    <w:kinsoku/>
                    <w:wordWrap/>
                    <w:overflowPunct/>
                    <w:topLinePunct w:val="0"/>
                    <w:autoSpaceDE/>
                    <w:autoSpaceDN/>
                    <w:bidi w:val="0"/>
                    <w:adjustRightInd/>
                    <w:snapToGrid w:val="0"/>
                    <w:spacing w:line="290" w:lineRule="exact"/>
                    <w:jc w:val="center"/>
                    <w:textAlignment w:val="auto"/>
                    <w:rPr>
                      <w:rFonts w:hint="default" w:cs="宋体"/>
                      <w:color w:val="auto"/>
                      <w:szCs w:val="21"/>
                      <w:highlight w:val="none"/>
                      <w:lang w:val="en-US" w:eastAsia="zh-CN"/>
                    </w:rPr>
                  </w:pPr>
                  <w:r>
                    <w:rPr>
                      <w:rFonts w:hint="eastAsia" w:ascii="Times New Roman" w:hAnsi="Times New Roman" w:cs="Times New Roman"/>
                      <w:color w:val="auto"/>
                      <w:sz w:val="21"/>
                      <w:szCs w:val="21"/>
                      <w:lang w:val="en-US" w:eastAsia="zh-CN"/>
                    </w:rPr>
                    <w:t>项目已取得</w:t>
                  </w:r>
                  <w:r>
                    <w:rPr>
                      <w:rFonts w:hint="eastAsia" w:cs="宋体"/>
                      <w:color w:val="auto"/>
                      <w:szCs w:val="21"/>
                      <w:highlight w:val="none"/>
                      <w:lang w:val="en-US" w:eastAsia="zh-CN"/>
                    </w:rPr>
                    <w:t>江苏金坛经济开发区经济发展局</w:t>
                  </w:r>
                  <w:r>
                    <w:rPr>
                      <w:rFonts w:hint="eastAsia" w:ascii="Times New Roman" w:hAnsi="Times New Roman" w:cs="Times New Roman"/>
                      <w:color w:val="auto"/>
                      <w:sz w:val="21"/>
                      <w:szCs w:val="21"/>
                      <w:lang w:val="en-US" w:eastAsia="zh-CN"/>
                    </w:rPr>
                    <w:t>出具的备案证（备案证编号：</w:t>
                  </w:r>
                  <w:r>
                    <w:rPr>
                      <w:rFonts w:hint="eastAsia" w:cs="宋体"/>
                      <w:color w:val="auto"/>
                      <w:szCs w:val="21"/>
                      <w:highlight w:val="none"/>
                      <w:lang w:val="en-US" w:eastAsia="zh-CN"/>
                    </w:rPr>
                    <w:t>坛开经发</w:t>
                  </w:r>
                  <w:r>
                    <w:rPr>
                      <w:rFonts w:hint="eastAsia" w:ascii="Times New Roman" w:hAnsi="Times New Roman" w:eastAsia="宋体" w:cs="宋体"/>
                      <w:color w:val="auto"/>
                      <w:szCs w:val="21"/>
                      <w:highlight w:val="none"/>
                    </w:rPr>
                    <w:t>备</w:t>
                  </w:r>
                  <w:r>
                    <w:rPr>
                      <w:rFonts w:hint="eastAsia" w:cs="宋体"/>
                      <w:color w:val="auto"/>
                      <w:szCs w:val="21"/>
                      <w:highlight w:val="none"/>
                      <w:lang w:val="en-US" w:eastAsia="zh-CN"/>
                    </w:rPr>
                    <w:t>字</w:t>
                  </w:r>
                  <w:r>
                    <w:rPr>
                      <w:rFonts w:hint="eastAsia" w:ascii="Times New Roman" w:hAnsi="Times New Roman" w:eastAsia="宋体" w:cs="宋体"/>
                      <w:color w:val="auto"/>
                      <w:szCs w:val="21"/>
                      <w:highlight w:val="none"/>
                    </w:rPr>
                    <w:t>〔2024〕</w:t>
                  </w:r>
                  <w:r>
                    <w:rPr>
                      <w:rFonts w:hint="eastAsia" w:cs="宋体"/>
                      <w:color w:val="auto"/>
                      <w:szCs w:val="21"/>
                      <w:highlight w:val="none"/>
                      <w:lang w:val="en-US" w:eastAsia="zh-CN"/>
                    </w:rPr>
                    <w:t>135</w:t>
                  </w:r>
                  <w:r>
                    <w:rPr>
                      <w:rFonts w:hint="eastAsia" w:ascii="Times New Roman" w:hAnsi="Times New Roman" w:eastAsia="宋体" w:cs="宋体"/>
                      <w:color w:val="auto"/>
                      <w:szCs w:val="21"/>
                      <w:highlight w:val="none"/>
                    </w:rPr>
                    <w:t>号</w:t>
                  </w:r>
                  <w:r>
                    <w:rPr>
                      <w:rFonts w:hint="eastAsia" w:ascii="Times New Roman" w:hAnsi="Times New Roman" w:cs="Times New Roman"/>
                      <w:color w:val="auto"/>
                      <w:sz w:val="21"/>
                      <w:szCs w:val="21"/>
                      <w:lang w:val="en-US" w:eastAsia="zh-CN"/>
                    </w:rPr>
                    <w:t>，项目编号：</w:t>
                  </w:r>
                  <w:r>
                    <w:rPr>
                      <w:rFonts w:hint="eastAsia" w:ascii="Times New Roman" w:hAnsi="Times New Roman" w:eastAsia="宋体" w:cs="宋体"/>
                      <w:color w:val="auto"/>
                      <w:szCs w:val="21"/>
                      <w:highlight w:val="none"/>
                      <w:lang w:val="en-US" w:eastAsia="zh-CN"/>
                    </w:rPr>
                    <w:t>240</w:t>
                  </w:r>
                  <w:r>
                    <w:rPr>
                      <w:rFonts w:hint="eastAsia" w:cs="宋体"/>
                      <w:color w:val="auto"/>
                      <w:szCs w:val="21"/>
                      <w:highlight w:val="none"/>
                      <w:lang w:val="en-US" w:eastAsia="zh-CN"/>
                    </w:rPr>
                    <w:t>6</w:t>
                  </w:r>
                  <w:r>
                    <w:rPr>
                      <w:rFonts w:hint="eastAsia" w:ascii="Times New Roman" w:hAnsi="Times New Roman" w:eastAsia="宋体" w:cs="宋体"/>
                      <w:color w:val="auto"/>
                      <w:szCs w:val="21"/>
                      <w:highlight w:val="none"/>
                      <w:lang w:val="en-US" w:eastAsia="zh-CN"/>
                    </w:rPr>
                    <w:t>-3204</w:t>
                  </w:r>
                  <w:r>
                    <w:rPr>
                      <w:rFonts w:hint="eastAsia" w:cs="宋体"/>
                      <w:color w:val="auto"/>
                      <w:szCs w:val="21"/>
                      <w:highlight w:val="none"/>
                      <w:lang w:val="en-US" w:eastAsia="zh-CN"/>
                    </w:rPr>
                    <w:t>58</w:t>
                  </w:r>
                  <w:r>
                    <w:rPr>
                      <w:rFonts w:hint="eastAsia" w:ascii="Times New Roman" w:hAnsi="Times New Roman" w:eastAsia="宋体" w:cs="宋体"/>
                      <w:color w:val="auto"/>
                      <w:szCs w:val="21"/>
                      <w:highlight w:val="none"/>
                      <w:lang w:val="en-US" w:eastAsia="zh-CN"/>
                    </w:rPr>
                    <w:t>-89-0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623480</w:t>
                  </w:r>
                  <w:r>
                    <w:rPr>
                      <w:rFonts w:hint="eastAsia" w:ascii="Times New Roman" w:hAnsi="Times New Roman" w:cs="Times New Roman"/>
                      <w:color w:val="auto"/>
                      <w:sz w:val="21"/>
                      <w:szCs w:val="21"/>
                      <w:lang w:val="en-US" w:eastAsia="zh-CN"/>
                    </w:rPr>
                    <w:t>）。</w:t>
                  </w:r>
                </w:p>
              </w:tc>
            </w:tr>
            <w:tr w14:paraId="09DA3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5" w:hRule="atLeast"/>
              </w:trPr>
              <w:tc>
                <w:tcPr>
                  <w:tcW w:w="891" w:type="pct"/>
                  <w:gridSpan w:val="2"/>
                  <w:vMerge w:val="continue"/>
                  <w:vAlign w:val="center"/>
                </w:tcPr>
                <w:p w14:paraId="6EAFA3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2970" w:type="pct"/>
                  <w:gridSpan w:val="3"/>
                  <w:vAlign w:val="center"/>
                </w:tcPr>
                <w:p w14:paraId="26449881">
                  <w:pPr>
                    <w:keepNext w:val="0"/>
                    <w:keepLines w:val="0"/>
                    <w:pageBreakBefore w:val="0"/>
                    <w:widowControl w:val="0"/>
                    <w:kinsoku/>
                    <w:wordWrap/>
                    <w:overflowPunct/>
                    <w:topLinePunct w:val="0"/>
                    <w:autoSpaceDE/>
                    <w:autoSpaceDN/>
                    <w:bidi w:val="0"/>
                    <w:adjustRightInd/>
                    <w:snapToGrid w:val="0"/>
                    <w:spacing w:line="290" w:lineRule="exact"/>
                    <w:ind w:firstLine="420" w:firstLineChars="200"/>
                    <w:jc w:val="left"/>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zh-CN" w:eastAsia="zh-CN"/>
                    </w:rPr>
                    <w:t>加大环保治理力度。铸造和锻压企业应当依法申领排污许可证，严格持证排污、按证排污并按排污许可证规定落实自行监测、记录报告、信息公开等要求。铸造企业应当严格执行《铸造工业大气污染物排放标准》（GB 39726-2020）及地方标准，加强无组织排放控制。不能稳定达标排放的，限期完成设施升级改造；不具备改造条件及改造后仍不能达标的，依法依规关停退出。</w:t>
                  </w:r>
                </w:p>
              </w:tc>
              <w:tc>
                <w:tcPr>
                  <w:tcW w:w="1138" w:type="pct"/>
                  <w:gridSpan w:val="2"/>
                  <w:vAlign w:val="center"/>
                </w:tcPr>
                <w:p w14:paraId="30BC6856">
                  <w:pPr>
                    <w:keepNext w:val="0"/>
                    <w:keepLines w:val="0"/>
                    <w:pageBreakBefore w:val="0"/>
                    <w:kinsoku/>
                    <w:wordWrap/>
                    <w:overflowPunct/>
                    <w:topLinePunct w:val="0"/>
                    <w:autoSpaceDE/>
                    <w:autoSpaceDN/>
                    <w:bidi w:val="0"/>
                    <w:adjustRightInd/>
                    <w:snapToGrid w:val="0"/>
                    <w:spacing w:line="290" w:lineRule="exact"/>
                    <w:jc w:val="center"/>
                    <w:textAlignment w:val="auto"/>
                    <w:rPr>
                      <w:rFonts w:hint="default" w:cs="宋体"/>
                      <w:color w:val="auto"/>
                      <w:szCs w:val="21"/>
                      <w:highlight w:val="none"/>
                      <w:lang w:val="en-US" w:eastAsia="zh-CN"/>
                    </w:rPr>
                  </w:pPr>
                  <w:r>
                    <w:rPr>
                      <w:rFonts w:hint="eastAsia" w:ascii="Times New Roman" w:hAnsi="Times New Roman" w:eastAsia="宋体" w:cs="Times New Roman"/>
                      <w:color w:val="auto"/>
                      <w:spacing w:val="-6"/>
                      <w:kern w:val="2"/>
                      <w:sz w:val="21"/>
                      <w:szCs w:val="21"/>
                      <w:lang w:val="en-US" w:eastAsia="zh-CN"/>
                    </w:rPr>
                    <w:t>企业于2020年6月22日申领了排污许可证，并于2023年5月31日办理了延续手续，许可证编号：</w:t>
                  </w:r>
                  <w:r>
                    <w:rPr>
                      <w:rFonts w:hint="eastAsia" w:ascii="Times New Roman" w:hAnsi="Times New Roman" w:eastAsia="宋体" w:cs="Times New Roman"/>
                      <w:color w:val="auto"/>
                      <w:kern w:val="2"/>
                      <w:sz w:val="21"/>
                      <w:szCs w:val="21"/>
                      <w:lang w:val="en-US" w:eastAsia="zh-CN"/>
                    </w:rPr>
                    <w:t>91320413323641574X001U。污染物排放严格执行</w:t>
                  </w:r>
                  <w:r>
                    <w:rPr>
                      <w:rFonts w:hint="default" w:ascii="Times New Roman" w:hAnsi="Times New Roman" w:eastAsia="宋体" w:cs="Times New Roman"/>
                      <w:color w:val="auto"/>
                      <w:kern w:val="2"/>
                      <w:sz w:val="21"/>
                      <w:szCs w:val="21"/>
                      <w:lang w:val="zh-CN" w:eastAsia="zh-CN"/>
                    </w:rPr>
                    <w:t>铸造工业大气污染物排放标准》</w:t>
                  </w:r>
                  <w:r>
                    <w:rPr>
                      <w:rFonts w:hint="default" w:ascii="Times New Roman" w:hAnsi="Times New Roman" w:eastAsia="宋体" w:cs="Times New Roman"/>
                      <w:color w:val="auto"/>
                      <w:spacing w:val="-6"/>
                      <w:kern w:val="2"/>
                      <w:sz w:val="21"/>
                      <w:szCs w:val="21"/>
                      <w:lang w:val="zh-CN" w:eastAsia="zh-CN"/>
                    </w:rPr>
                    <w:t>（GB39726-2020）</w:t>
                  </w:r>
                  <w:r>
                    <w:rPr>
                      <w:rFonts w:hint="default" w:ascii="Times New Roman" w:hAnsi="Times New Roman" w:eastAsia="宋体" w:cs="Times New Roman"/>
                      <w:color w:val="auto"/>
                      <w:kern w:val="2"/>
                      <w:sz w:val="21"/>
                      <w:szCs w:val="21"/>
                      <w:lang w:val="zh-CN" w:eastAsia="zh-CN"/>
                    </w:rPr>
                    <w:t>及地方标准</w:t>
                  </w:r>
                  <w:r>
                    <w:rPr>
                      <w:rFonts w:hint="eastAsia" w:ascii="Times New Roman" w:hAnsi="Times New Roman" w:eastAsia="宋体" w:cs="Times New Roman"/>
                      <w:color w:val="auto"/>
                      <w:kern w:val="2"/>
                      <w:sz w:val="21"/>
                      <w:szCs w:val="21"/>
                      <w:lang w:val="zh-CN" w:eastAsia="zh-CN"/>
                    </w:rPr>
                    <w:t>。</w:t>
                  </w:r>
                </w:p>
              </w:tc>
            </w:tr>
            <w:tr w14:paraId="61CD3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53E194B1">
                  <w:pPr>
                    <w:snapToGrid w:val="0"/>
                    <w:jc w:val="center"/>
                    <w:rPr>
                      <w:rFonts w:hint="eastAsia" w:ascii="Times New Roman" w:hAnsi="Times New Roman" w:eastAsia="宋体" w:cs="Times New Roman"/>
                      <w:color w:val="auto"/>
                      <w:kern w:val="2"/>
                      <w:sz w:val="21"/>
                      <w:szCs w:val="21"/>
                      <w:lang w:val="en-US" w:eastAsia="zh-CN"/>
                    </w:rPr>
                  </w:pPr>
                  <w:r>
                    <w:rPr>
                      <w:rFonts w:hint="eastAsia"/>
                      <w:b/>
                      <w:bCs/>
                      <w:color w:val="auto"/>
                      <w:sz w:val="21"/>
                      <w:szCs w:val="21"/>
                      <w:lang w:val="en-US" w:eastAsia="zh-CN"/>
                    </w:rPr>
                    <w:t>常州市“危污乱散低”专项治理领导小组办公室铸造行业“危污乱散低”综合治理联席会议纪要（2023年第2号）</w:t>
                  </w:r>
                </w:p>
              </w:tc>
            </w:tr>
            <w:tr w14:paraId="6A135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01B49B34">
                  <w:pPr>
                    <w:pStyle w:val="7"/>
                    <w:spacing w:before="0" w:after="0" w:line="240" w:lineRule="auto"/>
                    <w:ind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一、确立我市开展新建、技术改造铸造项目的评审原则，明确我市铸造行业发展目标</w:t>
                  </w:r>
                </w:p>
                <w:p w14:paraId="2AFCCC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1B0A652F">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优化产业布局。强化铸造与装备制造业协同布局，支持企业围绕主机厂或重大项目配套生产，鼓励布局新能源、高端装备制造等行业铸件制造，提升产业链供应链协同配套能力，构建布局合理、供需联动、协同发展的产业格局。</w:t>
                  </w:r>
                </w:p>
              </w:tc>
              <w:tc>
                <w:tcPr>
                  <w:tcW w:w="1078" w:type="pct"/>
                  <w:vAlign w:val="center"/>
                </w:tcPr>
                <w:p w14:paraId="535AED51">
                  <w:pPr>
                    <w:snapToGrid w:val="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bCs/>
                      <w:color w:val="auto"/>
                      <w:szCs w:val="21"/>
                    </w:rPr>
                    <w:t>本项目位于常州市金坛区河山环路26号，</w:t>
                  </w:r>
                  <w:r>
                    <w:rPr>
                      <w:rFonts w:hint="eastAsia" w:cs="Times New Roman"/>
                      <w:bCs/>
                      <w:color w:val="auto"/>
                      <w:szCs w:val="21"/>
                      <w:lang w:val="en-US" w:eastAsia="zh-CN"/>
                    </w:rPr>
                    <w:t>属于金坛经济开发区规划范围，与金坛经济开发区产业定位相符。</w:t>
                  </w:r>
                </w:p>
              </w:tc>
            </w:tr>
            <w:tr w14:paraId="1C23E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45DE5F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5F7B6936">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严格项目审批。支持高端项目建设，鼓励企业在重点领域高端铸件产品取得突破，掌握一批具有自主知识产权的核心技术。严格落实主要污染物排放总量控制、能源消耗总量和强度调控制度，鼓励企业参照《铸造企业规范条件》（T/CFA 0310021）发展，坚决遏制不符合要求的项目盲目发展和低水平重复建设，防止产能盲目扩张。严格审批新建、改扩建项目，确保项目备案、环评、排污许可、安评、节能审查等手续清晰、完备，项目建设符合国家相关法律法规标准要求。</w:t>
                  </w:r>
                </w:p>
              </w:tc>
              <w:tc>
                <w:tcPr>
                  <w:tcW w:w="1078" w:type="pct"/>
                  <w:vAlign w:val="center"/>
                </w:tcPr>
                <w:p w14:paraId="7C0D8B67">
                  <w:pPr>
                    <w:snapToGrid w:val="0"/>
                    <w:jc w:val="center"/>
                    <w:rPr>
                      <w:rFonts w:hint="eastAsia" w:ascii="Times New Roman" w:hAnsi="Times New Roman" w:eastAsia="宋体" w:cs="Times New Roman"/>
                      <w:color w:val="auto"/>
                      <w:kern w:val="2"/>
                      <w:sz w:val="21"/>
                      <w:szCs w:val="21"/>
                      <w:lang w:val="en-US" w:eastAsia="zh-CN"/>
                    </w:rPr>
                  </w:pPr>
                  <w:r>
                    <w:rPr>
                      <w:rFonts w:hint="eastAsia" w:cs="Times New Roman"/>
                      <w:bCs/>
                      <w:color w:val="auto"/>
                      <w:szCs w:val="21"/>
                      <w:lang w:val="en-US" w:eastAsia="zh-CN"/>
                    </w:rPr>
                    <w:t>本项目已对照</w:t>
                  </w:r>
                  <w:r>
                    <w:rPr>
                      <w:rFonts w:hint="eastAsia" w:ascii="Times New Roman" w:hAnsi="Times New Roman" w:eastAsia="宋体" w:cs="Times New Roman"/>
                      <w:color w:val="auto"/>
                      <w:kern w:val="2"/>
                      <w:sz w:val="21"/>
                      <w:szCs w:val="21"/>
                      <w:lang w:val="en-US" w:eastAsia="zh-CN"/>
                    </w:rPr>
                    <w:t>《铸造企业规范条件》（T/CFA 0310021），符合相关法律法规标准要求。</w:t>
                  </w:r>
                </w:p>
              </w:tc>
            </w:tr>
            <w:tr w14:paraId="4C48D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9A4F2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36643A14">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推进存量升级。提高行业创新能力，鼓励企业开展关键核心技术攻关，聚焦国家战略和产业发展需求，实施产业基础再造工程；引导企业发展先进铸造工艺与装备，推进企业合理选择低污染、低能耗、经济高效的先进工艺技术，提升行业竞争能力；鼓励行业绿色发展加快绿色低碳转型，推进绿色方式贯穿铸造生产全流程；推进行业智能化改造，加快新一代信息技术与铸造生产全过程、全要素深度融合。</w:t>
                  </w:r>
                </w:p>
              </w:tc>
              <w:tc>
                <w:tcPr>
                  <w:tcW w:w="1078" w:type="pct"/>
                  <w:vAlign w:val="center"/>
                </w:tcPr>
                <w:p w14:paraId="6E2F5DAF">
                  <w:pPr>
                    <w:snapToGrid w:val="0"/>
                    <w:jc w:val="center"/>
                    <w:rPr>
                      <w:rFonts w:hint="eastAsia" w:ascii="Times New Roman" w:hAnsi="Times New Roman" w:eastAsia="宋体" w:cs="Times New Roman"/>
                      <w:color w:val="auto"/>
                      <w:kern w:val="2"/>
                      <w:sz w:val="21"/>
                      <w:szCs w:val="21"/>
                      <w:lang w:val="en-US" w:eastAsia="zh-CN"/>
                    </w:rPr>
                  </w:pPr>
                  <w:r>
                    <w:rPr>
                      <w:rFonts w:hint="eastAsia" w:cs="Times New Roman"/>
                      <w:bCs/>
                      <w:color w:val="auto"/>
                      <w:szCs w:val="21"/>
                      <w:lang w:val="en-US" w:eastAsia="zh-CN"/>
                    </w:rPr>
                    <w:t>本项目为高压铸造，属于先进铸造工艺与装备。</w:t>
                  </w:r>
                </w:p>
              </w:tc>
            </w:tr>
            <w:tr w14:paraId="7114D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3FB605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0BCE1A7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加快项目淘汰。严格执行节能、环保、质量、安全技术等相关法律法规标准和《产业结构调整指导目录》等政策，依法依规淘汰工艺装备落后、污染物排放不达标、生产安全无保障的落后产能；严格执行《铸造工业大气污染物排放标准》（GB39726）及地方排放标准，加强无组织排放控制，不能稳定达标排放的，限期完成设施升级改造，不具备改造条件及改造后仍不能达标的，依法依规进行淘汰。</w:t>
                  </w:r>
                </w:p>
              </w:tc>
              <w:tc>
                <w:tcPr>
                  <w:tcW w:w="1078" w:type="pct"/>
                  <w:vAlign w:val="center"/>
                </w:tcPr>
                <w:p w14:paraId="405F985E">
                  <w:pPr>
                    <w:snapToGrid w:val="0"/>
                    <w:jc w:val="center"/>
                    <w:rPr>
                      <w:rFonts w:hint="eastAsia" w:ascii="Times New Roman" w:hAnsi="Times New Roman" w:eastAsia="宋体" w:cs="Times New Roman"/>
                      <w:color w:val="auto"/>
                      <w:kern w:val="2"/>
                      <w:sz w:val="21"/>
                      <w:szCs w:val="21"/>
                      <w:lang w:val="en-US" w:eastAsia="zh-CN"/>
                    </w:rPr>
                  </w:pPr>
                  <w:r>
                    <w:rPr>
                      <w:rFonts w:hint="eastAsia" w:cs="Times New Roman"/>
                      <w:bCs/>
                      <w:color w:val="auto"/>
                      <w:szCs w:val="21"/>
                      <w:lang w:val="en-US" w:eastAsia="zh-CN"/>
                    </w:rPr>
                    <w:t>本项目不涉及工艺装备</w:t>
                  </w:r>
                  <w:r>
                    <w:rPr>
                      <w:rFonts w:hint="eastAsia" w:ascii="Times New Roman" w:hAnsi="Times New Roman" w:eastAsia="宋体" w:cs="Times New Roman"/>
                      <w:color w:val="auto"/>
                      <w:kern w:val="2"/>
                      <w:sz w:val="21"/>
                      <w:szCs w:val="21"/>
                      <w:lang w:val="en-US" w:eastAsia="zh-CN"/>
                    </w:rPr>
                    <w:t>、污染物排放不达标、生产安全无保障的落后产能。</w:t>
                  </w:r>
                </w:p>
              </w:tc>
            </w:tr>
            <w:tr w14:paraId="235C9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restart"/>
                  <w:vAlign w:val="center"/>
                </w:tcPr>
                <w:p w14:paraId="2DEC7AF5">
                  <w:pPr>
                    <w:pStyle w:val="7"/>
                    <w:spacing w:before="0" w:after="0" w:line="240" w:lineRule="auto"/>
                    <w:ind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二、新建、技术改造铸造项目在装备技术水平、污染物排放、能源消费、安全生产等方面的详细要求</w:t>
                  </w:r>
                </w:p>
                <w:p w14:paraId="3CC84A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5342AA4D">
                  <w:pPr>
                    <w:keepNext w:val="0"/>
                    <w:keepLines w:val="0"/>
                    <w:pageBreakBefore w:val="0"/>
                    <w:widowControl w:val="0"/>
                    <w:kinsoku/>
                    <w:wordWrap/>
                    <w:overflowPunct/>
                    <w:topLinePunct w:val="0"/>
                    <w:autoSpaceDE/>
                    <w:autoSpaceDN/>
                    <w:bidi w:val="0"/>
                    <w:adjustRightInd/>
                    <w:snapToGrid w:val="0"/>
                    <w:spacing w:line="260" w:lineRule="exact"/>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装备技术水平方面。符合国家有关产业政策，具备先进的生产工艺、装备技术水平，原则上应当列入国家发改委《产业结构调整指导目录（2024年本）鼓励类》或《指导意见》中“发展先进铸造工艺与装备重点发展种类”（附件1）。</w:t>
                  </w:r>
                </w:p>
              </w:tc>
              <w:tc>
                <w:tcPr>
                  <w:tcW w:w="1078" w:type="pct"/>
                  <w:vAlign w:val="center"/>
                </w:tcPr>
                <w:p w14:paraId="165AD64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color w:val="auto"/>
                      <w:kern w:val="2"/>
                      <w:sz w:val="21"/>
                      <w:szCs w:val="21"/>
                      <w:lang w:val="en-US" w:eastAsia="zh-CN"/>
                    </w:rPr>
                  </w:pPr>
                  <w:r>
                    <w:rPr>
                      <w:rFonts w:hint="eastAsia" w:cs="Times New Roman"/>
                      <w:bCs/>
                      <w:color w:val="auto"/>
                      <w:szCs w:val="21"/>
                      <w:lang w:val="en-US" w:eastAsia="zh-CN"/>
                    </w:rPr>
                    <w:t>本项目为高压铸造，不属于《产业结构调整指导目录（2024年本）》中的“限制类”和“淘汰类”有关条款。</w:t>
                  </w:r>
                </w:p>
              </w:tc>
            </w:tr>
            <w:tr w14:paraId="54F69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05ABF6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6B0BA436">
                  <w:pPr>
                    <w:keepNext w:val="0"/>
                    <w:keepLines w:val="0"/>
                    <w:pageBreakBefore w:val="0"/>
                    <w:widowControl w:val="0"/>
                    <w:kinsoku/>
                    <w:wordWrap/>
                    <w:overflowPunct/>
                    <w:topLinePunct w:val="0"/>
                    <w:autoSpaceDE/>
                    <w:autoSpaceDN/>
                    <w:bidi w:val="0"/>
                    <w:adjustRightInd/>
                    <w:snapToGrid w:val="0"/>
                    <w:spacing w:line="260" w:lineRule="exact"/>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污染物排放方面。铸造项目应当符合国家安全生产相关法律法规和标准要求，并满足《铸造工业大气污染物排放标准》（GB39726）。鼓励企业采取低（无）挥发性有机物（VOCs）含量原辅材料的源头替代，确有需要的应当确保所有产生VOCs和颗粒物的工序应配备高效收集和处理装置，企业在物料储存、输送等环节，在保障安全生产的前提下，应采取密闭、封闭等有效措施控制无组织排放，全面实现铸造废砂再生循环利用。</w:t>
                  </w:r>
                </w:p>
              </w:tc>
              <w:tc>
                <w:tcPr>
                  <w:tcW w:w="1078" w:type="pct"/>
                  <w:vAlign w:val="center"/>
                </w:tcPr>
                <w:p w14:paraId="0C6A589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color w:val="auto"/>
                      <w:kern w:val="2"/>
                      <w:sz w:val="21"/>
                      <w:szCs w:val="21"/>
                      <w:lang w:val="en-US" w:eastAsia="zh-CN"/>
                    </w:rPr>
                  </w:pPr>
                  <w:r>
                    <w:rPr>
                      <w:rFonts w:hint="eastAsia" w:cs="Times New Roman"/>
                      <w:bCs/>
                      <w:color w:val="auto"/>
                      <w:szCs w:val="21"/>
                      <w:lang w:val="en-US" w:eastAsia="zh-CN"/>
                    </w:rPr>
                    <w:t>本项目废气均采取有效、可靠的治理措施治理后达标排放，铸造工序产生的废气执行《铸造工业大气污染物排放标准》（GB39726-2020）中的相关排放限值</w:t>
                  </w:r>
                </w:p>
              </w:tc>
            </w:tr>
            <w:tr w14:paraId="702F8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7C35A6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1506" w:type="pct"/>
                  <w:vAlign w:val="center"/>
                </w:tcPr>
                <w:p w14:paraId="4ACED82F">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能源消费方面。新建、技术改造铸造项目需符合绿色发展、低碳节能的生产理念，使用天然气或电力等清洁能源，严格控制能耗强度，用能设备达到一级能效水平标准，能耗强度不得高于《单位能耗限额江苏省地方标准》（附件2）铸造行业的准入标准。技术改造铸造项目实施后，能耗强度应当有所下降。</w:t>
                  </w:r>
                </w:p>
              </w:tc>
              <w:tc>
                <w:tcPr>
                  <w:tcW w:w="2602" w:type="pct"/>
                  <w:gridSpan w:val="4"/>
                  <w:vAlign w:val="center"/>
                </w:tcPr>
                <w:p w14:paraId="44D9A1C1">
                  <w:pPr>
                    <w:pStyle w:val="7"/>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aps w:val="0"/>
                      <w:smallCaps w:val="0"/>
                      <w:color w:val="auto"/>
                      <w:spacing w:val="0"/>
                      <w:kern w:val="2"/>
                      <w:sz w:val="21"/>
                      <w:szCs w:val="21"/>
                      <w:lang w:val="en-US" w:eastAsia="zh-CN"/>
                    </w:rPr>
                  </w:pPr>
                  <w:r>
                    <w:rPr>
                      <w:rFonts w:hint="default" w:ascii="Times New Roman" w:hAnsi="Times New Roman" w:eastAsia="宋体" w:cs="Times New Roman"/>
                      <w:caps w:val="0"/>
                      <w:smallCaps w:val="0"/>
                      <w:color w:val="auto"/>
                      <w:spacing w:val="0"/>
                      <w:kern w:val="2"/>
                      <w:sz w:val="21"/>
                      <w:szCs w:val="21"/>
                      <w:lang w:val="en-US" w:eastAsia="zh-CN"/>
                    </w:rPr>
                    <w:t>本项目产品为</w:t>
                  </w:r>
                  <w:r>
                    <w:rPr>
                      <w:rFonts w:hint="eastAsia" w:ascii="Times New Roman" w:hAnsi="Times New Roman" w:eastAsia="宋体" w:cs="Times New Roman"/>
                      <w:caps w:val="0"/>
                      <w:smallCaps w:val="0"/>
                      <w:color w:val="auto"/>
                      <w:spacing w:val="0"/>
                      <w:kern w:val="2"/>
                      <w:sz w:val="21"/>
                      <w:szCs w:val="21"/>
                      <w:lang w:val="en-US" w:eastAsia="zh-CN"/>
                    </w:rPr>
                    <w:t>铝铸件</w:t>
                  </w:r>
                  <w:r>
                    <w:rPr>
                      <w:rFonts w:hint="default" w:ascii="Times New Roman" w:hAnsi="Times New Roman" w:eastAsia="宋体" w:cs="Times New Roman"/>
                      <w:caps w:val="0"/>
                      <w:smallCaps w:val="0"/>
                      <w:color w:val="auto"/>
                      <w:spacing w:val="0"/>
                      <w:kern w:val="2"/>
                      <w:sz w:val="21"/>
                      <w:szCs w:val="21"/>
                      <w:lang w:val="en-US" w:eastAsia="zh-CN"/>
                    </w:rPr>
                    <w:t>，主要能耗种类有电力、新鲜水。预计正常生产年耗电47.181万kWh</w:t>
                  </w:r>
                  <w:r>
                    <w:rPr>
                      <w:rFonts w:hint="eastAsia" w:ascii="Times New Roman" w:hAnsi="Times New Roman" w:eastAsia="宋体" w:cs="Times New Roman"/>
                      <w:caps w:val="0"/>
                      <w:smallCaps w:val="0"/>
                      <w:color w:val="auto"/>
                      <w:spacing w:val="0"/>
                      <w:kern w:val="2"/>
                      <w:sz w:val="21"/>
                      <w:szCs w:val="21"/>
                      <w:lang w:val="en-US" w:eastAsia="zh-CN"/>
                    </w:rPr>
                    <w:t>，天然气10.811万m</w:t>
                  </w:r>
                  <w:r>
                    <w:rPr>
                      <w:rFonts w:hint="eastAsia" w:ascii="Times New Roman" w:hAnsi="Times New Roman" w:eastAsia="宋体" w:cs="Times New Roman"/>
                      <w:caps w:val="0"/>
                      <w:smallCaps w:val="0"/>
                      <w:color w:val="auto"/>
                      <w:spacing w:val="0"/>
                      <w:kern w:val="2"/>
                      <w:sz w:val="21"/>
                      <w:szCs w:val="21"/>
                      <w:vertAlign w:val="superscript"/>
                      <w:lang w:val="en-US" w:eastAsia="zh-CN"/>
                    </w:rPr>
                    <w:t>3</w:t>
                  </w:r>
                  <w:r>
                    <w:rPr>
                      <w:rFonts w:hint="default" w:ascii="Times New Roman" w:hAnsi="Times New Roman" w:eastAsia="宋体" w:cs="Times New Roman"/>
                      <w:caps w:val="0"/>
                      <w:smallCaps w:val="0"/>
                      <w:color w:val="auto"/>
                      <w:spacing w:val="0"/>
                      <w:kern w:val="2"/>
                      <w:sz w:val="21"/>
                      <w:szCs w:val="21"/>
                      <w:lang w:val="en-US" w:eastAsia="zh-CN"/>
                    </w:rPr>
                    <w:t>，新鲜水</w:t>
                  </w:r>
                  <w:r>
                    <w:rPr>
                      <w:rFonts w:hint="eastAsia" w:cs="Times New Roman"/>
                      <w:caps w:val="0"/>
                      <w:smallCaps w:val="0"/>
                      <w:color w:val="auto"/>
                      <w:spacing w:val="0"/>
                      <w:kern w:val="2"/>
                      <w:sz w:val="21"/>
                      <w:szCs w:val="21"/>
                      <w:lang w:val="en-US" w:eastAsia="zh-CN"/>
                    </w:rPr>
                    <w:t>63.39</w:t>
                  </w:r>
                  <w:r>
                    <w:rPr>
                      <w:rFonts w:hint="default" w:ascii="Times New Roman" w:hAnsi="Times New Roman" w:eastAsia="宋体" w:cs="Times New Roman"/>
                      <w:caps w:val="0"/>
                      <w:smallCaps w:val="0"/>
                      <w:color w:val="auto"/>
                      <w:spacing w:val="0"/>
                      <w:kern w:val="2"/>
                      <w:sz w:val="21"/>
                      <w:szCs w:val="21"/>
                      <w:lang w:val="en-US" w:eastAsia="zh-CN"/>
                    </w:rPr>
                    <w:t>吨。根据《固定资产投资项目节能评估和审查暂行办法》（国家发改委2016年第44号令），计算综合能耗时，电力折标系数按当量值计算。根据《综合能耗计算通则》（GB/T2589-2020）等相关标准规范，对本项目实际消耗的各种能源及耗能工质均按相应的能源等价值折算为一次能源（标准煤），具体的折标系数见下表。</w:t>
                  </w:r>
                </w:p>
                <w:p w14:paraId="464BD121">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aps w:val="0"/>
                      <w:smallCaps w:val="0"/>
                      <w:color w:val="auto"/>
                      <w:spacing w:val="0"/>
                      <w:kern w:val="0"/>
                      <w:sz w:val="21"/>
                      <w:szCs w:val="21"/>
                      <w:lang w:val="zh-CN"/>
                    </w:rPr>
                  </w:pPr>
                  <w:r>
                    <w:rPr>
                      <w:rFonts w:hint="default" w:ascii="Times New Roman" w:hAnsi="Times New Roman" w:eastAsia="宋体" w:cs="Times New Roman"/>
                      <w:b/>
                      <w:caps w:val="0"/>
                      <w:smallCaps w:val="0"/>
                      <w:color w:val="auto"/>
                      <w:spacing w:val="0"/>
                      <w:kern w:val="0"/>
                      <w:sz w:val="21"/>
                      <w:szCs w:val="21"/>
                      <w:lang w:val="zh-CN"/>
                    </w:rPr>
                    <w:t>本项目各种能源实物消耗及综合能耗情况</w:t>
                  </w:r>
                </w:p>
                <w:tbl>
                  <w:tblPr>
                    <w:tblStyle w:val="21"/>
                    <w:tblW w:w="4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
                    <w:gridCol w:w="743"/>
                    <w:gridCol w:w="923"/>
                    <w:gridCol w:w="1176"/>
                    <w:gridCol w:w="926"/>
                  </w:tblGrid>
                  <w:tr w14:paraId="7DEE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5" w:type="pct"/>
                        <w:vMerge w:val="restart"/>
                        <w:noWrap w:val="0"/>
                        <w:vAlign w:val="center"/>
                      </w:tcPr>
                      <w:p w14:paraId="7DAD0D11">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序号</w:t>
                        </w:r>
                      </w:p>
                    </w:tc>
                    <w:tc>
                      <w:tcPr>
                        <w:tcW w:w="910" w:type="pct"/>
                        <w:vMerge w:val="restart"/>
                        <w:noWrap w:val="0"/>
                        <w:vAlign w:val="center"/>
                      </w:tcPr>
                      <w:p w14:paraId="4FCD7616">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能源</w:t>
                        </w:r>
                      </w:p>
                      <w:p w14:paraId="47498DA3">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品种</w:t>
                        </w:r>
                      </w:p>
                    </w:tc>
                    <w:tc>
                      <w:tcPr>
                        <w:tcW w:w="1130" w:type="pct"/>
                        <w:noWrap w:val="0"/>
                        <w:vAlign w:val="center"/>
                      </w:tcPr>
                      <w:p w14:paraId="1FFCC96C">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实物量</w:t>
                        </w:r>
                      </w:p>
                    </w:tc>
                    <w:tc>
                      <w:tcPr>
                        <w:tcW w:w="1438" w:type="pct"/>
                        <w:vMerge w:val="restart"/>
                        <w:noWrap w:val="0"/>
                        <w:vAlign w:val="center"/>
                      </w:tcPr>
                      <w:p w14:paraId="4A0E6B32">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折标准煤</w:t>
                        </w:r>
                      </w:p>
                      <w:p w14:paraId="6B8FB11C">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系数</w:t>
                        </w:r>
                      </w:p>
                    </w:tc>
                    <w:tc>
                      <w:tcPr>
                        <w:tcW w:w="1134" w:type="pct"/>
                        <w:vMerge w:val="restart"/>
                        <w:noWrap w:val="0"/>
                        <w:vAlign w:val="center"/>
                      </w:tcPr>
                      <w:p w14:paraId="03418194">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lang w:val="en-US" w:eastAsia="zh-CN"/>
                          </w:rPr>
                        </w:pPr>
                        <w:r>
                          <w:rPr>
                            <w:rFonts w:hint="default" w:ascii="Times New Roman" w:hAnsi="Times New Roman" w:eastAsia="宋体" w:cs="Times New Roman"/>
                            <w:caps w:val="0"/>
                            <w:smallCaps w:val="0"/>
                            <w:color w:val="auto"/>
                            <w:spacing w:val="0"/>
                            <w:sz w:val="21"/>
                            <w:szCs w:val="21"/>
                          </w:rPr>
                          <w:t>折标准煤</w:t>
                        </w:r>
                        <w:r>
                          <w:rPr>
                            <w:rFonts w:hint="default" w:ascii="Times New Roman" w:hAnsi="Times New Roman" w:eastAsia="宋体" w:cs="Times New Roman"/>
                            <w:caps w:val="0"/>
                            <w:smallCaps w:val="0"/>
                            <w:color w:val="auto"/>
                            <w:spacing w:val="0"/>
                            <w:sz w:val="21"/>
                            <w:szCs w:val="21"/>
                            <w:lang w:eastAsia="zh-CN"/>
                          </w:rPr>
                          <w:t>（</w:t>
                        </w:r>
                        <w:r>
                          <w:rPr>
                            <w:rFonts w:hint="default" w:ascii="Times New Roman" w:hAnsi="Times New Roman" w:eastAsia="宋体" w:cs="Times New Roman"/>
                            <w:caps w:val="0"/>
                            <w:smallCaps w:val="0"/>
                            <w:color w:val="auto"/>
                            <w:spacing w:val="0"/>
                            <w:sz w:val="21"/>
                            <w:szCs w:val="21"/>
                          </w:rPr>
                          <w:t>kgc</w:t>
                        </w:r>
                        <w:r>
                          <w:rPr>
                            <w:rFonts w:hint="eastAsia" w:ascii="Times New Roman" w:hAnsi="Times New Roman" w:cs="Times New Roman"/>
                            <w:caps w:val="0"/>
                            <w:smallCaps w:val="0"/>
                            <w:color w:val="auto"/>
                            <w:spacing w:val="0"/>
                            <w:sz w:val="21"/>
                            <w:szCs w:val="21"/>
                            <w:lang w:val="en-US" w:eastAsia="zh-CN"/>
                          </w:rPr>
                          <w:t>e</w:t>
                        </w:r>
                        <w:r>
                          <w:rPr>
                            <w:rFonts w:hint="default" w:ascii="Times New Roman" w:hAnsi="Times New Roman" w:eastAsia="宋体" w:cs="Times New Roman"/>
                            <w:caps w:val="0"/>
                            <w:smallCaps w:val="0"/>
                            <w:color w:val="auto"/>
                            <w:spacing w:val="0"/>
                            <w:sz w:val="21"/>
                            <w:szCs w:val="21"/>
                            <w:lang w:eastAsia="zh-CN"/>
                          </w:rPr>
                          <w:t>）</w:t>
                        </w:r>
                      </w:p>
                    </w:tc>
                  </w:tr>
                  <w:tr w14:paraId="78DF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5" w:type="pct"/>
                        <w:vMerge w:val="continue"/>
                        <w:noWrap w:val="0"/>
                        <w:vAlign w:val="center"/>
                      </w:tcPr>
                      <w:p w14:paraId="0D796170">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p>
                    </w:tc>
                    <w:tc>
                      <w:tcPr>
                        <w:tcW w:w="910" w:type="pct"/>
                        <w:vMerge w:val="continue"/>
                        <w:noWrap w:val="0"/>
                        <w:vAlign w:val="center"/>
                      </w:tcPr>
                      <w:p w14:paraId="5A58C1D7">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p>
                    </w:tc>
                    <w:tc>
                      <w:tcPr>
                        <w:tcW w:w="1130" w:type="pct"/>
                        <w:noWrap w:val="0"/>
                        <w:vAlign w:val="center"/>
                      </w:tcPr>
                      <w:p w14:paraId="6F867BB3">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数量</w:t>
                        </w:r>
                      </w:p>
                    </w:tc>
                    <w:tc>
                      <w:tcPr>
                        <w:tcW w:w="1438" w:type="pct"/>
                        <w:vMerge w:val="continue"/>
                        <w:noWrap w:val="0"/>
                        <w:vAlign w:val="center"/>
                      </w:tcPr>
                      <w:p w14:paraId="1A566A55">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p>
                    </w:tc>
                    <w:tc>
                      <w:tcPr>
                        <w:tcW w:w="1134" w:type="pct"/>
                        <w:vMerge w:val="continue"/>
                        <w:noWrap w:val="0"/>
                        <w:vAlign w:val="center"/>
                      </w:tcPr>
                      <w:p w14:paraId="6244D519">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p>
                    </w:tc>
                  </w:tr>
                  <w:tr w14:paraId="70D1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5" w:type="pct"/>
                        <w:noWrap w:val="0"/>
                        <w:vAlign w:val="center"/>
                      </w:tcPr>
                      <w:p w14:paraId="0CBD41CC">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1</w:t>
                        </w:r>
                      </w:p>
                    </w:tc>
                    <w:tc>
                      <w:tcPr>
                        <w:tcW w:w="910" w:type="pct"/>
                        <w:noWrap w:val="0"/>
                        <w:vAlign w:val="center"/>
                      </w:tcPr>
                      <w:p w14:paraId="3631AA4A">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电力</w:t>
                        </w:r>
                      </w:p>
                    </w:tc>
                    <w:tc>
                      <w:tcPr>
                        <w:tcW w:w="1130" w:type="pct"/>
                        <w:noWrap/>
                        <w:vAlign w:val="center"/>
                      </w:tcPr>
                      <w:p w14:paraId="386017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rPr>
                        </w:pPr>
                        <w:r>
                          <w:rPr>
                            <w:rFonts w:hint="eastAsia" w:ascii="Times New Roman" w:hAnsi="Times New Roman" w:cs="Times New Roman"/>
                            <w:caps w:val="0"/>
                            <w:smallCaps w:val="0"/>
                            <w:color w:val="auto"/>
                            <w:spacing w:val="0"/>
                            <w:kern w:val="0"/>
                            <w:sz w:val="21"/>
                            <w:szCs w:val="21"/>
                            <w:lang w:val="en-US" w:eastAsia="zh-CN" w:bidi="ar"/>
                          </w:rPr>
                          <w:t>47.181</w:t>
                        </w:r>
                        <w:r>
                          <w:rPr>
                            <w:rFonts w:hint="default" w:ascii="Times New Roman" w:hAnsi="Times New Roman" w:eastAsia="宋体" w:cs="Times New Roman"/>
                            <w:caps w:val="0"/>
                            <w:smallCaps w:val="0"/>
                            <w:color w:val="auto"/>
                            <w:spacing w:val="0"/>
                            <w:kern w:val="0"/>
                            <w:sz w:val="21"/>
                            <w:szCs w:val="21"/>
                            <w:lang w:bidi="ar"/>
                          </w:rPr>
                          <w:t>万kW</w:t>
                        </w:r>
                        <w:r>
                          <w:rPr>
                            <w:rFonts w:hint="default" w:ascii="Times New Roman" w:hAnsi="Times New Roman" w:eastAsia="宋体" w:cs="Times New Roman"/>
                            <w:caps w:val="0"/>
                            <w:smallCaps w:val="0"/>
                            <w:color w:val="auto"/>
                            <w:spacing w:val="0"/>
                            <w:sz w:val="21"/>
                            <w:szCs w:val="21"/>
                          </w:rPr>
                          <w:t>·</w:t>
                        </w:r>
                        <w:r>
                          <w:rPr>
                            <w:rFonts w:hint="default" w:ascii="Times New Roman" w:hAnsi="Times New Roman" w:eastAsia="宋体" w:cs="Times New Roman"/>
                            <w:caps w:val="0"/>
                            <w:smallCaps w:val="0"/>
                            <w:color w:val="auto"/>
                            <w:spacing w:val="0"/>
                            <w:kern w:val="0"/>
                            <w:sz w:val="21"/>
                            <w:szCs w:val="21"/>
                            <w:lang w:bidi="ar"/>
                          </w:rPr>
                          <w:t>h</w:t>
                        </w:r>
                      </w:p>
                    </w:tc>
                    <w:tc>
                      <w:tcPr>
                        <w:tcW w:w="1438" w:type="pct"/>
                        <w:noWrap w:val="0"/>
                        <w:vAlign w:val="center"/>
                      </w:tcPr>
                      <w:p w14:paraId="6E9B68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rPr>
                        </w:pPr>
                        <w:r>
                          <w:rPr>
                            <w:rFonts w:hint="eastAsia" w:ascii="Times New Roman" w:hAnsi="Times New Roman" w:eastAsia="宋体" w:cs="Times New Roman"/>
                            <w:caps w:val="0"/>
                            <w:smallCaps w:val="0"/>
                            <w:color w:val="auto"/>
                            <w:spacing w:val="0"/>
                            <w:sz w:val="21"/>
                            <w:szCs w:val="21"/>
                            <w:lang w:val="en-US" w:eastAsia="zh-CN"/>
                          </w:rPr>
                          <w:t>1.</w:t>
                        </w:r>
                        <w:r>
                          <w:rPr>
                            <w:rFonts w:hint="default" w:ascii="Times New Roman" w:hAnsi="Times New Roman" w:eastAsia="宋体" w:cs="Times New Roman"/>
                            <w:caps w:val="0"/>
                            <w:smallCaps w:val="0"/>
                            <w:color w:val="auto"/>
                            <w:spacing w:val="0"/>
                            <w:sz w:val="21"/>
                            <w:szCs w:val="21"/>
                          </w:rPr>
                          <w:t>229</w:t>
                        </w:r>
                      </w:p>
                      <w:p w14:paraId="351D86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kern w:val="0"/>
                            <w:sz w:val="21"/>
                            <w:szCs w:val="21"/>
                            <w:lang w:bidi="ar"/>
                          </w:rPr>
                        </w:pPr>
                        <w:r>
                          <w:rPr>
                            <w:rFonts w:hint="eastAsia" w:ascii="Times New Roman" w:hAnsi="Times New Roman" w:cs="Times New Roman"/>
                            <w:color w:val="auto"/>
                            <w:spacing w:val="0"/>
                            <w:sz w:val="21"/>
                            <w:szCs w:val="21"/>
                            <w:lang w:val="en-US" w:eastAsia="zh-CN"/>
                          </w:rPr>
                          <w:t>K</w:t>
                        </w:r>
                        <w:r>
                          <w:rPr>
                            <w:rFonts w:hint="eastAsia" w:ascii="Times New Roman" w:hAnsi="Times New Roman" w:cs="Times New Roman"/>
                            <w:caps w:val="0"/>
                            <w:smallCaps w:val="0"/>
                            <w:color w:val="auto"/>
                            <w:spacing w:val="0"/>
                            <w:sz w:val="21"/>
                            <w:szCs w:val="21"/>
                            <w:lang w:val="en-US" w:eastAsia="zh-CN"/>
                          </w:rPr>
                          <w:t>gce</w:t>
                        </w:r>
                        <w:r>
                          <w:rPr>
                            <w:rFonts w:hint="default" w:ascii="Times New Roman" w:hAnsi="Times New Roman" w:eastAsia="宋体" w:cs="Times New Roman"/>
                            <w:caps w:val="0"/>
                            <w:smallCaps w:val="0"/>
                            <w:color w:val="auto"/>
                            <w:spacing w:val="0"/>
                            <w:sz w:val="21"/>
                            <w:szCs w:val="21"/>
                          </w:rPr>
                          <w:t>/</w:t>
                        </w:r>
                        <w:r>
                          <w:rPr>
                            <w:rFonts w:hint="eastAsia" w:ascii="Times New Roman" w:hAnsi="Times New Roman" w:eastAsia="宋体" w:cs="Times New Roman"/>
                            <w:caps w:val="0"/>
                            <w:smallCaps w:val="0"/>
                            <w:color w:val="auto"/>
                            <w:spacing w:val="0"/>
                            <w:sz w:val="21"/>
                            <w:szCs w:val="21"/>
                            <w:lang w:val="en-US" w:eastAsia="zh-CN"/>
                          </w:rPr>
                          <w:t>万</w:t>
                        </w:r>
                        <w:r>
                          <w:rPr>
                            <w:rFonts w:hint="eastAsia" w:ascii="Times New Roman" w:hAnsi="Times New Roman" w:cs="Times New Roman"/>
                            <w:caps w:val="0"/>
                            <w:smallCaps w:val="0"/>
                            <w:color w:val="auto"/>
                            <w:spacing w:val="0"/>
                            <w:sz w:val="21"/>
                            <w:szCs w:val="21"/>
                            <w:lang w:val="en-US" w:eastAsia="zh-CN"/>
                          </w:rPr>
                          <w:t>k</w:t>
                        </w:r>
                        <w:r>
                          <w:rPr>
                            <w:rFonts w:hint="default" w:ascii="Times New Roman" w:hAnsi="Times New Roman" w:eastAsia="宋体" w:cs="Times New Roman"/>
                            <w:caps w:val="0"/>
                            <w:smallCaps w:val="0"/>
                            <w:color w:val="auto"/>
                            <w:spacing w:val="0"/>
                            <w:sz w:val="21"/>
                            <w:szCs w:val="21"/>
                          </w:rPr>
                          <w:t>W·h</w:t>
                        </w:r>
                      </w:p>
                    </w:tc>
                    <w:tc>
                      <w:tcPr>
                        <w:tcW w:w="1134" w:type="pct"/>
                        <w:noWrap w:val="0"/>
                        <w:vAlign w:val="center"/>
                      </w:tcPr>
                      <w:p w14:paraId="68E7C4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lang w:val="en-US" w:eastAsia="zh-CN"/>
                          </w:rPr>
                        </w:pPr>
                        <w:r>
                          <w:rPr>
                            <w:rFonts w:hint="default" w:ascii="Times New Roman" w:hAnsi="Times New Roman" w:eastAsia="宋体" w:cs="Times New Roman"/>
                            <w:caps w:val="0"/>
                            <w:smallCaps w:val="0"/>
                            <w:color w:val="auto"/>
                            <w:spacing w:val="0"/>
                            <w:sz w:val="21"/>
                            <w:szCs w:val="21"/>
                            <w:lang w:val="en-US" w:eastAsia="zh-CN"/>
                          </w:rPr>
                          <w:t>57.985</w:t>
                        </w:r>
                      </w:p>
                    </w:tc>
                  </w:tr>
                  <w:tr w14:paraId="6A59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5" w:type="pct"/>
                        <w:noWrap w:val="0"/>
                        <w:vAlign w:val="center"/>
                      </w:tcPr>
                      <w:p w14:paraId="61350E2B">
                        <w:pPr>
                          <w:pStyle w:val="72"/>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aps w:val="0"/>
                            <w:smallCaps w:val="0"/>
                            <w:color w:val="auto"/>
                            <w:spacing w:val="0"/>
                            <w:sz w:val="21"/>
                            <w:szCs w:val="21"/>
                            <w:lang w:val="en-US" w:eastAsia="zh-CN"/>
                          </w:rPr>
                        </w:pPr>
                        <w:r>
                          <w:rPr>
                            <w:rFonts w:hint="eastAsia" w:ascii="Times New Roman" w:hAnsi="Times New Roman" w:cs="Times New Roman"/>
                            <w:caps w:val="0"/>
                            <w:smallCaps w:val="0"/>
                            <w:color w:val="auto"/>
                            <w:spacing w:val="0"/>
                            <w:sz w:val="21"/>
                            <w:szCs w:val="21"/>
                            <w:lang w:val="en-US" w:eastAsia="zh-CN"/>
                          </w:rPr>
                          <w:t>2</w:t>
                        </w:r>
                      </w:p>
                    </w:tc>
                    <w:tc>
                      <w:tcPr>
                        <w:tcW w:w="910" w:type="pct"/>
                        <w:noWrap w:val="0"/>
                        <w:vAlign w:val="center"/>
                      </w:tcPr>
                      <w:p w14:paraId="008DA4A9">
                        <w:pPr>
                          <w:pStyle w:val="72"/>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aps w:val="0"/>
                            <w:smallCaps w:val="0"/>
                            <w:color w:val="auto"/>
                            <w:spacing w:val="0"/>
                            <w:sz w:val="21"/>
                            <w:szCs w:val="21"/>
                            <w:lang w:val="en-US" w:eastAsia="zh-CN"/>
                          </w:rPr>
                        </w:pPr>
                        <w:r>
                          <w:rPr>
                            <w:rFonts w:hint="eastAsia" w:ascii="Times New Roman" w:hAnsi="Times New Roman" w:cs="Times New Roman"/>
                            <w:caps w:val="0"/>
                            <w:smallCaps w:val="0"/>
                            <w:color w:val="auto"/>
                            <w:spacing w:val="0"/>
                            <w:sz w:val="21"/>
                            <w:szCs w:val="21"/>
                            <w:lang w:val="en-US" w:eastAsia="zh-CN"/>
                          </w:rPr>
                          <w:t>天然气</w:t>
                        </w:r>
                      </w:p>
                    </w:tc>
                    <w:tc>
                      <w:tcPr>
                        <w:tcW w:w="1130" w:type="pct"/>
                        <w:noWrap/>
                        <w:vAlign w:val="center"/>
                      </w:tcPr>
                      <w:p w14:paraId="2261AAA8">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caps w:val="0"/>
                            <w:smallCaps w:val="0"/>
                            <w:color w:val="auto"/>
                            <w:spacing w:val="0"/>
                            <w:kern w:val="0"/>
                            <w:sz w:val="21"/>
                            <w:szCs w:val="21"/>
                            <w:lang w:val="en-US" w:eastAsia="zh-CN" w:bidi="ar"/>
                          </w:rPr>
                        </w:pPr>
                        <w:r>
                          <w:rPr>
                            <w:rFonts w:hint="eastAsia" w:ascii="Times New Roman" w:hAnsi="Times New Roman" w:eastAsia="宋体" w:cs="Times New Roman"/>
                            <w:caps w:val="0"/>
                            <w:smallCaps w:val="0"/>
                            <w:color w:val="auto"/>
                            <w:spacing w:val="0"/>
                            <w:kern w:val="2"/>
                            <w:sz w:val="21"/>
                            <w:szCs w:val="21"/>
                            <w:lang w:val="en-US" w:eastAsia="zh-CN"/>
                          </w:rPr>
                          <w:t>10.811万m</w:t>
                        </w:r>
                        <w:r>
                          <w:rPr>
                            <w:rFonts w:hint="eastAsia" w:ascii="Times New Roman" w:hAnsi="Times New Roman" w:eastAsia="宋体" w:cs="Times New Roman"/>
                            <w:caps w:val="0"/>
                            <w:smallCaps w:val="0"/>
                            <w:color w:val="auto"/>
                            <w:spacing w:val="0"/>
                            <w:kern w:val="2"/>
                            <w:sz w:val="21"/>
                            <w:szCs w:val="21"/>
                            <w:vertAlign w:val="superscript"/>
                            <w:lang w:val="en-US" w:eastAsia="zh-CN"/>
                          </w:rPr>
                          <w:t>3</w:t>
                        </w:r>
                      </w:p>
                    </w:tc>
                    <w:tc>
                      <w:tcPr>
                        <w:tcW w:w="1438" w:type="pct"/>
                        <w:noWrap w:val="0"/>
                        <w:vAlign w:val="center"/>
                      </w:tcPr>
                      <w:p w14:paraId="0236D4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13.000K</w:t>
                        </w:r>
                        <w:r>
                          <w:rPr>
                            <w:rFonts w:hint="eastAsia" w:ascii="Times New Roman" w:hAnsi="Times New Roman" w:cs="Times New Roman"/>
                            <w:caps w:val="0"/>
                            <w:smallCaps w:val="0"/>
                            <w:color w:val="auto"/>
                            <w:spacing w:val="0"/>
                            <w:sz w:val="21"/>
                            <w:szCs w:val="21"/>
                            <w:lang w:val="en-US" w:eastAsia="zh-CN"/>
                          </w:rPr>
                          <w:t>gce</w:t>
                        </w:r>
                        <w:r>
                          <w:rPr>
                            <w:rFonts w:hint="default" w:ascii="Times New Roman" w:hAnsi="Times New Roman" w:eastAsia="宋体" w:cs="Times New Roman"/>
                            <w:caps w:val="0"/>
                            <w:smallCaps w:val="0"/>
                            <w:color w:val="auto"/>
                            <w:spacing w:val="0"/>
                            <w:sz w:val="21"/>
                            <w:szCs w:val="21"/>
                          </w:rPr>
                          <w:t>/</w:t>
                        </w:r>
                        <w:r>
                          <w:rPr>
                            <w:rFonts w:hint="eastAsia" w:ascii="Times New Roman" w:hAnsi="Times New Roman" w:eastAsia="宋体" w:cs="Times New Roman"/>
                            <w:caps w:val="0"/>
                            <w:smallCaps w:val="0"/>
                            <w:color w:val="auto"/>
                            <w:spacing w:val="0"/>
                            <w:sz w:val="21"/>
                            <w:szCs w:val="21"/>
                            <w:lang w:val="en-US" w:eastAsia="zh-CN"/>
                          </w:rPr>
                          <w:t>万</w:t>
                        </w:r>
                        <w:r>
                          <w:rPr>
                            <w:rFonts w:hint="eastAsia" w:ascii="Times New Roman" w:hAnsi="Times New Roman" w:eastAsia="宋体" w:cs="Times New Roman"/>
                            <w:caps w:val="0"/>
                            <w:smallCaps w:val="0"/>
                            <w:color w:val="auto"/>
                            <w:spacing w:val="0"/>
                            <w:kern w:val="2"/>
                            <w:sz w:val="21"/>
                            <w:szCs w:val="21"/>
                            <w:lang w:val="en-US" w:eastAsia="zh-CN"/>
                          </w:rPr>
                          <w:t>m</w:t>
                        </w:r>
                        <w:r>
                          <w:rPr>
                            <w:rFonts w:hint="eastAsia" w:ascii="Times New Roman" w:hAnsi="Times New Roman" w:eastAsia="宋体" w:cs="Times New Roman"/>
                            <w:caps w:val="0"/>
                            <w:smallCaps w:val="0"/>
                            <w:color w:val="auto"/>
                            <w:spacing w:val="0"/>
                            <w:kern w:val="2"/>
                            <w:sz w:val="21"/>
                            <w:szCs w:val="21"/>
                            <w:vertAlign w:val="superscript"/>
                            <w:lang w:val="en-US" w:eastAsia="zh-CN"/>
                          </w:rPr>
                          <w:t>3</w:t>
                        </w:r>
                      </w:p>
                    </w:tc>
                    <w:tc>
                      <w:tcPr>
                        <w:tcW w:w="1134" w:type="pct"/>
                        <w:noWrap w:val="0"/>
                        <w:vAlign w:val="center"/>
                      </w:tcPr>
                      <w:p w14:paraId="3BB9F4EB">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caps w:val="0"/>
                            <w:smallCaps w:val="0"/>
                            <w:color w:val="auto"/>
                            <w:spacing w:val="0"/>
                            <w:sz w:val="21"/>
                            <w:szCs w:val="21"/>
                            <w:lang w:val="en-US" w:eastAsia="zh-CN"/>
                          </w:rPr>
                        </w:pPr>
                        <w:r>
                          <w:rPr>
                            <w:rFonts w:hint="eastAsia" w:ascii="Times New Roman" w:hAnsi="Times New Roman" w:cs="Times New Roman"/>
                            <w:caps w:val="0"/>
                            <w:smallCaps w:val="0"/>
                            <w:color w:val="auto"/>
                            <w:spacing w:val="0"/>
                            <w:sz w:val="21"/>
                            <w:szCs w:val="21"/>
                            <w:lang w:val="en-US" w:eastAsia="zh-CN"/>
                          </w:rPr>
                          <w:t>140.543</w:t>
                        </w:r>
                      </w:p>
                    </w:tc>
                  </w:tr>
                  <w:tr w14:paraId="10E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5" w:type="pct"/>
                        <w:noWrap w:val="0"/>
                        <w:vAlign w:val="center"/>
                      </w:tcPr>
                      <w:p w14:paraId="43CBB5FE">
                        <w:pPr>
                          <w:pStyle w:val="72"/>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aps w:val="0"/>
                            <w:smallCaps w:val="0"/>
                            <w:color w:val="auto"/>
                            <w:spacing w:val="0"/>
                            <w:sz w:val="21"/>
                            <w:szCs w:val="21"/>
                            <w:lang w:eastAsia="zh-CN"/>
                          </w:rPr>
                        </w:pPr>
                        <w:r>
                          <w:rPr>
                            <w:rFonts w:hint="eastAsia" w:ascii="Times New Roman" w:hAnsi="Times New Roman" w:cs="Times New Roman"/>
                            <w:caps w:val="0"/>
                            <w:smallCaps w:val="0"/>
                            <w:color w:val="auto"/>
                            <w:spacing w:val="0"/>
                            <w:sz w:val="21"/>
                            <w:szCs w:val="21"/>
                            <w:lang w:val="en-US" w:eastAsia="zh-CN"/>
                          </w:rPr>
                          <w:t>3</w:t>
                        </w:r>
                      </w:p>
                    </w:tc>
                    <w:tc>
                      <w:tcPr>
                        <w:tcW w:w="910" w:type="pct"/>
                        <w:noWrap w:val="0"/>
                        <w:vAlign w:val="center"/>
                      </w:tcPr>
                      <w:p w14:paraId="6E2F9E75">
                        <w:pPr>
                          <w:pStyle w:val="72"/>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caps w:val="0"/>
                            <w:smallCaps w:val="0"/>
                            <w:color w:val="auto"/>
                            <w:spacing w:val="0"/>
                            <w:sz w:val="21"/>
                            <w:szCs w:val="21"/>
                          </w:rPr>
                          <w:t>新鲜水</w:t>
                        </w:r>
                      </w:p>
                    </w:tc>
                    <w:tc>
                      <w:tcPr>
                        <w:tcW w:w="1130" w:type="pct"/>
                        <w:noWrap w:val="0"/>
                        <w:vAlign w:val="center"/>
                      </w:tcPr>
                      <w:p w14:paraId="58024B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rPr>
                        </w:pPr>
                        <w:r>
                          <w:rPr>
                            <w:rFonts w:hint="eastAsia" w:cs="Times New Roman"/>
                            <w:i w:val="0"/>
                            <w:iCs w:val="0"/>
                            <w:caps w:val="0"/>
                            <w:smallCaps w:val="0"/>
                            <w:color w:val="auto"/>
                            <w:spacing w:val="0"/>
                            <w:kern w:val="0"/>
                            <w:sz w:val="21"/>
                            <w:szCs w:val="21"/>
                            <w:u w:val="none"/>
                            <w:lang w:val="en-US" w:eastAsia="zh-CN" w:bidi="ar"/>
                          </w:rPr>
                          <w:t>63.39</w:t>
                        </w:r>
                        <w:r>
                          <w:rPr>
                            <w:rFonts w:hint="default" w:ascii="Times New Roman" w:hAnsi="Times New Roman" w:eastAsia="宋体" w:cs="Times New Roman"/>
                            <w:i w:val="0"/>
                            <w:iCs w:val="0"/>
                            <w:caps w:val="0"/>
                            <w:smallCaps w:val="0"/>
                            <w:color w:val="auto"/>
                            <w:spacing w:val="0"/>
                            <w:kern w:val="0"/>
                            <w:sz w:val="21"/>
                            <w:szCs w:val="21"/>
                            <w:u w:val="none"/>
                            <w:lang w:val="en-US" w:eastAsia="zh-CN" w:bidi="ar"/>
                          </w:rPr>
                          <w:t>t</w:t>
                        </w:r>
                      </w:p>
                    </w:tc>
                    <w:tc>
                      <w:tcPr>
                        <w:tcW w:w="1438" w:type="pct"/>
                        <w:noWrap w:val="0"/>
                        <w:vAlign w:val="center"/>
                      </w:tcPr>
                      <w:p w14:paraId="295CC6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aps w:val="0"/>
                            <w:smallCaps w:val="0"/>
                            <w:color w:val="auto"/>
                            <w:spacing w:val="0"/>
                            <w:kern w:val="0"/>
                            <w:sz w:val="21"/>
                            <w:szCs w:val="21"/>
                            <w:u w:val="none"/>
                            <w:lang w:val="en-US" w:eastAsia="zh-CN" w:bidi="ar"/>
                          </w:rPr>
                        </w:pPr>
                        <w:r>
                          <w:rPr>
                            <w:rFonts w:hint="default" w:ascii="Times New Roman" w:hAnsi="Times New Roman" w:eastAsia="宋体" w:cs="Times New Roman"/>
                            <w:caps w:val="0"/>
                            <w:smallCaps w:val="0"/>
                            <w:color w:val="auto"/>
                            <w:spacing w:val="0"/>
                            <w:sz w:val="21"/>
                            <w:szCs w:val="21"/>
                          </w:rPr>
                          <w:t>0.</w:t>
                        </w:r>
                        <w:r>
                          <w:rPr>
                            <w:rFonts w:hint="eastAsia" w:ascii="Times New Roman" w:hAnsi="Times New Roman" w:cs="Times New Roman"/>
                            <w:caps w:val="0"/>
                            <w:smallCaps w:val="0"/>
                            <w:color w:val="auto"/>
                            <w:spacing w:val="0"/>
                            <w:sz w:val="21"/>
                            <w:szCs w:val="21"/>
                            <w:lang w:val="en-US" w:eastAsia="zh-CN"/>
                          </w:rPr>
                          <w:t>857</w:t>
                        </w:r>
                        <w:r>
                          <w:rPr>
                            <w:rFonts w:hint="default" w:ascii="Times New Roman" w:hAnsi="Times New Roman" w:eastAsia="宋体" w:cs="Times New Roman"/>
                            <w:caps w:val="0"/>
                            <w:smallCaps w:val="0"/>
                            <w:color w:val="auto"/>
                            <w:spacing w:val="0"/>
                            <w:sz w:val="21"/>
                            <w:szCs w:val="21"/>
                          </w:rPr>
                          <w:t>kgc</w:t>
                        </w:r>
                        <w:r>
                          <w:rPr>
                            <w:rFonts w:hint="eastAsia" w:ascii="Times New Roman" w:hAnsi="Times New Roman" w:cs="Times New Roman"/>
                            <w:caps w:val="0"/>
                            <w:smallCaps w:val="0"/>
                            <w:color w:val="auto"/>
                            <w:spacing w:val="0"/>
                            <w:sz w:val="21"/>
                            <w:szCs w:val="21"/>
                            <w:lang w:val="en-US" w:eastAsia="zh-CN"/>
                          </w:rPr>
                          <w:t>e</w:t>
                        </w:r>
                        <w:r>
                          <w:rPr>
                            <w:rFonts w:hint="default" w:ascii="Times New Roman" w:hAnsi="Times New Roman" w:eastAsia="宋体" w:cs="Times New Roman"/>
                            <w:caps w:val="0"/>
                            <w:smallCaps w:val="0"/>
                            <w:color w:val="auto"/>
                            <w:spacing w:val="0"/>
                            <w:sz w:val="21"/>
                            <w:szCs w:val="21"/>
                          </w:rPr>
                          <w:t>/</w:t>
                        </w:r>
                        <w:r>
                          <w:rPr>
                            <w:rFonts w:hint="eastAsia" w:ascii="Times New Roman" w:hAnsi="Times New Roman" w:eastAsia="宋体" w:cs="Times New Roman"/>
                            <w:caps w:val="0"/>
                            <w:smallCaps w:val="0"/>
                            <w:color w:val="auto"/>
                            <w:spacing w:val="0"/>
                            <w:sz w:val="21"/>
                            <w:szCs w:val="21"/>
                            <w:lang w:val="en-US" w:eastAsia="zh-CN"/>
                          </w:rPr>
                          <w:t>万</w:t>
                        </w:r>
                        <w:r>
                          <w:rPr>
                            <w:rFonts w:hint="default" w:ascii="Times New Roman" w:hAnsi="Times New Roman" w:eastAsia="宋体" w:cs="Times New Roman"/>
                            <w:caps w:val="0"/>
                            <w:smallCaps w:val="0"/>
                            <w:color w:val="auto"/>
                            <w:spacing w:val="0"/>
                            <w:sz w:val="21"/>
                            <w:szCs w:val="21"/>
                          </w:rPr>
                          <w:t>t</w:t>
                        </w:r>
                      </w:p>
                    </w:tc>
                    <w:tc>
                      <w:tcPr>
                        <w:tcW w:w="1134" w:type="pct"/>
                        <w:noWrap w:val="0"/>
                        <w:vAlign w:val="center"/>
                      </w:tcPr>
                      <w:p w14:paraId="332A4A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lang w:val="en-US" w:eastAsia="zh-CN"/>
                          </w:rPr>
                        </w:pPr>
                        <w:r>
                          <w:rPr>
                            <w:rFonts w:hint="eastAsia" w:ascii="Times New Roman" w:hAnsi="Times New Roman" w:cs="Times New Roman"/>
                            <w:caps w:val="0"/>
                            <w:smallCaps w:val="0"/>
                            <w:color w:val="auto"/>
                            <w:spacing w:val="0"/>
                            <w:sz w:val="21"/>
                            <w:szCs w:val="21"/>
                            <w:lang w:val="en-US" w:eastAsia="zh-CN"/>
                          </w:rPr>
                          <w:t>0.00</w:t>
                        </w:r>
                        <w:r>
                          <w:rPr>
                            <w:rFonts w:hint="eastAsia" w:cs="Times New Roman"/>
                            <w:caps w:val="0"/>
                            <w:smallCaps w:val="0"/>
                            <w:color w:val="auto"/>
                            <w:spacing w:val="0"/>
                            <w:sz w:val="21"/>
                            <w:szCs w:val="21"/>
                            <w:lang w:val="en-US" w:eastAsia="zh-CN"/>
                          </w:rPr>
                          <w:t>5</w:t>
                        </w:r>
                      </w:p>
                    </w:tc>
                  </w:tr>
                  <w:tr w14:paraId="74CE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865" w:type="pct"/>
                        <w:gridSpan w:val="4"/>
                        <w:noWrap w:val="0"/>
                        <w:vAlign w:val="center"/>
                      </w:tcPr>
                      <w:p w14:paraId="405CF2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kern w:val="0"/>
                            <w:sz w:val="21"/>
                            <w:szCs w:val="21"/>
                            <w:lang w:bidi="ar"/>
                          </w:rPr>
                        </w:pPr>
                        <w:r>
                          <w:rPr>
                            <w:rFonts w:hint="default" w:ascii="Times New Roman" w:hAnsi="Times New Roman" w:eastAsia="宋体" w:cs="Times New Roman"/>
                            <w:caps w:val="0"/>
                            <w:smallCaps w:val="0"/>
                            <w:color w:val="auto"/>
                            <w:spacing w:val="0"/>
                            <w:sz w:val="21"/>
                            <w:szCs w:val="21"/>
                          </w:rPr>
                          <w:t>合计</w:t>
                        </w:r>
                      </w:p>
                    </w:tc>
                    <w:tc>
                      <w:tcPr>
                        <w:tcW w:w="1134" w:type="pct"/>
                        <w:noWrap w:val="0"/>
                        <w:vAlign w:val="center"/>
                      </w:tcPr>
                      <w:p w14:paraId="75AB542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aps w:val="0"/>
                            <w:smallCaps w:val="0"/>
                            <w:color w:val="auto"/>
                            <w:spacing w:val="0"/>
                            <w:sz w:val="21"/>
                            <w:szCs w:val="21"/>
                            <w:lang w:val="en-US" w:eastAsia="zh-CN"/>
                          </w:rPr>
                        </w:pPr>
                        <w:r>
                          <w:rPr>
                            <w:rFonts w:hint="eastAsia" w:ascii="Times New Roman" w:hAnsi="Times New Roman" w:cs="Times New Roman"/>
                            <w:caps w:val="0"/>
                            <w:smallCaps w:val="0"/>
                            <w:color w:val="auto"/>
                            <w:spacing w:val="0"/>
                            <w:sz w:val="21"/>
                            <w:szCs w:val="21"/>
                            <w:lang w:val="en-US" w:eastAsia="zh-CN"/>
                          </w:rPr>
                          <w:t>198.53</w:t>
                        </w:r>
                        <w:r>
                          <w:rPr>
                            <w:rFonts w:hint="eastAsia" w:cs="Times New Roman"/>
                            <w:caps w:val="0"/>
                            <w:smallCaps w:val="0"/>
                            <w:color w:val="auto"/>
                            <w:spacing w:val="0"/>
                            <w:sz w:val="21"/>
                            <w:szCs w:val="21"/>
                            <w:lang w:val="en-US" w:eastAsia="zh-CN"/>
                          </w:rPr>
                          <w:t>3</w:t>
                        </w:r>
                        <w:r>
                          <w:rPr>
                            <w:rFonts w:hint="eastAsia" w:ascii="Times New Roman" w:hAnsi="Times New Roman" w:cs="Times New Roman"/>
                            <w:caps w:val="0"/>
                            <w:smallCaps w:val="0"/>
                            <w:color w:val="auto"/>
                            <w:spacing w:val="0"/>
                            <w:sz w:val="21"/>
                            <w:szCs w:val="21"/>
                            <w:lang w:val="en-US" w:eastAsia="zh-CN"/>
                          </w:rPr>
                          <w:t>‬</w:t>
                        </w:r>
                      </w:p>
                    </w:tc>
                  </w:tr>
                </w:tbl>
                <w:p w14:paraId="50765871">
                  <w:pPr>
                    <w:snapToGrid w:val="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能耗强度不高于《单位能耗限额江苏省地方标准》（附件2）铸造行业的准入标准。</w:t>
                  </w:r>
                </w:p>
              </w:tc>
            </w:tr>
            <w:tr w14:paraId="03DB5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Merge w:val="continue"/>
                  <w:vAlign w:val="center"/>
                </w:tcPr>
                <w:p w14:paraId="487A19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p>
              </w:tc>
              <w:tc>
                <w:tcPr>
                  <w:tcW w:w="3029" w:type="pct"/>
                  <w:gridSpan w:val="4"/>
                  <w:vAlign w:val="center"/>
                </w:tcPr>
                <w:p w14:paraId="67063B7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安全生产方面。申报项目不得使用应当淘汰的危及生产安全的工艺、设备，符合《国家安全监管总局关于发布金属冶炼企业禁止使用的设备及工艺目录（第一批）的通知》（安监总管四﹝2017﹞142号）文件要求，涉及危险化学品使用量较多的铸造项目应配有危险化学品专用仓库。</w:t>
                  </w:r>
                </w:p>
              </w:tc>
              <w:tc>
                <w:tcPr>
                  <w:tcW w:w="1078" w:type="pct"/>
                  <w:vAlign w:val="center"/>
                </w:tcPr>
                <w:p w14:paraId="118C5EF6">
                  <w:pPr>
                    <w:snapToGrid w:val="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bCs/>
                      <w:color w:val="auto"/>
                      <w:szCs w:val="21"/>
                    </w:rPr>
                    <w:t>本项目不涉及淘汰的工艺、设备，不涉及（安监总管四﹝2017﹞142号）文件附件中金属冶炼企业禁止使用的设备及工艺，符合要求。</w:t>
                  </w:r>
                </w:p>
              </w:tc>
            </w:tr>
            <w:tr w14:paraId="2FD65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71F587F9">
                  <w:pPr>
                    <w:snapToGrid w:val="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《关于建立常州市跨部门专家联合会商工作机制的通知》（常安办〔2024〕9号）》</w:t>
                  </w:r>
                </w:p>
              </w:tc>
            </w:tr>
            <w:tr w14:paraId="1DF7B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1" w:type="pct"/>
                  <w:gridSpan w:val="2"/>
                  <w:vAlign w:val="center"/>
                </w:tcPr>
                <w:p w14:paraId="079D5B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宋体"/>
                      <w:color w:val="auto"/>
                      <w:szCs w:val="21"/>
                      <w:highlight w:val="none"/>
                      <w:lang w:val="en-US"/>
                    </w:rPr>
                  </w:pPr>
                  <w:r>
                    <w:rPr>
                      <w:rFonts w:hint="eastAsia" w:ascii="Times New Roman" w:hAnsi="Times New Roman" w:eastAsia="宋体" w:cs="Times New Roman"/>
                      <w:color w:val="auto"/>
                      <w:kern w:val="32"/>
                      <w:sz w:val="21"/>
                      <w:szCs w:val="21"/>
                      <w:lang w:val="en-US" w:eastAsia="zh-CN"/>
                    </w:rPr>
                    <w:t>会商范围</w:t>
                  </w:r>
                </w:p>
              </w:tc>
              <w:tc>
                <w:tcPr>
                  <w:tcW w:w="3029" w:type="pct"/>
                  <w:gridSpan w:val="4"/>
                  <w:vAlign w:val="center"/>
                </w:tcPr>
                <w:p w14:paraId="7DB435FD">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存在以下情形时，各部门应联合组织专家开展集体会商研判：</w:t>
                  </w:r>
                </w:p>
                <w:p w14:paraId="2AFE05DC">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（一）新改扩建单班涉粉作业10人以上的铝镁金属粉尘除尘系统；</w:t>
                  </w:r>
                </w:p>
                <w:p w14:paraId="37B89085">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（二）新改扩建单班涉粉作业30人以上的其他涉爆粉尘除尘系统；</w:t>
                  </w:r>
                </w:p>
                <w:p w14:paraId="28C363B5">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spacing w:val="-6"/>
                      <w:kern w:val="2"/>
                      <w:sz w:val="21"/>
                      <w:szCs w:val="21"/>
                      <w:lang w:val="en-US" w:eastAsia="zh-CN"/>
                    </w:rPr>
                  </w:pPr>
                  <w:r>
                    <w:rPr>
                      <w:rFonts w:hint="eastAsia" w:ascii="Times New Roman" w:hAnsi="Times New Roman" w:eastAsia="宋体" w:cs="Times New Roman"/>
                      <w:color w:val="auto"/>
                      <w:kern w:val="2"/>
                      <w:sz w:val="21"/>
                      <w:szCs w:val="21"/>
                      <w:lang w:val="en-US" w:eastAsia="zh-CN"/>
                    </w:rPr>
                    <w:t>（三）</w:t>
                  </w:r>
                  <w:r>
                    <w:rPr>
                      <w:rFonts w:hint="eastAsia" w:ascii="Times New Roman" w:hAnsi="Times New Roman" w:eastAsia="宋体" w:cs="Times New Roman"/>
                      <w:color w:val="auto"/>
                      <w:spacing w:val="-6"/>
                      <w:kern w:val="2"/>
                      <w:sz w:val="21"/>
                      <w:szCs w:val="21"/>
                      <w:lang w:val="en-US" w:eastAsia="zh-CN"/>
                    </w:rPr>
                    <w:t>存在除尘系统平面布置、通风收集方式、防火分区布局、设备设施等跨领域复杂疑难技术问题的；</w:t>
                  </w:r>
                </w:p>
                <w:p w14:paraId="6606C838">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（四）粉尘涉爆领域监管政策的制定；</w:t>
                  </w:r>
                </w:p>
                <w:p w14:paraId="4BAC19F3">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（五）其他需要会商的情形</w:t>
                  </w:r>
                  <w:r>
                    <w:rPr>
                      <w:rFonts w:hint="default" w:ascii="Times New Roman" w:hAnsi="Times New Roman" w:eastAsia="宋体" w:cs="Times New Roman"/>
                      <w:color w:val="auto"/>
                      <w:kern w:val="2"/>
                      <w:sz w:val="21"/>
                      <w:szCs w:val="21"/>
                      <w:lang w:val="en-US" w:eastAsia="zh-CN"/>
                    </w:rPr>
                    <w:t>。</w:t>
                  </w:r>
                </w:p>
              </w:tc>
              <w:tc>
                <w:tcPr>
                  <w:tcW w:w="1078" w:type="pct"/>
                  <w:vAlign w:val="center"/>
                </w:tcPr>
                <w:p w14:paraId="7B3D2E7F">
                  <w:pPr>
                    <w:keepNext w:val="0"/>
                    <w:keepLines w:val="0"/>
                    <w:pageBreakBefore w:val="0"/>
                    <w:widowControl w:val="0"/>
                    <w:kinsoku/>
                    <w:wordWrap/>
                    <w:overflowPunct/>
                    <w:topLinePunct w:val="0"/>
                    <w:autoSpaceDE/>
                    <w:autoSpaceDN/>
                    <w:bidi w:val="0"/>
                    <w:adjustRightInd/>
                    <w:snapToGrid w:val="0"/>
                    <w:ind w:firstLine="420" w:firstLineChars="200"/>
                    <w:jc w:val="left"/>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本项目涉粉作业主要为打磨、抛丸工序，其中打磨工序为单班作业，最大工作人数为2人；抛丸工序为单班作业，最大工作人数为2人，合计单班最大作业人数为4人，不属于会上范围内。</w:t>
                  </w:r>
                </w:p>
              </w:tc>
            </w:tr>
            <w:tr w14:paraId="42BE5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4AEFD1FB">
                  <w:pPr>
                    <w:snapToGrid w:val="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b/>
                      <w:bCs w:val="0"/>
                      <w:color w:val="auto"/>
                      <w:szCs w:val="21"/>
                    </w:rPr>
                    <w:t>《关于做好生态环境和应急管理部门联动工作的意见》（苏环办[2020]101号）</w:t>
                  </w:r>
                  <w:r>
                    <w:rPr>
                      <w:rFonts w:hint="default" w:ascii="Times New Roman" w:hAnsi="Times New Roman" w:cs="Times New Roman"/>
                      <w:b/>
                      <w:bCs w:val="0"/>
                      <w:color w:val="auto"/>
                      <w:szCs w:val="21"/>
                      <w:lang w:eastAsia="zh-CN"/>
                    </w:rPr>
                    <w:t>、</w:t>
                  </w:r>
                  <w:r>
                    <w:rPr>
                      <w:rFonts w:hint="default" w:ascii="Times New Roman" w:hAnsi="Times New Roman" w:cs="Times New Roman"/>
                      <w:b/>
                      <w:bCs w:val="0"/>
                      <w:color w:val="auto"/>
                      <w:szCs w:val="21"/>
                    </w:rPr>
                    <w:t>《省生态环境厅关于推进生态环境保护与安全生产联动工作的通知》</w:t>
                  </w:r>
                  <w:r>
                    <w:rPr>
                      <w:rFonts w:hint="default" w:ascii="Times New Roman" w:hAnsi="Times New Roman" w:cs="Times New Roman"/>
                      <w:b/>
                      <w:bCs w:val="0"/>
                      <w:color w:val="auto"/>
                      <w:szCs w:val="21"/>
                      <w:lang w:eastAsia="zh-CN"/>
                    </w:rPr>
                    <w:t>（</w:t>
                  </w:r>
                  <w:r>
                    <w:rPr>
                      <w:rFonts w:hint="default" w:ascii="Times New Roman" w:hAnsi="Times New Roman" w:cs="Times New Roman"/>
                      <w:b/>
                      <w:bCs w:val="0"/>
                      <w:color w:val="auto"/>
                      <w:szCs w:val="21"/>
                    </w:rPr>
                    <w:t>苏环办[2019]406号）</w:t>
                  </w:r>
                </w:p>
              </w:tc>
            </w:tr>
            <w:tr w14:paraId="2942D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6E884AE7">
                  <w:pPr>
                    <w:tabs>
                      <w:tab w:val="left" w:pos="2160"/>
                    </w:tab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建立危废物</w:t>
                  </w:r>
                </w:p>
                <w:p w14:paraId="66354F82">
                  <w:pPr>
                    <w:tabs>
                      <w:tab w:val="left" w:pos="2160"/>
                    </w:tabs>
                    <w:snapToGrid w:val="0"/>
                    <w:jc w:val="center"/>
                    <w:rPr>
                      <w:rFonts w:hint="eastAsia" w:ascii="Times New Roman" w:hAnsi="Times New Roman" w:eastAsia="宋体" w:cs="Times New Roman"/>
                      <w:color w:val="auto"/>
                      <w:kern w:val="32"/>
                      <w:sz w:val="21"/>
                      <w:szCs w:val="21"/>
                      <w:lang w:val="en-US" w:eastAsia="zh-CN"/>
                    </w:rPr>
                  </w:pPr>
                  <w:r>
                    <w:rPr>
                      <w:rFonts w:hint="default" w:ascii="Times New Roman" w:hAnsi="Times New Roman" w:cs="Times New Roman"/>
                      <w:color w:val="auto"/>
                      <w:szCs w:val="21"/>
                    </w:rPr>
                    <w:t>监管联动机制</w:t>
                  </w:r>
                </w:p>
              </w:tc>
              <w:tc>
                <w:tcPr>
                  <w:tcW w:w="3182" w:type="pct"/>
                  <w:gridSpan w:val="3"/>
                  <w:vAlign w:val="center"/>
                </w:tcPr>
                <w:p w14:paraId="4FF39878">
                  <w:pPr>
                    <w:widowControl/>
                    <w:shd w:val="clear" w:color="auto" w:fill="FFFFFF"/>
                    <w:snapToGrid w:val="0"/>
                    <w:ind w:firstLine="420" w:firstLineChars="200"/>
                    <w:jc w:val="left"/>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稳定、根据相关文件无法认定达到稳定化要求的，要提供有资质单位出具的化学品物理危险性报告及其他证明材料，认定达到稳定化要求。</w:t>
                  </w:r>
                </w:p>
              </w:tc>
              <w:tc>
                <w:tcPr>
                  <w:tcW w:w="1303" w:type="pct"/>
                  <w:gridSpan w:val="3"/>
                  <w:vAlign w:val="center"/>
                </w:tcPr>
                <w:p w14:paraId="5ACF865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bCs/>
                      <w:color w:val="auto"/>
                      <w:szCs w:val="21"/>
                    </w:rPr>
                    <w:t>本项目企业法定代表人为危险废物安全环保全过程管理的第一责任人，产生的危废均按照《危险废物贮存污染控制标准》（GB18597）的要求设置，危险</w:t>
                  </w:r>
                  <w:r>
                    <w:rPr>
                      <w:rFonts w:hint="eastAsia" w:cs="Times New Roman"/>
                      <w:bCs/>
                      <w:color w:val="auto"/>
                      <w:szCs w:val="21"/>
                      <w:lang w:val="en-US" w:eastAsia="zh-CN"/>
                    </w:rPr>
                    <w:t>废物</w:t>
                  </w:r>
                  <w:r>
                    <w:rPr>
                      <w:rFonts w:hint="default" w:ascii="Times New Roman" w:hAnsi="Times New Roman" w:cs="Times New Roman"/>
                      <w:bCs/>
                      <w:color w:val="auto"/>
                      <w:szCs w:val="21"/>
                    </w:rPr>
                    <w:t>暂存于危废暂存库内，项目危险废物均委托</w:t>
                  </w:r>
                  <w:r>
                    <w:rPr>
                      <w:rFonts w:hint="eastAsia" w:cs="Times New Roman"/>
                      <w:bCs/>
                      <w:color w:val="auto"/>
                      <w:szCs w:val="21"/>
                      <w:lang w:val="en-US" w:eastAsia="zh-CN"/>
                    </w:rPr>
                    <w:t>有资质</w:t>
                  </w:r>
                  <w:r>
                    <w:rPr>
                      <w:rFonts w:hint="default" w:ascii="Times New Roman" w:hAnsi="Times New Roman" w:cs="Times New Roman"/>
                      <w:bCs/>
                      <w:color w:val="auto"/>
                      <w:szCs w:val="21"/>
                    </w:rPr>
                    <w:t>单位处置。企业制定</w:t>
                  </w:r>
                  <w:r>
                    <w:rPr>
                      <w:rFonts w:hint="eastAsia" w:cs="Times New Roman"/>
                      <w:bCs/>
                      <w:color w:val="auto"/>
                      <w:szCs w:val="21"/>
                      <w:lang w:val="en-US" w:eastAsia="zh-CN"/>
                    </w:rPr>
                    <w:t>危险废物</w:t>
                  </w:r>
                  <w:r>
                    <w:rPr>
                      <w:rFonts w:hint="default" w:ascii="Times New Roman" w:hAnsi="Times New Roman" w:cs="Times New Roman"/>
                      <w:bCs/>
                      <w:color w:val="auto"/>
                      <w:szCs w:val="21"/>
                    </w:rPr>
                    <w:t>管理计划，并报属地生态环境部门备案。</w:t>
                  </w:r>
                </w:p>
              </w:tc>
            </w:tr>
            <w:tr w14:paraId="3CBCD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018BDDC8">
                  <w:pPr>
                    <w:tabs>
                      <w:tab w:val="left" w:pos="2160"/>
                    </w:tabs>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建立环境治理设施监管</w:t>
                  </w:r>
                </w:p>
                <w:p w14:paraId="0FA98F5F">
                  <w:pPr>
                    <w:tabs>
                      <w:tab w:val="left" w:pos="2160"/>
                    </w:tabs>
                    <w:snapToGrid w:val="0"/>
                    <w:jc w:val="center"/>
                    <w:rPr>
                      <w:rFonts w:hint="eastAsia" w:ascii="Times New Roman" w:hAnsi="Times New Roman" w:eastAsia="宋体" w:cs="Times New Roman"/>
                      <w:color w:val="auto"/>
                      <w:kern w:val="32"/>
                      <w:sz w:val="21"/>
                      <w:szCs w:val="21"/>
                      <w:lang w:val="en-US" w:eastAsia="zh-CN"/>
                    </w:rPr>
                  </w:pPr>
                  <w:r>
                    <w:rPr>
                      <w:rFonts w:hint="default" w:ascii="Times New Roman" w:hAnsi="Times New Roman" w:cs="Times New Roman"/>
                      <w:color w:val="auto"/>
                      <w:szCs w:val="21"/>
                    </w:rPr>
                    <w:t>联动机制</w:t>
                  </w:r>
                </w:p>
              </w:tc>
              <w:tc>
                <w:tcPr>
                  <w:tcW w:w="3182" w:type="pct"/>
                  <w:gridSpan w:val="3"/>
                  <w:vAlign w:val="center"/>
                </w:tcPr>
                <w:p w14:paraId="594EAA2B">
                  <w:pPr>
                    <w:widowControl/>
                    <w:shd w:val="clear" w:color="auto" w:fill="FFFFFF"/>
                    <w:snapToGrid w:val="0"/>
                    <w:ind w:firstLine="420" w:firstLineChars="200"/>
                    <w:jc w:val="left"/>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Cs w:val="21"/>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303" w:type="pct"/>
                  <w:gridSpan w:val="3"/>
                  <w:vAlign w:val="center"/>
                </w:tcPr>
                <w:p w14:paraId="1B604A4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bCs/>
                      <w:color w:val="auto"/>
                      <w:szCs w:val="21"/>
                    </w:rPr>
                    <w:t>本项目涉及</w:t>
                  </w:r>
                  <w:r>
                    <w:rPr>
                      <w:rFonts w:hint="default" w:ascii="Times New Roman" w:hAnsi="Times New Roman" w:eastAsia="宋体" w:cs="Times New Roman"/>
                      <w:color w:val="auto"/>
                      <w:szCs w:val="21"/>
                    </w:rPr>
                    <w:t>粉尘治理</w:t>
                  </w:r>
                  <w:r>
                    <w:rPr>
                      <w:rFonts w:hint="default" w:ascii="Times New Roman" w:hAnsi="Times New Roman" w:cs="Times New Roman"/>
                      <w:bCs/>
                      <w:color w:val="auto"/>
                      <w:szCs w:val="21"/>
                    </w:rPr>
                    <w:t>环境治理</w:t>
                  </w:r>
                  <w:r>
                    <w:rPr>
                      <w:rFonts w:hint="default" w:ascii="Times New Roman" w:hAnsi="Times New Roman" w:cs="Times New Roman"/>
                      <w:bCs/>
                      <w:color w:val="auto"/>
                      <w:szCs w:val="21"/>
                      <w:lang w:val="en-US" w:eastAsia="zh-CN"/>
                    </w:rPr>
                    <w:t>设施，</w:t>
                  </w:r>
                  <w:r>
                    <w:rPr>
                      <w:rFonts w:hint="eastAsia" w:ascii="Times New Roman" w:hAnsi="Times New Roman" w:cs="Times New Roman"/>
                      <w:bCs/>
                      <w:color w:val="auto"/>
                      <w:szCs w:val="21"/>
                      <w:lang w:val="en-US" w:eastAsia="zh-CN"/>
                    </w:rPr>
                    <w:t>需</w:t>
                  </w:r>
                  <w:r>
                    <w:rPr>
                      <w:rFonts w:hint="default" w:ascii="Times New Roman" w:hAnsi="Times New Roman" w:eastAsia="宋体" w:cs="Times New Roman"/>
                      <w:color w:val="auto"/>
                      <w:szCs w:val="21"/>
                    </w:rPr>
                    <w:t>开展安全风险辨识管控，</w:t>
                  </w:r>
                  <w:r>
                    <w:rPr>
                      <w:rFonts w:hint="eastAsia" w:ascii="Times New Roman" w:hAnsi="Times New Roman" w:eastAsia="宋体" w:cs="Times New Roman"/>
                      <w:color w:val="auto"/>
                      <w:szCs w:val="21"/>
                      <w:lang w:val="en-US" w:eastAsia="zh-CN"/>
                    </w:rPr>
                    <w:t>需</w:t>
                  </w:r>
                  <w:r>
                    <w:rPr>
                      <w:rFonts w:hint="default" w:ascii="Times New Roman" w:hAnsi="Times New Roman" w:eastAsia="宋体" w:cs="Times New Roman"/>
                      <w:color w:val="auto"/>
                      <w:szCs w:val="21"/>
                    </w:rPr>
                    <w:t>健全内部污染防治设施稳定运行和管理责任制度，</w:t>
                  </w:r>
                  <w:r>
                    <w:rPr>
                      <w:rFonts w:hint="default" w:ascii="Times New Roman" w:hAnsi="Times New Roman" w:cs="Times New Roman"/>
                      <w:bCs/>
                      <w:color w:val="auto"/>
                      <w:szCs w:val="21"/>
                    </w:rPr>
                    <w:t>严格依据标准规范建设环境治理设施，确保环境治理设施安全、稳定、有效运行。</w:t>
                  </w:r>
                </w:p>
              </w:tc>
            </w:tr>
            <w:tr w14:paraId="11AF5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54C2A442">
                  <w:pPr>
                    <w:snapToGrid w:val="0"/>
                    <w:jc w:val="center"/>
                    <w:rPr>
                      <w:rFonts w:hint="default" w:ascii="Times New Roman" w:hAnsi="Times New Roman" w:cs="Times New Roman"/>
                      <w:bCs/>
                      <w:color w:val="auto"/>
                      <w:szCs w:val="21"/>
                    </w:rPr>
                  </w:pPr>
                  <w:r>
                    <w:rPr>
                      <w:rFonts w:hint="eastAsia" w:ascii="Times New Roman" w:hAnsi="Times New Roman" w:cs="Times New Roman"/>
                      <w:b/>
                      <w:bCs w:val="0"/>
                      <w:color w:val="auto"/>
                      <w:szCs w:val="21"/>
                    </w:rPr>
                    <w:t>国务院安委会办公室 生态环境部 应急管理部</w:t>
                  </w:r>
                  <w:r>
                    <w:rPr>
                      <w:rFonts w:hint="eastAsia" w:ascii="Times New Roman" w:hAnsi="Times New Roman" w:cs="Times New Roman"/>
                      <w:b/>
                      <w:bCs w:val="0"/>
                      <w:color w:val="auto"/>
                      <w:szCs w:val="21"/>
                    </w:rPr>
                    <w:br w:type="textWrapping"/>
                  </w:r>
                  <w:r>
                    <w:rPr>
                      <w:rFonts w:hint="eastAsia" w:ascii="Times New Roman" w:hAnsi="Times New Roman" w:cs="Times New Roman"/>
                      <w:b/>
                      <w:bCs w:val="0"/>
                      <w:color w:val="auto"/>
                      <w:szCs w:val="21"/>
                    </w:rPr>
                    <w:t>关于进一步加强环保设备设施安全生产工作的通知</w:t>
                  </w:r>
                  <w:r>
                    <w:rPr>
                      <w:rFonts w:hint="eastAsia" w:cs="Times New Roman"/>
                      <w:b/>
                      <w:bCs w:val="0"/>
                      <w:color w:val="auto"/>
                      <w:szCs w:val="21"/>
                      <w:lang w:eastAsia="zh-CN"/>
                    </w:rPr>
                    <w:t>（</w:t>
                  </w:r>
                  <w:r>
                    <w:rPr>
                      <w:rFonts w:hint="eastAsia" w:ascii="Times New Roman" w:hAnsi="Times New Roman" w:cs="Times New Roman"/>
                      <w:b/>
                      <w:bCs w:val="0"/>
                      <w:color w:val="auto"/>
                      <w:szCs w:val="21"/>
                    </w:rPr>
                    <w:t>安委办明电〔2022〕17号</w:t>
                  </w:r>
                  <w:r>
                    <w:rPr>
                      <w:rFonts w:hint="eastAsia" w:cs="Times New Roman"/>
                      <w:b/>
                      <w:bCs w:val="0"/>
                      <w:color w:val="auto"/>
                      <w:szCs w:val="21"/>
                      <w:lang w:eastAsia="zh-CN"/>
                    </w:rPr>
                    <w:t>）</w:t>
                  </w:r>
                </w:p>
              </w:tc>
            </w:tr>
            <w:tr w14:paraId="6A85B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5B8038BB">
                  <w:pPr>
                    <w:widowControl/>
                    <w:shd w:val="clear" w:color="auto" w:fill="FFFFFF"/>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进一步落实企业主体责任</w:t>
                  </w:r>
                </w:p>
              </w:tc>
              <w:tc>
                <w:tcPr>
                  <w:tcW w:w="3182" w:type="pct"/>
                  <w:gridSpan w:val="3"/>
                  <w:vAlign w:val="center"/>
                </w:tcPr>
                <w:p w14:paraId="7DC01A3A">
                  <w:pPr>
                    <w:widowControl/>
                    <w:shd w:val="clear" w:color="auto" w:fill="FFFFFF"/>
                    <w:snapToGrid w:val="0"/>
                    <w:ind w:firstLine="420" w:firstLineChars="20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推动企业主要负责人严格履行第一责任人责任，将环保设备设施安全作为企业安全管理的重要组成部分，全面负责落实本单位的环保设备设施安全生产工作。严格落实涉环保设备设施新、改、扩建项目环保和安全“ 三同时"有关要求，委托有资质的设计单位进行正规设计，在选用污染防治技术时要充分考虑安全因素；在环保设备设施改造中必须依法开展安全风险评估，按要求设置安全监测监控系统和联锁保护装置，做好安全防范。对涉环保设备设施相关岗位人员进行操作规程、风险管控、应急处置、典型事故警示等专项安全培训教育。开展环保设备设施安全风险辨识评估，系统排查隐患，依法建立隐患整改台账，明确整改责任人、措施、资金、时限和应急救援预案，及时消除隐患。认真落实相关技术标准规范，严格执行吊装、动火、高处等危险作业审批制度，加强有限空间、检维修作业安全管理，采取有效隔离措施，实施现场安全监护和科学施救。对受委托开展环保设备设施建设、运营和检维修第三方的安全生产工作进行统一协调、管理，定期进行安全检查，发现安全问题的，及时督促整改，不得“一包了之"，不管不问。</w:t>
                  </w:r>
                </w:p>
              </w:tc>
              <w:tc>
                <w:tcPr>
                  <w:tcW w:w="1303" w:type="pct"/>
                  <w:gridSpan w:val="3"/>
                  <w:vAlign w:val="center"/>
                </w:tcPr>
                <w:p w14:paraId="46D5F295">
                  <w:pPr>
                    <w:widowControl/>
                    <w:shd w:val="clear" w:color="auto" w:fill="FFFFFF"/>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本公司需按照要求进行落实</w:t>
                  </w:r>
                  <w:r>
                    <w:rPr>
                      <w:rFonts w:hint="eastAsia" w:ascii="Times New Roman" w:hAnsi="Times New Roman" w:eastAsia="宋体" w:cs="Times New Roman"/>
                      <w:color w:val="auto"/>
                      <w:szCs w:val="21"/>
                    </w:rPr>
                    <w:t>安全“ 三同时"</w:t>
                  </w:r>
                  <w:r>
                    <w:rPr>
                      <w:rFonts w:hint="eastAsia" w:cs="Times New Roman"/>
                      <w:color w:val="auto"/>
                      <w:szCs w:val="21"/>
                      <w:lang w:val="en-US" w:eastAsia="zh-CN"/>
                    </w:rPr>
                    <w:t>工作，开展环保设施的安全评估；落实安全相关的技术规范</w:t>
                  </w:r>
                </w:p>
              </w:tc>
            </w:tr>
            <w:tr w14:paraId="39293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7"/>
                  <w:vAlign w:val="center"/>
                </w:tcPr>
                <w:p w14:paraId="34366B34">
                  <w:pPr>
                    <w:snapToGrid w:val="0"/>
                    <w:jc w:val="center"/>
                    <w:rPr>
                      <w:rFonts w:hint="eastAsia" w:ascii="Times New Roman" w:hAnsi="Times New Roman" w:cs="Times New Roman"/>
                      <w:b/>
                      <w:bCs w:val="0"/>
                      <w:color w:val="auto"/>
                      <w:szCs w:val="21"/>
                    </w:rPr>
                  </w:pPr>
                  <w:r>
                    <w:rPr>
                      <w:rFonts w:hint="eastAsia" w:ascii="Times New Roman" w:hAnsi="Times New Roman" w:cs="Times New Roman"/>
                      <w:b/>
                      <w:bCs w:val="0"/>
                      <w:color w:val="auto"/>
                      <w:szCs w:val="21"/>
                    </w:rPr>
                    <w:t>关于印发《全省生态环境安全与应急管理“强基提能”三年行动计划》的通知</w:t>
                  </w:r>
                </w:p>
                <w:p w14:paraId="4E5C5DEB">
                  <w:pPr>
                    <w:snapToGrid w:val="0"/>
                    <w:jc w:val="center"/>
                    <w:rPr>
                      <w:rFonts w:hint="default" w:ascii="Times New Roman" w:hAnsi="Times New Roman" w:eastAsia="宋体" w:cs="Times New Roman"/>
                      <w:color w:val="auto"/>
                      <w:szCs w:val="21"/>
                    </w:rPr>
                  </w:pPr>
                  <w:r>
                    <w:rPr>
                      <w:rFonts w:hint="eastAsia" w:ascii="Times New Roman" w:hAnsi="Times New Roman" w:cs="Times New Roman"/>
                      <w:b/>
                      <w:bCs w:val="0"/>
                      <w:color w:val="auto"/>
                      <w:szCs w:val="21"/>
                    </w:rPr>
                    <w:t>（苏环发〔2023〕5号）</w:t>
                  </w:r>
                </w:p>
              </w:tc>
            </w:tr>
            <w:tr w14:paraId="659DF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7ADEC923">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推动环境安全主体责任落实</w:t>
                  </w:r>
                </w:p>
              </w:tc>
              <w:tc>
                <w:tcPr>
                  <w:tcW w:w="3182" w:type="pct"/>
                  <w:gridSpan w:val="3"/>
                  <w:vAlign w:val="center"/>
                </w:tcPr>
                <w:p w14:paraId="49185151">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lef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建立企业环境安全责任“三落实三必 须”机制。落实主要负责人</w:t>
                  </w:r>
                  <w:r>
                    <w:rPr>
                      <w:rFonts w:hint="eastAsia" w:cs="Times New Roman"/>
                      <w:color w:val="auto"/>
                      <w:szCs w:val="21"/>
                      <w:lang w:eastAsia="zh-CN"/>
                    </w:rPr>
                    <w:t>、</w:t>
                  </w:r>
                  <w:r>
                    <w:rPr>
                      <w:rFonts w:hint="eastAsia" w:ascii="Times New Roman" w:hAnsi="Times New Roman" w:eastAsia="宋体" w:cs="Times New Roman"/>
                      <w:color w:val="auto"/>
                      <w:szCs w:val="21"/>
                    </w:rPr>
                    <w:t>环境安全第一责任人责任</w:t>
                  </w:r>
                  <w:r>
                    <w:rPr>
                      <w:rFonts w:hint="eastAsia" w:cs="Times New Roman"/>
                      <w:color w:val="auto"/>
                      <w:szCs w:val="21"/>
                      <w:lang w:eastAsia="zh-CN"/>
                    </w:rPr>
                    <w:t>，</w:t>
                  </w:r>
                  <w:r>
                    <w:rPr>
                      <w:rFonts w:hint="eastAsia" w:ascii="Times New Roman" w:hAnsi="Times New Roman" w:eastAsia="宋体" w:cs="Times New Roman"/>
                      <w:color w:val="auto"/>
                      <w:szCs w:val="21"/>
                    </w:rPr>
                    <w:t>必须对企业环境风险物质和点位全部知晓、风险防控体系全部明晰：落实环保负责人主管责任，必须对企业风险源防控应对措施应急物资和救援力量情况全部知晓；落实岗位人员直接责任，必须对应急处置措施、应急设施设备操作规程熟练掌握。企业“三落实三必须”执行情况纳入常态化环境安全隐患排查内容，执行不到位的，作为重大隐患进行整治</w:t>
                  </w:r>
                  <w:r>
                    <w:rPr>
                      <w:rFonts w:hint="eastAsia" w:cs="Times New Roman"/>
                      <w:color w:val="auto"/>
                      <w:szCs w:val="21"/>
                      <w:lang w:eastAsia="zh-CN"/>
                    </w:rPr>
                    <w:t>。</w:t>
                  </w:r>
                </w:p>
              </w:tc>
              <w:tc>
                <w:tcPr>
                  <w:tcW w:w="1303" w:type="pct"/>
                  <w:gridSpan w:val="3"/>
                  <w:vAlign w:val="center"/>
                </w:tcPr>
                <w:p w14:paraId="628A1666">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项目建成后，企业</w:t>
                  </w:r>
                  <w:r>
                    <w:rPr>
                      <w:rFonts w:hint="eastAsia" w:cs="Times New Roman"/>
                      <w:color w:val="auto"/>
                      <w:szCs w:val="21"/>
                      <w:lang w:val="en-US" w:eastAsia="zh-CN"/>
                    </w:rPr>
                    <w:t>须</w:t>
                  </w:r>
                  <w:r>
                    <w:rPr>
                      <w:rFonts w:hint="eastAsia" w:ascii="Times New Roman" w:hAnsi="Times New Roman" w:eastAsia="宋体" w:cs="Times New Roman"/>
                      <w:color w:val="auto"/>
                      <w:szCs w:val="21"/>
                    </w:rPr>
                    <w:t>落实主要负责人及主管责任、岗位人员直接责任，并将“三落实三必须”执行情况纳入常态化环境安全隐患排查内容。</w:t>
                  </w:r>
                </w:p>
              </w:tc>
            </w:tr>
            <w:tr w14:paraId="6CFED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6B66FB5A">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推动环评和预案质量提升</w:t>
                  </w:r>
                </w:p>
              </w:tc>
              <w:tc>
                <w:tcPr>
                  <w:tcW w:w="3182" w:type="pct"/>
                  <w:gridSpan w:val="3"/>
                  <w:vAlign w:val="center"/>
                </w:tcPr>
                <w:p w14:paraId="45002AD6">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left"/>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建设项目环评文件必须做到环境风险识别、典型事故情形、风险防范措施、应急管理制度和竣工验收内容“五个明确”。2023年底前省厅修订出台《江苏省突发环境事件应急预案管理办法》，实施“一图两单两卡”管理，即绘制预案管理“一 张图”，编制环境风险辨识、环境风险防范措施“两个清单”，实行环境安全职责承诺、应急处置措施“两张卡”按规定对应急预案和风险评估报告进行回顾性评估和修订，开展验证演练，较大以上风险企业每年至少开展一次。</w:t>
                  </w:r>
                </w:p>
              </w:tc>
              <w:tc>
                <w:tcPr>
                  <w:tcW w:w="1303" w:type="pct"/>
                  <w:gridSpan w:val="3"/>
                  <w:vAlign w:val="center"/>
                </w:tcPr>
                <w:p w14:paraId="46ECC8A6">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本次环评已明确环境风险识别、典型事故情形、风险防范措施、应急管理制度和竣工验收内容，企业将根据应急预案要求定期开展应急演练</w:t>
                  </w:r>
                </w:p>
              </w:tc>
            </w:tr>
            <w:tr w14:paraId="11AFA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46AB08D7">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推动环境应急基础设施建设</w:t>
                  </w:r>
                </w:p>
              </w:tc>
              <w:tc>
                <w:tcPr>
                  <w:tcW w:w="3182" w:type="pct"/>
                  <w:gridSpan w:val="3"/>
                  <w:vAlign w:val="center"/>
                </w:tcPr>
                <w:p w14:paraId="5E585F9A">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left"/>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构筑企业“风险单元-管网应急池- 厂界”的突发水污染事件“三道防线”，设置环境风险单元初期雨水及事故水截流、导流措施，建设排水管网雨污分流系统和事故应急池等事故水收集设施，厂区雨水排口配备手自一体开关切换装置，上述点位均接入企业自动化监控系统。重大、较大风险企业分别于2024年底、2025年底前完成改造。排放有毒有害大气污染物的企业要建立环境风险预警体系，将在线监测数据接入重大危险源监测监控系统</w:t>
                  </w:r>
                  <w:r>
                    <w:rPr>
                      <w:rFonts w:hint="eastAsia" w:cs="Times New Roman"/>
                      <w:color w:val="auto"/>
                      <w:szCs w:val="21"/>
                      <w:lang w:eastAsia="zh-CN"/>
                    </w:rPr>
                    <w:t>。</w:t>
                  </w:r>
                </w:p>
              </w:tc>
              <w:tc>
                <w:tcPr>
                  <w:tcW w:w="1303" w:type="pct"/>
                  <w:gridSpan w:val="3"/>
                  <w:vAlign w:val="center"/>
                </w:tcPr>
                <w:p w14:paraId="6757FFA7">
                  <w:pPr>
                    <w:keepNext w:val="0"/>
                    <w:keepLines w:val="0"/>
                    <w:pageBreakBefore w:val="0"/>
                    <w:widowControl/>
                    <w:shd w:val="clear" w:color="auto" w:fill="FFFFFF"/>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企业事故水截流、导流措施，厂区雨水排口配备手自一体开关切</w:t>
                  </w:r>
                </w:p>
              </w:tc>
            </w:tr>
            <w:tr w14:paraId="2080A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13" w:type="pct"/>
                  <w:vAlign w:val="center"/>
                </w:tcPr>
                <w:p w14:paraId="0B6931BA">
                  <w:pPr>
                    <w:widowControl/>
                    <w:shd w:val="clear" w:color="auto" w:fill="FFFFFF"/>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强化常态化隐患排查治理</w:t>
                  </w:r>
                </w:p>
              </w:tc>
              <w:tc>
                <w:tcPr>
                  <w:tcW w:w="3182" w:type="pct"/>
                  <w:gridSpan w:val="3"/>
                  <w:vAlign w:val="center"/>
                </w:tcPr>
                <w:p w14:paraId="0AA19647">
                  <w:pPr>
                    <w:widowControl/>
                    <w:shd w:val="clear" w:color="auto" w:fill="FFFFFF"/>
                    <w:snapToGrid w:val="0"/>
                    <w:jc w:val="left"/>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环境风险企业建立常态化隐患排查制度。较大以上等级风险企业每半年至少开展一次全面综合排查， 每月至少开展一次环境风险单元巡视排查，列出隐患清单限期整 改闭环。每半年至少开展一次专项培训，提升主动发现和解决环境隐患问题的意愿和能力</w:t>
                  </w:r>
                </w:p>
              </w:tc>
              <w:tc>
                <w:tcPr>
                  <w:tcW w:w="1303" w:type="pct"/>
                  <w:gridSpan w:val="3"/>
                  <w:vAlign w:val="center"/>
                </w:tcPr>
                <w:p w14:paraId="7E4E3805">
                  <w:pPr>
                    <w:widowControl/>
                    <w:shd w:val="clear" w:color="auto" w:fill="FFFFFF"/>
                    <w:snapToGrid w:val="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企业按要求建立常态化隐患排查制度，定期开展隐患排查，以及专项培训</w:t>
                  </w:r>
                </w:p>
              </w:tc>
            </w:tr>
          </w:tbl>
          <w:p w14:paraId="1A8B0003">
            <w:pPr>
              <w:keepLines/>
              <w:spacing w:line="360" w:lineRule="auto"/>
              <w:ind w:firstLine="464" w:firstLineChars="200"/>
              <w:rPr>
                <w:rFonts w:hint="default" w:cs="宋体"/>
                <w:color w:val="auto"/>
                <w:spacing w:val="-4"/>
                <w:sz w:val="24"/>
                <w:szCs w:val="24"/>
                <w:highlight w:val="none"/>
                <w:lang w:val="en-US" w:eastAsia="zh-CN"/>
              </w:rPr>
            </w:pPr>
            <w:r>
              <w:rPr>
                <w:rFonts w:ascii="Times New Roman" w:hAnsi="Times New Roman" w:eastAsia="宋体" w:cs="宋体"/>
                <w:color w:val="auto"/>
                <w:spacing w:val="-4"/>
                <w:sz w:val="24"/>
                <w:szCs w:val="24"/>
                <w:highlight w:val="none"/>
              </w:rPr>
              <w:t>本项目选址不在国家级生态保护红线范围和生态空间管控区内，各类污染物均采取有效的治理措施，并确保废气达标排放，环境现状检测表明</w:t>
            </w:r>
            <w:r>
              <w:rPr>
                <w:rFonts w:hint="eastAsia" w:ascii="Times New Roman" w:hAnsi="Times New Roman" w:eastAsia="宋体" w:cs="宋体"/>
                <w:color w:val="auto"/>
                <w:spacing w:val="-4"/>
                <w:sz w:val="24"/>
                <w:szCs w:val="24"/>
                <w:highlight w:val="none"/>
              </w:rPr>
              <w:t>该</w:t>
            </w:r>
            <w:r>
              <w:rPr>
                <w:rFonts w:ascii="Times New Roman" w:hAnsi="Times New Roman" w:eastAsia="宋体" w:cs="宋体"/>
                <w:color w:val="auto"/>
                <w:spacing w:val="-4"/>
                <w:sz w:val="24"/>
                <w:szCs w:val="24"/>
                <w:highlight w:val="none"/>
              </w:rPr>
              <w:t>区域环境质量现状</w:t>
            </w:r>
            <w:r>
              <w:rPr>
                <w:rFonts w:hint="eastAsia" w:ascii="Times New Roman" w:hAnsi="Times New Roman" w:eastAsia="宋体" w:cs="宋体"/>
                <w:color w:val="auto"/>
                <w:spacing w:val="-4"/>
                <w:sz w:val="24"/>
                <w:szCs w:val="24"/>
                <w:highlight w:val="none"/>
              </w:rPr>
              <w:t>尚可</w:t>
            </w:r>
            <w:r>
              <w:rPr>
                <w:rFonts w:ascii="Times New Roman" w:hAnsi="Times New Roman" w:eastAsia="宋体" w:cs="宋体"/>
                <w:color w:val="auto"/>
                <w:spacing w:val="-4"/>
                <w:sz w:val="24"/>
                <w:szCs w:val="24"/>
                <w:highlight w:val="none"/>
              </w:rPr>
              <w:t>，同时，本项目符合产业政策和各项环保法律法规。总体来说，本项目的建设符合《关于以改善环境质量为核心加强环境影响评价管理的通知》中的相关规定。综上所述，本项目符合国家及地方相关产业政策及法律法规要求。</w:t>
            </w:r>
          </w:p>
          <w:p w14:paraId="094E146A">
            <w:pPr>
              <w:keepLines/>
              <w:spacing w:line="360" w:lineRule="auto"/>
              <w:ind w:firstLine="404" w:firstLineChars="200"/>
              <w:rPr>
                <w:rFonts w:ascii="Times New Roman" w:hAnsi="Times New Roman" w:eastAsia="宋体" w:cs="宋体"/>
                <w:color w:val="auto"/>
                <w:spacing w:val="-4"/>
                <w:szCs w:val="21"/>
                <w:highlight w:val="none"/>
              </w:rPr>
            </w:pPr>
          </w:p>
          <w:p w14:paraId="08C7F051">
            <w:pPr>
              <w:keepLines/>
              <w:spacing w:line="360" w:lineRule="auto"/>
              <w:ind w:firstLine="404" w:firstLineChars="200"/>
              <w:rPr>
                <w:rFonts w:hint="eastAsia" w:cs="宋体"/>
                <w:color w:val="auto"/>
                <w:spacing w:val="-4"/>
                <w:szCs w:val="21"/>
                <w:highlight w:val="none"/>
                <w:lang w:val="en-US" w:eastAsia="zh-CN"/>
              </w:rPr>
            </w:pPr>
          </w:p>
          <w:p w14:paraId="1E9E2E56">
            <w:pPr>
              <w:keepLines/>
              <w:spacing w:line="360" w:lineRule="auto"/>
              <w:ind w:firstLine="404" w:firstLineChars="200"/>
              <w:rPr>
                <w:rFonts w:ascii="Times New Roman" w:hAnsi="Times New Roman" w:eastAsia="宋体" w:cs="宋体"/>
                <w:color w:val="auto"/>
                <w:spacing w:val="-4"/>
                <w:szCs w:val="21"/>
                <w:highlight w:val="none"/>
              </w:rPr>
            </w:pPr>
          </w:p>
          <w:p w14:paraId="6DDE1957">
            <w:pPr>
              <w:keepLines/>
              <w:spacing w:line="360" w:lineRule="auto"/>
              <w:ind w:firstLine="404" w:firstLineChars="200"/>
              <w:rPr>
                <w:rFonts w:hint="eastAsia" w:cs="宋体"/>
                <w:color w:val="auto"/>
                <w:spacing w:val="-4"/>
                <w:szCs w:val="21"/>
                <w:highlight w:val="none"/>
                <w:lang w:val="en-US" w:eastAsia="zh-CN"/>
              </w:rPr>
            </w:pPr>
          </w:p>
          <w:p w14:paraId="0538933E">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593DF06B">
            <w:pPr>
              <w:keepLines/>
              <w:spacing w:line="360" w:lineRule="auto"/>
              <w:ind w:firstLine="404" w:firstLineChars="200"/>
              <w:rPr>
                <w:rFonts w:ascii="Times New Roman" w:hAnsi="Times New Roman" w:eastAsia="宋体" w:cs="宋体"/>
                <w:color w:val="auto"/>
                <w:spacing w:val="-4"/>
                <w:szCs w:val="21"/>
                <w:highlight w:val="none"/>
              </w:rPr>
            </w:pPr>
          </w:p>
          <w:p w14:paraId="0FAF2098">
            <w:pPr>
              <w:keepLines/>
              <w:spacing w:line="360" w:lineRule="auto"/>
              <w:ind w:firstLine="404" w:firstLineChars="200"/>
              <w:rPr>
                <w:rFonts w:hint="eastAsia" w:cs="宋体"/>
                <w:color w:val="auto"/>
                <w:spacing w:val="-4"/>
                <w:szCs w:val="21"/>
                <w:highlight w:val="none"/>
                <w:lang w:val="en-US" w:eastAsia="zh-CN"/>
              </w:rPr>
            </w:pPr>
          </w:p>
          <w:p w14:paraId="07C6E2C2">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383DF93C">
            <w:pPr>
              <w:keepLines/>
              <w:spacing w:line="360" w:lineRule="auto"/>
              <w:ind w:firstLine="404" w:firstLineChars="200"/>
              <w:rPr>
                <w:rFonts w:ascii="Times New Roman" w:hAnsi="Times New Roman" w:eastAsia="宋体" w:cs="宋体"/>
                <w:color w:val="auto"/>
                <w:spacing w:val="-4"/>
                <w:szCs w:val="21"/>
                <w:highlight w:val="none"/>
              </w:rPr>
            </w:pPr>
          </w:p>
          <w:p w14:paraId="3A955564">
            <w:pPr>
              <w:keepLines/>
              <w:spacing w:line="360" w:lineRule="auto"/>
              <w:ind w:firstLine="404" w:firstLineChars="200"/>
              <w:rPr>
                <w:rFonts w:hint="eastAsia" w:cs="宋体"/>
                <w:color w:val="auto"/>
                <w:spacing w:val="-4"/>
                <w:szCs w:val="21"/>
                <w:highlight w:val="none"/>
                <w:lang w:val="en-US" w:eastAsia="zh-CN"/>
              </w:rPr>
            </w:pPr>
          </w:p>
          <w:p w14:paraId="1A70BAFB">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14412DA5">
            <w:pPr>
              <w:keepLines/>
              <w:spacing w:line="360" w:lineRule="auto"/>
              <w:ind w:firstLine="404" w:firstLineChars="200"/>
              <w:rPr>
                <w:rFonts w:ascii="Times New Roman" w:hAnsi="Times New Roman" w:eastAsia="宋体" w:cs="宋体"/>
                <w:color w:val="auto"/>
                <w:spacing w:val="-4"/>
                <w:szCs w:val="21"/>
                <w:highlight w:val="none"/>
              </w:rPr>
            </w:pPr>
          </w:p>
          <w:p w14:paraId="2A1ED6B5">
            <w:pPr>
              <w:keepLines/>
              <w:spacing w:line="360" w:lineRule="auto"/>
              <w:ind w:firstLine="404" w:firstLineChars="200"/>
              <w:rPr>
                <w:rFonts w:hint="eastAsia" w:cs="宋体"/>
                <w:color w:val="auto"/>
                <w:spacing w:val="-4"/>
                <w:szCs w:val="21"/>
                <w:highlight w:val="none"/>
                <w:lang w:val="en-US" w:eastAsia="zh-CN"/>
              </w:rPr>
            </w:pPr>
          </w:p>
          <w:p w14:paraId="65C0380E">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6DE0355C">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2AD1A808">
            <w:pPr>
              <w:keepLines/>
              <w:spacing w:line="360" w:lineRule="auto"/>
              <w:ind w:firstLine="404" w:firstLineChars="200"/>
              <w:rPr>
                <w:rFonts w:ascii="Times New Roman" w:hAnsi="Times New Roman" w:eastAsia="宋体" w:cs="宋体"/>
                <w:color w:val="auto"/>
                <w:spacing w:val="-4"/>
                <w:szCs w:val="21"/>
                <w:highlight w:val="none"/>
              </w:rPr>
            </w:pPr>
          </w:p>
          <w:p w14:paraId="15C8F777">
            <w:pPr>
              <w:keepLines/>
              <w:spacing w:line="360" w:lineRule="auto"/>
              <w:ind w:firstLine="404" w:firstLineChars="200"/>
              <w:rPr>
                <w:rFonts w:hint="eastAsia" w:cs="宋体"/>
                <w:color w:val="auto"/>
                <w:spacing w:val="-4"/>
                <w:szCs w:val="21"/>
                <w:highlight w:val="none"/>
                <w:lang w:val="en-US" w:eastAsia="zh-CN"/>
              </w:rPr>
            </w:pPr>
          </w:p>
          <w:p w14:paraId="0C3C8FB1">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30BD8C10">
            <w:pPr>
              <w:keepLines/>
              <w:spacing w:line="360" w:lineRule="auto"/>
              <w:ind w:firstLine="404" w:firstLineChars="200"/>
              <w:rPr>
                <w:rFonts w:ascii="Times New Roman" w:hAnsi="Times New Roman" w:eastAsia="宋体" w:cs="宋体"/>
                <w:color w:val="auto"/>
                <w:spacing w:val="-4"/>
                <w:szCs w:val="21"/>
                <w:highlight w:val="none"/>
              </w:rPr>
            </w:pPr>
          </w:p>
          <w:p w14:paraId="2FB8189E">
            <w:pPr>
              <w:keepLines/>
              <w:spacing w:line="360" w:lineRule="auto"/>
              <w:ind w:firstLine="404" w:firstLineChars="200"/>
              <w:rPr>
                <w:rFonts w:hint="eastAsia" w:cs="宋体"/>
                <w:color w:val="auto"/>
                <w:spacing w:val="-4"/>
                <w:szCs w:val="21"/>
                <w:highlight w:val="none"/>
                <w:lang w:val="en-US" w:eastAsia="zh-CN"/>
              </w:rPr>
            </w:pPr>
          </w:p>
          <w:p w14:paraId="56DEDA6C">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4255157E">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48E5EE64">
            <w:pPr>
              <w:keepLines/>
              <w:spacing w:line="360" w:lineRule="auto"/>
              <w:ind w:firstLine="404" w:firstLineChars="200"/>
              <w:rPr>
                <w:rFonts w:hint="eastAsia" w:ascii="Times New Roman" w:hAnsi="Times New Roman" w:eastAsia="宋体" w:cs="宋体"/>
                <w:color w:val="auto"/>
                <w:spacing w:val="-4"/>
                <w:szCs w:val="21"/>
                <w:highlight w:val="none"/>
                <w:lang w:val="en-US" w:eastAsia="zh-CN"/>
              </w:rPr>
            </w:pPr>
          </w:p>
          <w:p w14:paraId="4C473734">
            <w:pPr>
              <w:keepLines/>
              <w:spacing w:line="360" w:lineRule="auto"/>
              <w:ind w:firstLine="404" w:firstLineChars="200"/>
              <w:rPr>
                <w:rFonts w:ascii="Times New Roman" w:hAnsi="Times New Roman" w:eastAsia="宋体" w:cs="宋体"/>
                <w:color w:val="auto"/>
                <w:spacing w:val="-4"/>
                <w:szCs w:val="21"/>
                <w:highlight w:val="none"/>
              </w:rPr>
            </w:pPr>
          </w:p>
        </w:tc>
      </w:tr>
    </w:tbl>
    <w:p w14:paraId="0D3F22E9">
      <w:pPr>
        <w:spacing w:line="360" w:lineRule="auto"/>
        <w:outlineLvl w:val="0"/>
        <w:rPr>
          <w:rFonts w:ascii="Times New Roman" w:hAnsi="Times New Roman" w:eastAsia="宋体" w:cs="宋体"/>
          <w:color w:val="auto"/>
          <w:sz w:val="30"/>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9790684">
      <w:pPr>
        <w:pStyle w:val="19"/>
        <w:widowControl w:val="0"/>
        <w:jc w:val="center"/>
        <w:outlineLvl w:val="0"/>
        <w:rPr>
          <w:rFonts w:ascii="Times New Roman" w:hAnsi="Times New Roman" w:eastAsia="宋体" w:cs="宋体"/>
          <w:snapToGrid w:val="0"/>
          <w:color w:val="auto"/>
          <w:sz w:val="30"/>
          <w:szCs w:val="30"/>
          <w:highlight w:val="none"/>
        </w:rPr>
      </w:pPr>
      <w:bookmarkStart w:id="3" w:name="_Toc27408"/>
      <w:r>
        <w:rPr>
          <w:rFonts w:hint="eastAsia" w:ascii="Times New Roman" w:hAnsi="Times New Roman" w:eastAsia="宋体" w:cs="宋体"/>
          <w:snapToGrid w:val="0"/>
          <w:color w:val="auto"/>
          <w:sz w:val="30"/>
          <w:szCs w:val="30"/>
          <w:highlight w:val="none"/>
        </w:rPr>
        <w:t>二、建设项目工程分析</w:t>
      </w:r>
      <w:bookmarkEnd w:id="3"/>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556"/>
      </w:tblGrid>
      <w:tr w14:paraId="339E8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463"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1FB1297">
            <w:pPr>
              <w:pStyle w:val="19"/>
              <w:widowControl w:val="0"/>
              <w:adjustRightInd w:val="0"/>
              <w:snapToGrid w:val="0"/>
              <w:spacing w:before="0" w:beforeAutospacing="0" w:after="0" w:afterAutospacing="0"/>
              <w:jc w:val="center"/>
              <w:rPr>
                <w:rFonts w:ascii="Times New Roman" w:hAnsi="Times New Roman" w:eastAsia="宋体" w:cs="宋体"/>
                <w:b w:val="0"/>
                <w:color w:val="auto"/>
                <w:sz w:val="21"/>
                <w:szCs w:val="21"/>
                <w:highlight w:val="none"/>
              </w:rPr>
            </w:pPr>
            <w:r>
              <w:rPr>
                <w:rFonts w:hint="eastAsia" w:ascii="Times New Roman" w:hAnsi="Times New Roman" w:eastAsia="宋体" w:cs="宋体"/>
                <w:b w:val="0"/>
                <w:color w:val="auto"/>
                <w:sz w:val="21"/>
                <w:szCs w:val="21"/>
                <w:highlight w:val="none"/>
              </w:rPr>
              <w:t>建设内容</w:t>
            </w:r>
          </w:p>
        </w:tc>
        <w:tc>
          <w:tcPr>
            <w:tcW w:w="8430" w:type="dxa"/>
            <w:tcBorders>
              <w:top w:val="single" w:color="000000" w:sz="4" w:space="0"/>
              <w:left w:val="single" w:color="000000" w:sz="4" w:space="0"/>
              <w:bottom w:val="single" w:color="000000" w:sz="4" w:space="0"/>
              <w:right w:val="single" w:color="000000" w:sz="4" w:space="0"/>
            </w:tcBorders>
            <w:shd w:val="clear" w:color="auto" w:fill="FFFFFF"/>
          </w:tcPr>
          <w:p w14:paraId="56FC3003">
            <w:pPr>
              <w:spacing w:line="360" w:lineRule="auto"/>
              <w:ind w:firstLine="464" w:firstLineChars="200"/>
              <w:rPr>
                <w:rFonts w:ascii="Times New Roman" w:hAnsi="Times New Roman" w:eastAsia="宋体" w:cs="宋体"/>
                <w:b w:val="0"/>
                <w:color w:val="auto"/>
                <w:spacing w:val="-4"/>
                <w:sz w:val="24"/>
                <w:highlight w:val="none"/>
              </w:rPr>
            </w:pPr>
            <w:r>
              <w:rPr>
                <w:rFonts w:hint="eastAsia" w:ascii="Times New Roman" w:hAnsi="Times New Roman" w:eastAsia="宋体" w:cs="宋体"/>
                <w:b w:val="0"/>
                <w:color w:val="auto"/>
                <w:spacing w:val="-4"/>
                <w:sz w:val="24"/>
                <w:highlight w:val="none"/>
              </w:rPr>
              <w:t>1、项目由来</w:t>
            </w:r>
          </w:p>
          <w:p w14:paraId="3CA875C7">
            <w:pPr>
              <w:spacing w:line="360" w:lineRule="auto"/>
              <w:ind w:firstLine="480" w:firstLineChars="200"/>
              <w:rPr>
                <w:rFonts w:ascii="Times New Roman" w:hAnsi="Times New Roman" w:eastAsia="宋体" w:cs="宋体"/>
                <w:b w:val="0"/>
                <w:color w:val="auto"/>
                <w:spacing w:val="-4"/>
                <w:sz w:val="24"/>
                <w:highlight w:val="none"/>
              </w:rPr>
            </w:pPr>
            <w:r>
              <w:rPr>
                <w:rFonts w:hint="eastAsia" w:ascii="Times New Roman" w:hAnsi="Times New Roman" w:eastAsia="宋体" w:cs="宋体"/>
                <w:b w:val="0"/>
                <w:color w:val="auto"/>
                <w:sz w:val="24"/>
                <w:highlight w:val="none"/>
              </w:rPr>
              <w:t>常州市文卫管件模具有限公司</w:t>
            </w:r>
            <w:r>
              <w:rPr>
                <w:rFonts w:ascii="Times New Roman" w:hAnsi="Times New Roman" w:eastAsia="宋体" w:cs="宋体"/>
                <w:b w:val="0"/>
                <w:color w:val="auto"/>
                <w:sz w:val="24"/>
                <w:highlight w:val="none"/>
              </w:rPr>
              <w:t>成立于</w:t>
            </w:r>
            <w:r>
              <w:rPr>
                <w:rFonts w:hint="eastAsia" w:ascii="Times New Roman" w:hAnsi="Times New Roman" w:eastAsia="宋体" w:cs="宋体"/>
                <w:b w:val="0"/>
                <w:color w:val="auto"/>
                <w:sz w:val="24"/>
                <w:highlight w:val="none"/>
              </w:rPr>
              <w:t>20</w:t>
            </w:r>
            <w:r>
              <w:rPr>
                <w:rFonts w:hint="eastAsia" w:cs="宋体"/>
                <w:b w:val="0"/>
                <w:color w:val="auto"/>
                <w:sz w:val="24"/>
                <w:highlight w:val="none"/>
                <w:lang w:val="en-US" w:eastAsia="zh-CN"/>
              </w:rPr>
              <w:t>00</w:t>
            </w:r>
            <w:r>
              <w:rPr>
                <w:rFonts w:ascii="Times New Roman" w:hAnsi="Times New Roman" w:eastAsia="宋体" w:cs="宋体"/>
                <w:b w:val="0"/>
                <w:color w:val="auto"/>
                <w:sz w:val="24"/>
                <w:highlight w:val="none"/>
              </w:rPr>
              <w:t>年</w:t>
            </w:r>
            <w:r>
              <w:rPr>
                <w:rFonts w:hint="eastAsia" w:cs="宋体"/>
                <w:b w:val="0"/>
                <w:color w:val="auto"/>
                <w:sz w:val="24"/>
                <w:highlight w:val="none"/>
                <w:lang w:val="en-US" w:eastAsia="zh-CN"/>
              </w:rPr>
              <w:t>7</w:t>
            </w:r>
            <w:r>
              <w:rPr>
                <w:rFonts w:ascii="Times New Roman" w:hAnsi="Times New Roman" w:eastAsia="宋体" w:cs="宋体"/>
                <w:b w:val="0"/>
                <w:color w:val="auto"/>
                <w:sz w:val="24"/>
                <w:highlight w:val="none"/>
              </w:rPr>
              <w:t>月</w:t>
            </w:r>
            <w:r>
              <w:rPr>
                <w:rFonts w:hint="eastAsia" w:ascii="Times New Roman" w:hAnsi="Times New Roman" w:eastAsia="宋体" w:cs="宋体"/>
                <w:b w:val="0"/>
                <w:color w:val="auto"/>
                <w:sz w:val="24"/>
                <w:highlight w:val="none"/>
              </w:rPr>
              <w:t>1</w:t>
            </w:r>
            <w:r>
              <w:rPr>
                <w:rFonts w:hint="eastAsia" w:cs="宋体"/>
                <w:b w:val="0"/>
                <w:color w:val="auto"/>
                <w:sz w:val="24"/>
                <w:highlight w:val="none"/>
                <w:lang w:val="en-US" w:eastAsia="zh-CN"/>
              </w:rPr>
              <w:t>2</w:t>
            </w:r>
            <w:r>
              <w:rPr>
                <w:rFonts w:ascii="Times New Roman" w:hAnsi="Times New Roman" w:eastAsia="宋体" w:cs="宋体"/>
                <w:b w:val="0"/>
                <w:color w:val="auto"/>
                <w:sz w:val="24"/>
                <w:highlight w:val="none"/>
              </w:rPr>
              <w:t>日，</w:t>
            </w:r>
            <w:r>
              <w:rPr>
                <w:rFonts w:hint="eastAsia" w:ascii="Times New Roman" w:hAnsi="Times New Roman" w:eastAsia="宋体" w:cs="宋体"/>
                <w:b w:val="0"/>
                <w:color w:val="auto"/>
                <w:sz w:val="24"/>
                <w:highlight w:val="none"/>
              </w:rPr>
              <w:t>位于</w:t>
            </w:r>
            <w:r>
              <w:rPr>
                <w:rFonts w:hint="eastAsia" w:ascii="Times New Roman" w:hAnsi="Times New Roman" w:eastAsia="宋体" w:cs="宋体"/>
                <w:b w:val="0"/>
                <w:color w:val="auto"/>
                <w:sz w:val="24"/>
                <w:highlight w:val="none"/>
                <w:lang w:eastAsia="zh-CN"/>
              </w:rPr>
              <w:t>江苏省</w:t>
            </w:r>
            <w:r>
              <w:rPr>
                <w:rFonts w:hint="eastAsia" w:cs="宋体"/>
                <w:b w:val="0"/>
                <w:color w:val="auto"/>
                <w:sz w:val="24"/>
                <w:highlight w:val="none"/>
                <w:lang w:eastAsia="zh-CN"/>
              </w:rPr>
              <w:t>常州市金坛区河山环路26号</w:t>
            </w:r>
            <w:r>
              <w:rPr>
                <w:rFonts w:ascii="Times New Roman" w:hAnsi="Times New Roman" w:eastAsia="宋体" w:cs="宋体"/>
                <w:b w:val="0"/>
                <w:color w:val="auto"/>
                <w:sz w:val="24"/>
                <w:highlight w:val="none"/>
              </w:rPr>
              <w:t>，</w:t>
            </w:r>
            <w:r>
              <w:rPr>
                <w:rFonts w:hint="eastAsia" w:ascii="Times New Roman" w:hAnsi="Times New Roman" w:eastAsia="宋体" w:cs="宋体"/>
                <w:b w:val="0"/>
                <w:color w:val="auto"/>
                <w:sz w:val="24"/>
                <w:highlight w:val="none"/>
              </w:rPr>
              <w:t>经营范围：铝压铸件，锌压铸件，模具，塑料制品，橡塑制品制造、加工；机械零部件加工。（依法须经批准的项目，经相关部门批准后方可开展经营活动）</w:t>
            </w:r>
            <w:r>
              <w:rPr>
                <w:rFonts w:hint="eastAsia" w:ascii="Times New Roman" w:hAnsi="Times New Roman" w:eastAsia="宋体" w:cs="宋体"/>
                <w:b w:val="0"/>
                <w:color w:val="auto"/>
                <w:spacing w:val="-4"/>
                <w:sz w:val="24"/>
                <w:highlight w:val="none"/>
              </w:rPr>
              <w:t>。</w:t>
            </w:r>
          </w:p>
          <w:p w14:paraId="2EC8AB23">
            <w:pPr>
              <w:spacing w:line="360" w:lineRule="auto"/>
              <w:ind w:firstLine="480" w:firstLineChars="200"/>
              <w:rPr>
                <w:rFonts w:hint="eastAsia" w:cs="宋体"/>
                <w:b w:val="0"/>
                <w:color w:val="auto"/>
                <w:sz w:val="24"/>
                <w:highlight w:val="none"/>
                <w:lang w:val="en-US" w:eastAsia="zh-CN"/>
              </w:rPr>
            </w:pPr>
            <w:r>
              <w:rPr>
                <w:rFonts w:hint="eastAsia" w:cs="宋体"/>
                <w:b w:val="0"/>
                <w:color w:val="auto"/>
                <w:sz w:val="24"/>
                <w:highlight w:val="none"/>
                <w:lang w:val="en-US" w:eastAsia="zh-CN"/>
              </w:rPr>
              <w:t>公司原注册地址在常州市武进区，前期厂区被征用，故重新在金坛投资建厂。由于当时公司营业执照在常州市武进区，暂时无法迁入金坛，故金坛只能用常州市文卫管件模具有限公司金坛分公司注册，从属于常州市文卫管件模具有限公司。2024年公司营业执照已经迁到金坛，故后期所有金坛分公司的手续会逐步过渡到常州市文卫管件模具有限公司。</w:t>
            </w:r>
          </w:p>
          <w:p w14:paraId="66DD6E32">
            <w:pPr>
              <w:spacing w:line="360" w:lineRule="auto"/>
              <w:ind w:firstLine="480" w:firstLineChars="200"/>
              <w:rPr>
                <w:rFonts w:hint="default" w:ascii="Times New Roman" w:hAnsi="Times New Roman" w:eastAsia="宋体" w:cs="宋体"/>
                <w:b w:val="0"/>
                <w:color w:val="auto"/>
                <w:sz w:val="24"/>
                <w:highlight w:val="none"/>
                <w:lang w:val="en-US" w:eastAsia="zh-CN"/>
              </w:rPr>
            </w:pPr>
            <w:r>
              <w:rPr>
                <w:rFonts w:hint="eastAsia" w:cs="宋体"/>
                <w:b w:val="0"/>
                <w:color w:val="auto"/>
                <w:sz w:val="24"/>
                <w:highlight w:val="none"/>
                <w:lang w:val="en-US" w:eastAsia="zh-CN"/>
              </w:rPr>
              <w:t>公司</w:t>
            </w:r>
            <w:r>
              <w:rPr>
                <w:rFonts w:hint="eastAsia" w:cs="宋体"/>
                <w:b w:val="0"/>
                <w:color w:val="auto"/>
                <w:sz w:val="24"/>
                <w:highlight w:val="none"/>
                <w:lang w:eastAsia="zh-CN"/>
              </w:rPr>
              <w:t>“</w:t>
            </w:r>
            <w:r>
              <w:rPr>
                <w:rFonts w:hint="eastAsia" w:cs="宋体"/>
                <w:b w:val="0"/>
                <w:color w:val="auto"/>
                <w:sz w:val="24"/>
                <w:highlight w:val="none"/>
                <w:lang w:val="en-US" w:eastAsia="zh-CN"/>
              </w:rPr>
              <w:t>新建压铸机、注塑件项目</w:t>
            </w:r>
            <w:r>
              <w:rPr>
                <w:rFonts w:hint="eastAsia" w:cs="宋体"/>
                <w:b w:val="0"/>
                <w:color w:val="auto"/>
                <w:sz w:val="24"/>
                <w:highlight w:val="none"/>
                <w:lang w:eastAsia="zh-CN"/>
              </w:rPr>
              <w:t>”</w:t>
            </w:r>
            <w:r>
              <w:rPr>
                <w:rFonts w:hint="eastAsia" w:cs="宋体"/>
                <w:b w:val="0"/>
                <w:color w:val="auto"/>
                <w:sz w:val="24"/>
                <w:highlight w:val="none"/>
                <w:lang w:val="en-US" w:eastAsia="zh-CN"/>
              </w:rPr>
              <w:t>于2015年6月12日取得了常州市金坛区环境保护局的审批意见（坛环开审[2015]45号），在设计建设过程中，对项目部分建设内容进行了调整，重新报批了环评手续，并于2018年11月27日取得了常州市环境保护局的审批意见（常金环审[2018]140号），该项目于2019年1月通过了自主环保三同时验收，于2019年4月9日取得了常州市生态环境局固体废物污染防治设施验收意见的函（常环金验[2019]35号）。企业于2020年6月22日申领了排污许可证，并于2023年5月31日办理了延续手续，许可证编号：91320413323641574X001U。</w:t>
            </w:r>
          </w:p>
          <w:p w14:paraId="2DD7E928">
            <w:pPr>
              <w:spacing w:line="360" w:lineRule="auto"/>
              <w:ind w:firstLine="480" w:firstLineChars="200"/>
              <w:rPr>
                <w:rFonts w:hint="default" w:ascii="Times New Roman" w:hAnsi="Times New Roman" w:eastAsia="宋体" w:cs="宋体"/>
                <w:b w:val="0"/>
                <w:color w:val="auto"/>
                <w:sz w:val="24"/>
                <w:highlight w:val="none"/>
                <w:lang w:val="en-US" w:eastAsia="zh-CN"/>
              </w:rPr>
            </w:pPr>
            <w:r>
              <w:rPr>
                <w:rFonts w:hint="eastAsia" w:cs="宋体"/>
                <w:b w:val="0"/>
                <w:color w:val="auto"/>
                <w:sz w:val="24"/>
                <w:highlight w:val="none"/>
                <w:lang w:val="en-US" w:eastAsia="zh-CN"/>
              </w:rPr>
              <w:t>为了改善工作环境，转变产品结构，提高产品质量，提高工作效率，形成企业核心竞争力，本项目投资1500万元，利用现有厂房，淘汰原熔化炉，更新天然气熔炼炉、压铸机、数控机床、加工中心、打磨机、钻床、攻丝机、谱分析仪、检测设备等；新增抛丸、振光机、烤箱等；配套升级环保处理设备；本次技改不增加产能，保持原有年产压铸件600吨、注塑件1000万件的生产规模。</w:t>
            </w:r>
          </w:p>
          <w:p w14:paraId="603F8AC5">
            <w:pPr>
              <w:spacing w:line="360" w:lineRule="auto"/>
              <w:ind w:firstLine="480" w:firstLineChars="200"/>
              <w:rPr>
                <w:rFonts w:hint="default" w:ascii="Times New Roman" w:hAnsi="Times New Roman" w:eastAsia="宋体" w:cs="宋体"/>
                <w:b w:val="0"/>
                <w:color w:val="auto"/>
                <w:sz w:val="24"/>
                <w:highlight w:val="none"/>
                <w:lang w:val="en-US" w:eastAsia="zh-CN"/>
              </w:rPr>
            </w:pPr>
            <w:r>
              <w:rPr>
                <w:rFonts w:hint="eastAsia" w:ascii="Times New Roman" w:hAnsi="Times New Roman" w:eastAsia="宋体" w:cs="宋体"/>
                <w:b w:val="0"/>
                <w:color w:val="auto"/>
                <w:sz w:val="24"/>
                <w:highlight w:val="none"/>
                <w:lang w:val="en-US" w:eastAsia="zh-CN"/>
              </w:rPr>
              <w:t>本项目技改内容见表2-1。</w:t>
            </w:r>
          </w:p>
          <w:p w14:paraId="4DA2BE8D">
            <w:pPr>
              <w:tabs>
                <w:tab w:val="left" w:pos="960"/>
              </w:tabs>
              <w:spacing w:beforeLines="50"/>
              <w:jc w:val="center"/>
              <w:rPr>
                <w:rFonts w:hint="eastAsia" w:ascii="Times New Roman" w:hAnsi="Times New Roman" w:eastAsia="宋体" w:cs="宋体"/>
                <w:b w:val="0"/>
                <w:bCs/>
                <w:color w:val="auto"/>
                <w:spacing w:val="-4"/>
                <w:szCs w:val="21"/>
                <w:highlight w:val="none"/>
                <w:lang w:val="en-US" w:eastAsia="zh-CN"/>
              </w:rPr>
            </w:pPr>
          </w:p>
          <w:p w14:paraId="1410F712">
            <w:pPr>
              <w:tabs>
                <w:tab w:val="left" w:pos="960"/>
              </w:tabs>
              <w:spacing w:beforeLines="50"/>
              <w:jc w:val="center"/>
              <w:rPr>
                <w:rFonts w:hint="eastAsia" w:ascii="Times New Roman" w:hAnsi="Times New Roman" w:eastAsia="宋体" w:cs="宋体"/>
                <w:b w:val="0"/>
                <w:bCs/>
                <w:color w:val="auto"/>
                <w:spacing w:val="-4"/>
                <w:szCs w:val="21"/>
                <w:highlight w:val="none"/>
                <w:lang w:val="en-US" w:eastAsia="zh-CN"/>
              </w:rPr>
            </w:pPr>
          </w:p>
          <w:p w14:paraId="3F21DD86">
            <w:pPr>
              <w:tabs>
                <w:tab w:val="left" w:pos="960"/>
              </w:tabs>
              <w:spacing w:beforeLines="50"/>
              <w:jc w:val="center"/>
              <w:rPr>
                <w:rFonts w:hint="eastAsia" w:ascii="Times New Roman" w:hAnsi="Times New Roman" w:eastAsia="宋体" w:cs="宋体"/>
                <w:b w:val="0"/>
                <w:bCs/>
                <w:color w:val="auto"/>
                <w:spacing w:val="-4"/>
                <w:szCs w:val="21"/>
                <w:highlight w:val="none"/>
                <w:lang w:val="en-US" w:eastAsia="zh-CN"/>
              </w:rPr>
            </w:pPr>
          </w:p>
          <w:p w14:paraId="172F81B5">
            <w:pPr>
              <w:tabs>
                <w:tab w:val="left" w:pos="960"/>
              </w:tabs>
              <w:spacing w:beforeLines="50"/>
              <w:jc w:val="center"/>
              <w:rPr>
                <w:rFonts w:hint="default" w:ascii="Times New Roman" w:hAnsi="Times New Roman" w:eastAsia="宋体" w:cs="宋体"/>
                <w:b/>
                <w:bCs w:val="0"/>
                <w:color w:val="auto"/>
                <w:spacing w:val="-4"/>
                <w:szCs w:val="21"/>
                <w:highlight w:val="none"/>
                <w:lang w:val="en-US" w:eastAsia="zh-CN"/>
              </w:rPr>
            </w:pPr>
            <w:r>
              <w:rPr>
                <w:rFonts w:hint="eastAsia" w:ascii="Times New Roman" w:hAnsi="Times New Roman" w:eastAsia="宋体" w:cs="宋体"/>
                <w:b/>
                <w:bCs w:val="0"/>
                <w:color w:val="auto"/>
                <w:spacing w:val="-4"/>
                <w:szCs w:val="21"/>
                <w:highlight w:val="none"/>
                <w:lang w:val="en-US" w:eastAsia="zh-CN"/>
              </w:rPr>
              <w:t>表2.1-1 本项目技改内容一览表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272"/>
              <w:gridCol w:w="2273"/>
              <w:gridCol w:w="2288"/>
              <w:gridCol w:w="817"/>
            </w:tblGrid>
            <w:tr w14:paraId="036B6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vMerge w:val="restart"/>
                  <w:noWrap w:val="0"/>
                  <w:vAlign w:val="center"/>
                </w:tcPr>
                <w:p w14:paraId="4316659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工艺</w:t>
                  </w:r>
                </w:p>
                <w:p w14:paraId="17BD29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名称</w:t>
                  </w:r>
                </w:p>
              </w:tc>
              <w:tc>
                <w:tcPr>
                  <w:tcW w:w="4097" w:type="pct"/>
                  <w:gridSpan w:val="3"/>
                  <w:noWrap w:val="0"/>
                  <w:vAlign w:val="center"/>
                </w:tcPr>
                <w:p w14:paraId="2F0F47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生产工艺</w:t>
                  </w:r>
                </w:p>
              </w:tc>
              <w:tc>
                <w:tcPr>
                  <w:tcW w:w="489" w:type="pct"/>
                  <w:vMerge w:val="restart"/>
                  <w:noWrap w:val="0"/>
                  <w:vAlign w:val="center"/>
                </w:tcPr>
                <w:p w14:paraId="614018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备注</w:t>
                  </w:r>
                </w:p>
              </w:tc>
            </w:tr>
            <w:tr w14:paraId="3AE24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vMerge w:val="continue"/>
                  <w:noWrap w:val="0"/>
                  <w:vAlign w:val="center"/>
                </w:tcPr>
                <w:p w14:paraId="491B5B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bCs/>
                      <w:color w:val="auto"/>
                      <w:spacing w:val="-2"/>
                      <w:sz w:val="18"/>
                      <w:szCs w:val="18"/>
                      <w:vertAlign w:val="baseline"/>
                    </w:rPr>
                  </w:pPr>
                </w:p>
              </w:tc>
              <w:tc>
                <w:tcPr>
                  <w:tcW w:w="1362" w:type="pct"/>
                  <w:noWrap w:val="0"/>
                  <w:vAlign w:val="center"/>
                </w:tcPr>
                <w:p w14:paraId="7EE98CB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技改前</w:t>
                  </w:r>
                </w:p>
              </w:tc>
              <w:tc>
                <w:tcPr>
                  <w:tcW w:w="1363" w:type="pct"/>
                  <w:tcBorders>
                    <w:right w:val="single" w:color="auto" w:sz="2" w:space="0"/>
                  </w:tcBorders>
                  <w:noWrap w:val="0"/>
                  <w:vAlign w:val="center"/>
                </w:tcPr>
                <w:p w14:paraId="586417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技改后</w:t>
                  </w:r>
                </w:p>
              </w:tc>
              <w:tc>
                <w:tcPr>
                  <w:tcW w:w="1372" w:type="pct"/>
                  <w:tcBorders>
                    <w:left w:val="single" w:color="auto" w:sz="2" w:space="0"/>
                  </w:tcBorders>
                  <w:noWrap w:val="0"/>
                  <w:vAlign w:val="center"/>
                </w:tcPr>
                <w:p w14:paraId="1A823C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bCs w:val="0"/>
                      <w:color w:val="auto"/>
                      <w:spacing w:val="-2"/>
                      <w:sz w:val="18"/>
                      <w:szCs w:val="18"/>
                      <w:vertAlign w:val="baseline"/>
                      <w:lang w:val="en-US" w:eastAsia="zh-CN"/>
                    </w:rPr>
                  </w:pPr>
                  <w:r>
                    <w:rPr>
                      <w:rFonts w:hint="eastAsia" w:ascii="Times New Roman" w:hAnsi="Times New Roman" w:eastAsia="宋体" w:cs="Times New Roman"/>
                      <w:b/>
                      <w:bCs w:val="0"/>
                      <w:color w:val="auto"/>
                      <w:spacing w:val="-2"/>
                      <w:sz w:val="18"/>
                      <w:szCs w:val="18"/>
                      <w:vertAlign w:val="baseline"/>
                      <w:lang w:val="en-US" w:eastAsia="zh-CN"/>
                    </w:rPr>
                    <w:t>变化情况</w:t>
                  </w:r>
                </w:p>
              </w:tc>
              <w:tc>
                <w:tcPr>
                  <w:tcW w:w="489" w:type="pct"/>
                  <w:vMerge w:val="continue"/>
                  <w:noWrap w:val="0"/>
                  <w:vAlign w:val="center"/>
                </w:tcPr>
                <w:p w14:paraId="1A16A6F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color w:val="auto"/>
                      <w:spacing w:val="-2"/>
                      <w:sz w:val="18"/>
                      <w:szCs w:val="18"/>
                      <w:vertAlign w:val="baseline"/>
                    </w:rPr>
                  </w:pPr>
                </w:p>
              </w:tc>
            </w:tr>
            <w:tr w14:paraId="09F53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7EAD6D6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熔化</w:t>
                  </w:r>
                </w:p>
              </w:tc>
              <w:tc>
                <w:tcPr>
                  <w:tcW w:w="1362" w:type="pct"/>
                  <w:noWrap w:val="0"/>
                  <w:vAlign w:val="center"/>
                </w:tcPr>
                <w:p w14:paraId="780D9D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200kg天然气熔化炉3台</w:t>
                  </w:r>
                </w:p>
                <w:p w14:paraId="70DB3ED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600kg天然气熔化炉3台</w:t>
                  </w:r>
                </w:p>
              </w:tc>
              <w:tc>
                <w:tcPr>
                  <w:tcW w:w="1363" w:type="pct"/>
                  <w:tcBorders>
                    <w:right w:val="single" w:color="auto" w:sz="2" w:space="0"/>
                  </w:tcBorders>
                  <w:noWrap w:val="0"/>
                  <w:vAlign w:val="center"/>
                </w:tcPr>
                <w:p w14:paraId="1906099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1000kg天然气熔化炉1台</w:t>
                  </w:r>
                </w:p>
                <w:p w14:paraId="282B27B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600kg天然气熔化炉3台</w:t>
                  </w:r>
                </w:p>
                <w:p w14:paraId="7DC855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500kg天然气熔化炉1台</w:t>
                  </w:r>
                </w:p>
                <w:p w14:paraId="678D601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400kg天然气熔化炉1台</w:t>
                  </w:r>
                </w:p>
                <w:p w14:paraId="5C5501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300kg天然气熔化炉1台</w:t>
                  </w:r>
                </w:p>
                <w:p w14:paraId="0CC3273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150kg电熔化炉1台</w:t>
                  </w:r>
                </w:p>
              </w:tc>
              <w:tc>
                <w:tcPr>
                  <w:tcW w:w="1372" w:type="pct"/>
                  <w:tcBorders>
                    <w:left w:val="single" w:color="auto" w:sz="2" w:space="0"/>
                  </w:tcBorders>
                  <w:noWrap w:val="0"/>
                  <w:vAlign w:val="center"/>
                </w:tcPr>
                <w:p w14:paraId="6B4D5D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淘汰老旧天然气熔化炉，天然气/电熔化炉设计熔化能力提升，但为保证安全生产，熔化炉仅匹配对应型号的压铸机，铝液熔化后进入保温状态，熔炼能力不变</w:t>
                  </w:r>
                </w:p>
              </w:tc>
              <w:tc>
                <w:tcPr>
                  <w:tcW w:w="489" w:type="pct"/>
                  <w:noWrap w:val="0"/>
                  <w:vAlign w:val="center"/>
                </w:tcPr>
                <w:p w14:paraId="5987C0E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519BF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tcBorders>
                    <w:top w:val="single" w:color="auto" w:sz="2" w:space="0"/>
                  </w:tcBorders>
                  <w:noWrap w:val="0"/>
                  <w:vAlign w:val="center"/>
                </w:tcPr>
                <w:p w14:paraId="4A4E43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压铸</w:t>
                  </w:r>
                </w:p>
              </w:tc>
              <w:tc>
                <w:tcPr>
                  <w:tcW w:w="1362" w:type="pct"/>
                  <w:noWrap w:val="0"/>
                  <w:vAlign w:val="center"/>
                </w:tcPr>
                <w:p w14:paraId="44A6AEB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400t压铸机1台</w:t>
                  </w:r>
                </w:p>
                <w:p w14:paraId="6532EB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160t压铸机2台</w:t>
                  </w:r>
                </w:p>
                <w:p w14:paraId="7189796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63t压铸机1台</w:t>
                  </w:r>
                </w:p>
                <w:p w14:paraId="050AC2C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80t压铸机1台</w:t>
                  </w:r>
                </w:p>
                <w:p w14:paraId="6A86C4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45t压铸机2台</w:t>
                  </w:r>
                </w:p>
              </w:tc>
              <w:tc>
                <w:tcPr>
                  <w:tcW w:w="1363" w:type="pct"/>
                  <w:tcBorders>
                    <w:right w:val="single" w:color="auto" w:sz="2" w:space="0"/>
                  </w:tcBorders>
                  <w:noWrap w:val="0"/>
                  <w:vAlign w:val="center"/>
                </w:tcPr>
                <w:p w14:paraId="7A3A76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900t压铸机1台</w:t>
                  </w:r>
                </w:p>
                <w:p w14:paraId="213FD0A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500t压铸机2台</w:t>
                  </w:r>
                </w:p>
                <w:p w14:paraId="041786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400t压铸机1台</w:t>
                  </w:r>
                </w:p>
                <w:p w14:paraId="19ACB31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300t压铸机2台</w:t>
                  </w:r>
                </w:p>
                <w:p w14:paraId="555AFF7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280t压铸机1台</w:t>
                  </w:r>
                </w:p>
                <w:p w14:paraId="4A42C1A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rPr>
                  </w:pPr>
                  <w:r>
                    <w:rPr>
                      <w:rFonts w:hint="eastAsia" w:ascii="Times New Roman" w:hAnsi="Times New Roman" w:eastAsia="宋体" w:cs="Times New Roman"/>
                      <w:b w:val="0"/>
                      <w:color w:val="auto"/>
                      <w:spacing w:val="-2"/>
                      <w:sz w:val="18"/>
                      <w:szCs w:val="18"/>
                      <w:vertAlign w:val="baseline"/>
                      <w:lang w:val="en-US" w:eastAsia="zh-CN"/>
                    </w:rPr>
                    <w:t>160t压铸机1台</w:t>
                  </w:r>
                </w:p>
              </w:tc>
              <w:tc>
                <w:tcPr>
                  <w:tcW w:w="1372" w:type="pct"/>
                  <w:tcBorders>
                    <w:left w:val="single" w:color="auto" w:sz="2" w:space="0"/>
                  </w:tcBorders>
                  <w:noWrap w:val="0"/>
                  <w:vAlign w:val="center"/>
                </w:tcPr>
                <w:p w14:paraId="4A57C1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淘汰老旧压铸机，由间歇压铸提升为连续压铸；同时由于产品的大小及形状的复杂性，压铸机吨位发生了变化；为减少模具的更换频次，压铸机只针对相应的产品进行生产，压铸能力不变</w:t>
                  </w:r>
                </w:p>
              </w:tc>
              <w:tc>
                <w:tcPr>
                  <w:tcW w:w="489" w:type="pct"/>
                  <w:noWrap w:val="0"/>
                  <w:vAlign w:val="center"/>
                </w:tcPr>
                <w:p w14:paraId="18E52A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117A0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794B885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脱模</w:t>
                  </w:r>
                </w:p>
              </w:tc>
              <w:tc>
                <w:tcPr>
                  <w:tcW w:w="1362" w:type="pct"/>
                  <w:noWrap w:val="0"/>
                  <w:vAlign w:val="center"/>
                </w:tcPr>
                <w:p w14:paraId="50A4A6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T800脱模涂料粉末</w:t>
                  </w:r>
                </w:p>
              </w:tc>
              <w:tc>
                <w:tcPr>
                  <w:tcW w:w="1363" w:type="pct"/>
                  <w:tcBorders>
                    <w:right w:val="single" w:color="auto" w:sz="2" w:space="0"/>
                  </w:tcBorders>
                  <w:noWrap w:val="0"/>
                  <w:vAlign w:val="center"/>
                </w:tcPr>
                <w:p w14:paraId="65CA530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脱模剂</w:t>
                  </w:r>
                </w:p>
              </w:tc>
              <w:tc>
                <w:tcPr>
                  <w:tcW w:w="1372" w:type="pct"/>
                  <w:tcBorders>
                    <w:left w:val="single" w:color="auto" w:sz="2" w:space="0"/>
                  </w:tcBorders>
                  <w:noWrap w:val="0"/>
                  <w:vAlign w:val="center"/>
                </w:tcPr>
                <w:p w14:paraId="7E08117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考虑安全因素，采用液态脱模剂</w:t>
                  </w:r>
                </w:p>
              </w:tc>
              <w:tc>
                <w:tcPr>
                  <w:tcW w:w="489" w:type="pct"/>
                  <w:noWrap w:val="0"/>
                  <w:vAlign w:val="center"/>
                </w:tcPr>
                <w:p w14:paraId="47244BE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38335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610F5F5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打磨</w:t>
                  </w:r>
                </w:p>
              </w:tc>
              <w:tc>
                <w:tcPr>
                  <w:tcW w:w="1362" w:type="pct"/>
                  <w:noWrap w:val="0"/>
                  <w:vAlign w:val="center"/>
                </w:tcPr>
                <w:p w14:paraId="350F81C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打磨粉尘以无组织形式排放至大气环境中</w:t>
                  </w:r>
                </w:p>
              </w:tc>
              <w:tc>
                <w:tcPr>
                  <w:tcW w:w="1363" w:type="pct"/>
                  <w:tcBorders>
                    <w:right w:val="single" w:color="auto" w:sz="2" w:space="0"/>
                  </w:tcBorders>
                  <w:noWrap w:val="0"/>
                  <w:vAlign w:val="center"/>
                </w:tcPr>
                <w:p w14:paraId="0EA09F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6"/>
                      <w:kern w:val="2"/>
                      <w:sz w:val="18"/>
                      <w:szCs w:val="18"/>
                      <w:vertAlign w:val="baseline"/>
                      <w:lang w:val="en-US" w:eastAsia="zh-CN" w:bidi="ar-SA"/>
                    </w:rPr>
                    <w:t>5台打磨机在湿式打磨台进行，粉尘经配套湿式除尘器处理后以无组织形式排放至大气环境中；1台卧式打磨机配套水膜除尘器，粉尘经水膜除尘器处理后以无组织形式排放至大气环境中</w:t>
                  </w:r>
                </w:p>
              </w:tc>
              <w:tc>
                <w:tcPr>
                  <w:tcW w:w="1372" w:type="pct"/>
                  <w:tcBorders>
                    <w:left w:val="single" w:color="auto" w:sz="2" w:space="0"/>
                  </w:tcBorders>
                  <w:noWrap w:val="0"/>
                  <w:vAlign w:val="center"/>
                </w:tcPr>
                <w:p w14:paraId="7751A97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提升安全生产，减少颗粒物的排放量</w:t>
                  </w:r>
                </w:p>
              </w:tc>
              <w:tc>
                <w:tcPr>
                  <w:tcW w:w="489" w:type="pct"/>
                  <w:noWrap w:val="0"/>
                  <w:vAlign w:val="center"/>
                </w:tcPr>
                <w:p w14:paraId="274EF03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0A46C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333DC84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抛丸</w:t>
                  </w:r>
                </w:p>
              </w:tc>
              <w:tc>
                <w:tcPr>
                  <w:tcW w:w="1362" w:type="pct"/>
                  <w:noWrap w:val="0"/>
                  <w:vAlign w:val="center"/>
                </w:tcPr>
                <w:p w14:paraId="3832DF3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w:t>
                  </w:r>
                </w:p>
              </w:tc>
              <w:tc>
                <w:tcPr>
                  <w:tcW w:w="1363" w:type="pct"/>
                  <w:tcBorders>
                    <w:right w:val="single" w:color="auto" w:sz="2" w:space="0"/>
                  </w:tcBorders>
                  <w:noWrap w:val="0"/>
                  <w:vAlign w:val="center"/>
                </w:tcPr>
                <w:p w14:paraId="5942719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新增抛丸工段，同时配套湿式除尘器，抛丸粉尘经湿式除尘器</w:t>
                  </w:r>
                  <w:r>
                    <w:rPr>
                      <w:rFonts w:hint="eastAsia" w:ascii="Times New Roman" w:hAnsi="Times New Roman" w:eastAsia="宋体" w:cs="Times New Roman"/>
                      <w:b w:val="0"/>
                      <w:color w:val="auto"/>
                      <w:spacing w:val="-6"/>
                      <w:kern w:val="2"/>
                      <w:sz w:val="18"/>
                      <w:szCs w:val="18"/>
                      <w:vertAlign w:val="baseline"/>
                      <w:lang w:val="en-US" w:eastAsia="zh-CN" w:bidi="ar-SA"/>
                    </w:rPr>
                    <w:t>处理后以无组织形式排放至大气环境中</w:t>
                  </w:r>
                </w:p>
              </w:tc>
              <w:tc>
                <w:tcPr>
                  <w:tcW w:w="1372" w:type="pct"/>
                  <w:tcBorders>
                    <w:left w:val="single" w:color="auto" w:sz="2" w:space="0"/>
                  </w:tcBorders>
                  <w:noWrap w:val="0"/>
                  <w:vAlign w:val="center"/>
                </w:tcPr>
                <w:p w14:paraId="537FCC5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增加抛丸工序，配套湿式除尘器减少颗粒物的排放量</w:t>
                  </w:r>
                </w:p>
              </w:tc>
              <w:tc>
                <w:tcPr>
                  <w:tcW w:w="489" w:type="pct"/>
                  <w:noWrap w:val="0"/>
                  <w:vAlign w:val="center"/>
                </w:tcPr>
                <w:p w14:paraId="17D251C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60BC0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4C4DE1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振光</w:t>
                  </w:r>
                </w:p>
              </w:tc>
              <w:tc>
                <w:tcPr>
                  <w:tcW w:w="1362" w:type="pct"/>
                  <w:noWrap w:val="0"/>
                  <w:vAlign w:val="center"/>
                </w:tcPr>
                <w:p w14:paraId="3D518F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w:t>
                  </w:r>
                </w:p>
              </w:tc>
              <w:tc>
                <w:tcPr>
                  <w:tcW w:w="1363" w:type="pct"/>
                  <w:tcBorders>
                    <w:right w:val="single" w:color="auto" w:sz="2" w:space="0"/>
                  </w:tcBorders>
                  <w:noWrap w:val="0"/>
                  <w:vAlign w:val="center"/>
                </w:tcPr>
                <w:p w14:paraId="42A8BBD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新增振光工段，振光废水经废水处理设施处理后回用于清洗工序</w:t>
                  </w:r>
                </w:p>
              </w:tc>
              <w:tc>
                <w:tcPr>
                  <w:tcW w:w="1372" w:type="pct"/>
                  <w:vMerge w:val="restart"/>
                  <w:tcBorders>
                    <w:left w:val="single" w:color="auto" w:sz="2" w:space="0"/>
                  </w:tcBorders>
                  <w:noWrap w:val="0"/>
                  <w:vAlign w:val="center"/>
                </w:tcPr>
                <w:p w14:paraId="5C8DD9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根据客户需求，提升产品的光亮度和清洁度</w:t>
                  </w:r>
                </w:p>
              </w:tc>
              <w:tc>
                <w:tcPr>
                  <w:tcW w:w="489" w:type="pct"/>
                  <w:vMerge w:val="restart"/>
                  <w:noWrap w:val="0"/>
                  <w:vAlign w:val="center"/>
                </w:tcPr>
                <w:p w14:paraId="58CF41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w:t>
                  </w:r>
                </w:p>
              </w:tc>
            </w:tr>
            <w:tr w14:paraId="466A4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0B93166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ascii="Times New Roman" w:hAnsi="Times New Roman" w:eastAsia="宋体" w:cs="Times New Roman"/>
                      <w:b w:val="0"/>
                      <w:color w:val="auto"/>
                      <w:spacing w:val="-2"/>
                      <w:sz w:val="18"/>
                      <w:szCs w:val="18"/>
                      <w:vertAlign w:val="baseline"/>
                      <w:lang w:val="en-US" w:eastAsia="zh-CN"/>
                    </w:rPr>
                    <w:t>清洗</w:t>
                  </w:r>
                </w:p>
              </w:tc>
              <w:tc>
                <w:tcPr>
                  <w:tcW w:w="1362" w:type="pct"/>
                  <w:noWrap w:val="0"/>
                  <w:vAlign w:val="center"/>
                </w:tcPr>
                <w:p w14:paraId="34ADD99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w:t>
                  </w:r>
                </w:p>
              </w:tc>
              <w:tc>
                <w:tcPr>
                  <w:tcW w:w="1363" w:type="pct"/>
                  <w:tcBorders>
                    <w:right w:val="single" w:color="auto" w:sz="2" w:space="0"/>
                  </w:tcBorders>
                  <w:noWrap w:val="0"/>
                  <w:vAlign w:val="center"/>
                </w:tcPr>
                <w:p w14:paraId="5AD5B9F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ascii="Times New Roman" w:hAnsi="Times New Roman" w:eastAsia="宋体" w:cs="Times New Roman"/>
                      <w:b w:val="0"/>
                      <w:color w:val="auto"/>
                      <w:spacing w:val="-2"/>
                      <w:kern w:val="2"/>
                      <w:sz w:val="18"/>
                      <w:szCs w:val="18"/>
                      <w:vertAlign w:val="baseline"/>
                      <w:lang w:val="en-US" w:eastAsia="zh-CN" w:bidi="ar-SA"/>
                    </w:rPr>
                    <w:t>新增清洗工序，清洗废水经废水处理设施处理后回用于清洗工序</w:t>
                  </w:r>
                </w:p>
              </w:tc>
              <w:tc>
                <w:tcPr>
                  <w:tcW w:w="1372" w:type="pct"/>
                  <w:vMerge w:val="continue"/>
                  <w:tcBorders>
                    <w:left w:val="single" w:color="auto" w:sz="2" w:space="0"/>
                  </w:tcBorders>
                  <w:noWrap w:val="0"/>
                  <w:vAlign w:val="center"/>
                </w:tcPr>
                <w:p w14:paraId="4B2A800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p>
              </w:tc>
              <w:tc>
                <w:tcPr>
                  <w:tcW w:w="489" w:type="pct"/>
                  <w:vMerge w:val="continue"/>
                  <w:noWrap w:val="0"/>
                  <w:vAlign w:val="center"/>
                </w:tcPr>
                <w:p w14:paraId="311D494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Times New Roman" w:hAnsi="Times New Roman" w:eastAsia="宋体" w:cs="Times New Roman"/>
                      <w:b w:val="0"/>
                      <w:color w:val="auto"/>
                      <w:spacing w:val="-2"/>
                      <w:sz w:val="18"/>
                      <w:szCs w:val="18"/>
                      <w:vertAlign w:val="baseline"/>
                    </w:rPr>
                  </w:pPr>
                </w:p>
              </w:tc>
            </w:tr>
            <w:tr w14:paraId="0E615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2" w:type="pct"/>
                  <w:noWrap w:val="0"/>
                  <w:vAlign w:val="center"/>
                </w:tcPr>
                <w:p w14:paraId="5AD9D9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sz w:val="18"/>
                      <w:szCs w:val="18"/>
                      <w:vertAlign w:val="baseline"/>
                      <w:lang w:val="en-US" w:eastAsia="zh-CN"/>
                    </w:rPr>
                  </w:pPr>
                  <w:r>
                    <w:rPr>
                      <w:rFonts w:hint="eastAsia" w:cs="Times New Roman"/>
                      <w:b w:val="0"/>
                      <w:color w:val="auto"/>
                      <w:spacing w:val="-2"/>
                      <w:sz w:val="18"/>
                      <w:szCs w:val="18"/>
                      <w:vertAlign w:val="baseline"/>
                      <w:lang w:val="en-US" w:eastAsia="zh-CN"/>
                    </w:rPr>
                    <w:t>废气处理</w:t>
                  </w:r>
                </w:p>
              </w:tc>
              <w:tc>
                <w:tcPr>
                  <w:tcW w:w="1362" w:type="pct"/>
                  <w:noWrap w:val="0"/>
                  <w:vAlign w:val="center"/>
                </w:tcPr>
                <w:p w14:paraId="7419135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cs="Times New Roman"/>
                      <w:b w:val="0"/>
                      <w:color w:val="auto"/>
                      <w:spacing w:val="0"/>
                      <w:kern w:val="2"/>
                      <w:sz w:val="18"/>
                      <w:szCs w:val="18"/>
                      <w:vertAlign w:val="baseline"/>
                      <w:lang w:val="en-US" w:eastAsia="zh-CN" w:bidi="ar-SA"/>
                    </w:rPr>
                    <w:t>熔化烟尘、天然气燃烧废气经水喷淋装置处理，风机风量11247m</w:t>
                  </w:r>
                  <w:r>
                    <w:rPr>
                      <w:rFonts w:hint="eastAsia" w:cs="Times New Roman"/>
                      <w:b w:val="0"/>
                      <w:color w:val="auto"/>
                      <w:spacing w:val="0"/>
                      <w:kern w:val="2"/>
                      <w:sz w:val="18"/>
                      <w:szCs w:val="18"/>
                      <w:vertAlign w:val="superscript"/>
                      <w:lang w:val="en-US" w:eastAsia="zh-CN" w:bidi="ar-SA"/>
                    </w:rPr>
                    <w:t>3</w:t>
                  </w:r>
                  <w:r>
                    <w:rPr>
                      <w:rFonts w:hint="eastAsia" w:cs="Times New Roman"/>
                      <w:b w:val="0"/>
                      <w:color w:val="auto"/>
                      <w:spacing w:val="0"/>
                      <w:kern w:val="2"/>
                      <w:sz w:val="18"/>
                      <w:szCs w:val="18"/>
                      <w:vertAlign w:val="baseline"/>
                      <w:lang w:val="en-US" w:eastAsia="zh-CN" w:bidi="ar-SA"/>
                    </w:rPr>
                    <w:t>/h；脱模废气、压铸烟尘经布袋除尘器+静电除油+二级活性炭吸附装置处理，风机风量10000m</w:t>
                  </w:r>
                  <w:r>
                    <w:rPr>
                      <w:rFonts w:hint="eastAsia" w:cs="Times New Roman"/>
                      <w:b w:val="0"/>
                      <w:color w:val="auto"/>
                      <w:spacing w:val="0"/>
                      <w:kern w:val="2"/>
                      <w:sz w:val="18"/>
                      <w:szCs w:val="18"/>
                      <w:vertAlign w:val="superscript"/>
                      <w:lang w:val="en-US" w:eastAsia="zh-CN" w:bidi="ar-SA"/>
                    </w:rPr>
                    <w:t>3</w:t>
                  </w:r>
                  <w:r>
                    <w:rPr>
                      <w:rFonts w:hint="eastAsia" w:cs="Times New Roman"/>
                      <w:b w:val="0"/>
                      <w:color w:val="auto"/>
                      <w:spacing w:val="0"/>
                      <w:kern w:val="2"/>
                      <w:sz w:val="18"/>
                      <w:szCs w:val="18"/>
                      <w:vertAlign w:val="baseline"/>
                      <w:lang w:val="en-US" w:eastAsia="zh-CN" w:bidi="ar-SA"/>
                    </w:rPr>
                    <w:t>/h，一并经15m高排气筒排放</w:t>
                  </w:r>
                </w:p>
              </w:tc>
              <w:tc>
                <w:tcPr>
                  <w:tcW w:w="1363" w:type="pct"/>
                  <w:tcBorders>
                    <w:right w:val="single" w:color="auto" w:sz="2" w:space="0"/>
                  </w:tcBorders>
                  <w:noWrap w:val="0"/>
                  <w:vAlign w:val="center"/>
                </w:tcPr>
                <w:p w14:paraId="34C1522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kern w:val="2"/>
                      <w:sz w:val="18"/>
                      <w:szCs w:val="18"/>
                      <w:vertAlign w:val="baseline"/>
                      <w:lang w:val="en-US" w:eastAsia="zh-CN" w:bidi="ar-SA"/>
                    </w:rPr>
                  </w:pPr>
                  <w:r>
                    <w:rPr>
                      <w:rFonts w:hint="eastAsia" w:cs="Times New Roman"/>
                      <w:b w:val="0"/>
                      <w:color w:val="auto"/>
                      <w:spacing w:val="-2"/>
                      <w:kern w:val="2"/>
                      <w:sz w:val="18"/>
                      <w:szCs w:val="18"/>
                      <w:vertAlign w:val="baseline"/>
                      <w:lang w:val="en-US" w:eastAsia="zh-CN" w:bidi="ar-SA"/>
                    </w:rPr>
                    <w:t>熔化烟尘、天然气燃烧废气经水喷淋装置处理，风机风量11247m</w:t>
                  </w:r>
                  <w:r>
                    <w:rPr>
                      <w:rFonts w:hint="eastAsia" w:cs="Times New Roman"/>
                      <w:b w:val="0"/>
                      <w:color w:val="auto"/>
                      <w:spacing w:val="-2"/>
                      <w:kern w:val="2"/>
                      <w:sz w:val="18"/>
                      <w:szCs w:val="18"/>
                      <w:vertAlign w:val="superscript"/>
                      <w:lang w:val="en-US" w:eastAsia="zh-CN" w:bidi="ar-SA"/>
                    </w:rPr>
                    <w:t>3</w:t>
                  </w:r>
                  <w:r>
                    <w:rPr>
                      <w:rFonts w:hint="eastAsia" w:cs="Times New Roman"/>
                      <w:b w:val="0"/>
                      <w:color w:val="auto"/>
                      <w:spacing w:val="-2"/>
                      <w:kern w:val="2"/>
                      <w:sz w:val="18"/>
                      <w:szCs w:val="18"/>
                      <w:vertAlign w:val="baseline"/>
                      <w:lang w:val="en-US" w:eastAsia="zh-CN" w:bidi="ar-SA"/>
                    </w:rPr>
                    <w:t>/h；脱模废气、压铸烟尘经静电除油+水喷淋+除湿+二级活性炭吸附装置处理，风机风量10000m</w:t>
                  </w:r>
                  <w:r>
                    <w:rPr>
                      <w:rFonts w:hint="eastAsia" w:cs="Times New Roman"/>
                      <w:b w:val="0"/>
                      <w:color w:val="auto"/>
                      <w:spacing w:val="-2"/>
                      <w:kern w:val="2"/>
                      <w:sz w:val="18"/>
                      <w:szCs w:val="18"/>
                      <w:vertAlign w:val="superscript"/>
                      <w:lang w:val="en-US" w:eastAsia="zh-CN" w:bidi="ar-SA"/>
                    </w:rPr>
                    <w:t>3</w:t>
                  </w:r>
                  <w:r>
                    <w:rPr>
                      <w:rFonts w:hint="eastAsia" w:cs="Times New Roman"/>
                      <w:b w:val="0"/>
                      <w:color w:val="auto"/>
                      <w:spacing w:val="-2"/>
                      <w:kern w:val="2"/>
                      <w:sz w:val="18"/>
                      <w:szCs w:val="18"/>
                      <w:vertAlign w:val="baseline"/>
                      <w:lang w:val="en-US" w:eastAsia="zh-CN" w:bidi="ar-SA"/>
                    </w:rPr>
                    <w:t>/h，一并经15m高排气筒排放</w:t>
                  </w:r>
                </w:p>
              </w:tc>
              <w:tc>
                <w:tcPr>
                  <w:tcW w:w="1372" w:type="pct"/>
                  <w:tcBorders>
                    <w:left w:val="single" w:color="auto" w:sz="2" w:space="0"/>
                  </w:tcBorders>
                  <w:noWrap w:val="0"/>
                  <w:vAlign w:val="center"/>
                </w:tcPr>
                <w:p w14:paraId="3F4E610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b w:val="0"/>
                      <w:color w:val="auto"/>
                      <w:spacing w:val="-2"/>
                      <w:kern w:val="2"/>
                      <w:sz w:val="18"/>
                      <w:szCs w:val="18"/>
                      <w:vertAlign w:val="baseline"/>
                      <w:lang w:val="en-US" w:eastAsia="zh-CN" w:bidi="ar-SA"/>
                    </w:rPr>
                  </w:pPr>
                  <w:r>
                    <w:rPr>
                      <w:rFonts w:hint="eastAsia" w:cs="Times New Roman"/>
                      <w:b w:val="0"/>
                      <w:color w:val="auto"/>
                      <w:spacing w:val="-2"/>
                      <w:kern w:val="2"/>
                      <w:sz w:val="18"/>
                      <w:szCs w:val="18"/>
                      <w:vertAlign w:val="baseline"/>
                      <w:lang w:val="en-US" w:eastAsia="zh-CN" w:bidi="ar-SA"/>
                    </w:rPr>
                    <w:t>考虑到安全因素，脱模及压铸工序废气处理装置由布袋除尘器提升为水喷淋处理装置</w:t>
                  </w:r>
                </w:p>
              </w:tc>
              <w:tc>
                <w:tcPr>
                  <w:tcW w:w="489" w:type="pct"/>
                  <w:noWrap w:val="0"/>
                  <w:vAlign w:val="center"/>
                </w:tcPr>
                <w:p w14:paraId="05C7021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b w:val="0"/>
                      <w:color w:val="auto"/>
                      <w:spacing w:val="-2"/>
                      <w:sz w:val="18"/>
                      <w:szCs w:val="18"/>
                      <w:vertAlign w:val="baseline"/>
                      <w:lang w:val="en-US" w:eastAsia="zh-CN"/>
                    </w:rPr>
                  </w:pPr>
                  <w:r>
                    <w:rPr>
                      <w:rFonts w:hint="eastAsia" w:cs="Times New Roman"/>
                      <w:b w:val="0"/>
                      <w:color w:val="auto"/>
                      <w:spacing w:val="-2"/>
                      <w:sz w:val="18"/>
                      <w:szCs w:val="18"/>
                      <w:vertAlign w:val="baseline"/>
                      <w:lang w:val="en-US" w:eastAsia="zh-CN"/>
                    </w:rPr>
                    <w:t>/</w:t>
                  </w:r>
                </w:p>
              </w:tc>
            </w:tr>
          </w:tbl>
          <w:p w14:paraId="489A9C3D">
            <w:pPr>
              <w:spacing w:line="360" w:lineRule="auto"/>
              <w:ind w:firstLine="480" w:firstLineChars="200"/>
              <w:rPr>
                <w:rFonts w:ascii="Times New Roman" w:hAnsi="Times New Roman" w:eastAsia="宋体" w:cs="宋体"/>
                <w:b w:val="0"/>
                <w:color w:val="auto"/>
                <w:sz w:val="24"/>
                <w:highlight w:val="none"/>
              </w:rPr>
            </w:pPr>
            <w:r>
              <w:rPr>
                <w:rFonts w:hint="eastAsia" w:ascii="Times New Roman" w:hAnsi="Times New Roman" w:eastAsia="宋体" w:cs="宋体"/>
                <w:b w:val="0"/>
                <w:color w:val="auto"/>
                <w:sz w:val="24"/>
                <w:highlight w:val="none"/>
              </w:rPr>
              <w:t>对照《国民经济行业分类》（GB/T4754-2017），本项目行业类别属于C3392有色金属铸造。根据《中华人民共和国环境保护法》、《中华人民共和国环境影响评价法》和《建设项目环境保护管理条例》（2017年10月1日起施行）以及《建设项目环境影响评价分类管理名录》（2021年版）的有关条款规定，本项目属于《建设项目环境影响评价分类管理名录》（2021年版）－三十五、金属制品业68.铸造及其他金属制品制造339“其他（仅分割、焊接、组装的除外）”，需编制环境影响报告表。</w:t>
            </w:r>
          </w:p>
          <w:p w14:paraId="2B1B6419">
            <w:pPr>
              <w:spacing w:line="360" w:lineRule="auto"/>
              <w:ind w:firstLine="480" w:firstLineChars="200"/>
              <w:rPr>
                <w:rFonts w:ascii="Times New Roman" w:hAnsi="Times New Roman" w:eastAsia="宋体" w:cs="宋体"/>
                <w:b w:val="0"/>
                <w:color w:val="auto"/>
                <w:sz w:val="24"/>
                <w:highlight w:val="none"/>
              </w:rPr>
            </w:pPr>
            <w:r>
              <w:rPr>
                <w:rFonts w:hint="eastAsia" w:ascii="Times New Roman" w:hAnsi="Times New Roman" w:eastAsia="宋体" w:cs="宋体"/>
                <w:b w:val="0"/>
                <w:color w:val="auto"/>
                <w:sz w:val="24"/>
                <w:highlight w:val="none"/>
              </w:rPr>
              <w:t>为此，本项目建设单位</w:t>
            </w:r>
            <w:r>
              <w:rPr>
                <w:rFonts w:hint="eastAsia" w:cs="宋体"/>
                <w:b w:val="0"/>
                <w:color w:val="auto"/>
                <w:spacing w:val="-4"/>
                <w:sz w:val="24"/>
                <w:highlight w:val="none"/>
                <w:lang w:eastAsia="zh-CN"/>
              </w:rPr>
              <w:t>常州市文卫管件模具有限公司</w:t>
            </w:r>
            <w:r>
              <w:rPr>
                <w:rFonts w:hint="eastAsia" w:ascii="Times New Roman" w:hAnsi="Times New Roman" w:eastAsia="宋体" w:cs="宋体"/>
                <w:b w:val="0"/>
                <w:color w:val="auto"/>
                <w:sz w:val="24"/>
                <w:highlight w:val="none"/>
              </w:rPr>
              <w:t>委托</w:t>
            </w:r>
            <w:r>
              <w:rPr>
                <w:rFonts w:hint="eastAsia" w:cs="宋体"/>
                <w:b w:val="0"/>
                <w:color w:val="auto"/>
                <w:sz w:val="24"/>
                <w:highlight w:val="none"/>
                <w:lang w:eastAsia="zh-CN"/>
              </w:rPr>
              <w:t>常州华开环境技术有限公司</w:t>
            </w:r>
            <w:r>
              <w:rPr>
                <w:rFonts w:hint="eastAsia" w:ascii="Times New Roman" w:hAnsi="Times New Roman" w:eastAsia="宋体" w:cs="宋体"/>
                <w:b w:val="0"/>
                <w:color w:val="auto"/>
                <w:sz w:val="24"/>
                <w:highlight w:val="none"/>
              </w:rPr>
              <w:t>承担该项目的环境影响评价工作，</w:t>
            </w:r>
            <w:r>
              <w:rPr>
                <w:rFonts w:hint="eastAsia" w:cs="宋体"/>
                <w:b w:val="0"/>
                <w:color w:val="auto"/>
                <w:sz w:val="24"/>
                <w:highlight w:val="none"/>
                <w:lang w:eastAsia="zh-CN"/>
              </w:rPr>
              <w:t>常州华开环境技术有限公司</w:t>
            </w:r>
            <w:r>
              <w:rPr>
                <w:rFonts w:hint="eastAsia" w:ascii="Times New Roman" w:hAnsi="Times New Roman" w:eastAsia="宋体" w:cs="宋体"/>
                <w:b w:val="0"/>
                <w:color w:val="auto"/>
                <w:sz w:val="24"/>
                <w:highlight w:val="none"/>
              </w:rPr>
              <w:t>接受委托后，认真研究了项目有关材料，并组织技术人员进行实地踏勘和调研，收集和核实了有关材料，按照国家对建设项目环境影响评价的有关规定和有关环保政策、技术规范，编制完成了该项目的环境影响报告表，提交给建设单位上报生态环境主管部门审批。</w:t>
            </w:r>
          </w:p>
          <w:p w14:paraId="107ABF29">
            <w:pPr>
              <w:spacing w:line="360" w:lineRule="auto"/>
              <w:ind w:firstLine="480" w:firstLineChars="200"/>
              <w:rPr>
                <w:rFonts w:ascii="Times New Roman" w:hAnsi="Times New Roman" w:eastAsia="宋体" w:cs="宋体"/>
                <w:b w:val="0"/>
                <w:bCs/>
                <w:color w:val="auto"/>
                <w:sz w:val="24"/>
                <w:highlight w:val="none"/>
              </w:rPr>
            </w:pPr>
            <w:r>
              <w:rPr>
                <w:rFonts w:ascii="Times New Roman" w:hAnsi="Times New Roman" w:eastAsia="宋体" w:cs="宋体"/>
                <w:b w:val="0"/>
                <w:bCs/>
                <w:color w:val="auto"/>
                <w:sz w:val="24"/>
                <w:highlight w:val="none"/>
              </w:rPr>
              <w:t>2、项目概况</w:t>
            </w:r>
          </w:p>
          <w:p w14:paraId="337843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b w:val="0"/>
                <w:color w:val="auto"/>
                <w:sz w:val="24"/>
                <w:highlight w:val="none"/>
              </w:rPr>
            </w:pPr>
            <w:r>
              <w:rPr>
                <w:rFonts w:ascii="Times New Roman" w:hAnsi="Times New Roman" w:eastAsia="宋体" w:cs="宋体"/>
                <w:b w:val="0"/>
                <w:color w:val="auto"/>
                <w:sz w:val="24"/>
                <w:highlight w:val="none"/>
              </w:rPr>
              <w:t>项目名称：</w:t>
            </w:r>
            <w:r>
              <w:rPr>
                <w:rFonts w:hint="eastAsia" w:ascii="Times New Roman" w:hAnsi="Times New Roman" w:eastAsia="宋体" w:cs="宋体"/>
                <w:b w:val="0"/>
                <w:color w:val="auto"/>
                <w:sz w:val="24"/>
                <w:highlight w:val="none"/>
              </w:rPr>
              <w:t>新能源高效铝压铸件生产线智能化提升项目</w:t>
            </w:r>
          </w:p>
          <w:p w14:paraId="4230F1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color w:val="auto"/>
                <w:sz w:val="24"/>
                <w:highlight w:val="none"/>
                <w:lang w:eastAsia="zh-CN"/>
              </w:rPr>
            </w:pPr>
            <w:r>
              <w:rPr>
                <w:rFonts w:ascii="Times New Roman" w:hAnsi="Times New Roman" w:eastAsia="宋体" w:cs="宋体"/>
                <w:b w:val="0"/>
                <w:color w:val="auto"/>
                <w:sz w:val="24"/>
                <w:highlight w:val="none"/>
              </w:rPr>
              <w:t>建设单位：</w:t>
            </w:r>
            <w:r>
              <w:rPr>
                <w:rFonts w:hint="eastAsia" w:cs="宋体"/>
                <w:b w:val="0"/>
                <w:color w:val="auto"/>
                <w:spacing w:val="-4"/>
                <w:sz w:val="24"/>
                <w:highlight w:val="none"/>
                <w:lang w:eastAsia="zh-CN"/>
              </w:rPr>
              <w:t>常州市文卫管件模具有限公司</w:t>
            </w:r>
          </w:p>
          <w:p w14:paraId="07EB09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color w:val="auto"/>
                <w:sz w:val="24"/>
                <w:highlight w:val="none"/>
                <w:lang w:eastAsia="zh-CN"/>
              </w:rPr>
            </w:pPr>
            <w:r>
              <w:rPr>
                <w:rFonts w:ascii="Times New Roman" w:hAnsi="Times New Roman" w:eastAsia="宋体" w:cs="宋体"/>
                <w:b w:val="0"/>
                <w:color w:val="auto"/>
                <w:sz w:val="24"/>
                <w:highlight w:val="none"/>
              </w:rPr>
              <w:t>建设地点：</w:t>
            </w:r>
            <w:r>
              <w:rPr>
                <w:rFonts w:hint="eastAsia" w:ascii="Times New Roman" w:hAnsi="Times New Roman" w:eastAsia="宋体" w:cs="宋体"/>
                <w:b w:val="0"/>
                <w:color w:val="auto"/>
                <w:sz w:val="24"/>
                <w:highlight w:val="none"/>
                <w:lang w:eastAsia="zh-CN"/>
              </w:rPr>
              <w:t>江苏省</w:t>
            </w:r>
            <w:r>
              <w:rPr>
                <w:rFonts w:hint="eastAsia" w:cs="宋体"/>
                <w:b w:val="0"/>
                <w:color w:val="auto"/>
                <w:sz w:val="24"/>
                <w:highlight w:val="none"/>
                <w:lang w:eastAsia="zh-CN"/>
              </w:rPr>
              <w:t>常州市金坛区河山环路26号</w:t>
            </w:r>
          </w:p>
          <w:p w14:paraId="088DD9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color w:val="auto"/>
                <w:sz w:val="24"/>
                <w:highlight w:val="none"/>
                <w:lang w:eastAsia="zh-CN"/>
              </w:rPr>
            </w:pPr>
            <w:r>
              <w:rPr>
                <w:rFonts w:ascii="Times New Roman" w:hAnsi="Times New Roman" w:eastAsia="宋体" w:cs="宋体"/>
                <w:b w:val="0"/>
                <w:color w:val="auto"/>
                <w:sz w:val="24"/>
                <w:highlight w:val="none"/>
              </w:rPr>
              <w:t>建设规模：</w:t>
            </w:r>
            <w:r>
              <w:rPr>
                <w:rFonts w:hint="eastAsia" w:cs="宋体"/>
                <w:b w:val="0"/>
                <w:color w:val="auto"/>
                <w:sz w:val="24"/>
                <w:highlight w:val="none"/>
                <w:lang w:val="en-US" w:eastAsia="zh-CN"/>
              </w:rPr>
              <w:t>年产压铸件1000万件、注塑件1000万件</w:t>
            </w:r>
          </w:p>
          <w:p w14:paraId="590E85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b w:val="0"/>
                <w:color w:val="auto"/>
                <w:sz w:val="24"/>
                <w:highlight w:val="none"/>
              </w:rPr>
            </w:pPr>
            <w:r>
              <w:rPr>
                <w:rFonts w:ascii="Times New Roman" w:hAnsi="Times New Roman" w:eastAsia="宋体" w:cs="宋体"/>
                <w:b w:val="0"/>
                <w:color w:val="auto"/>
                <w:sz w:val="24"/>
                <w:highlight w:val="none"/>
              </w:rPr>
              <w:t>建设性质：</w:t>
            </w:r>
            <w:r>
              <w:rPr>
                <w:rFonts w:hint="eastAsia" w:cs="宋体"/>
                <w:b w:val="0"/>
                <w:color w:val="auto"/>
                <w:sz w:val="24"/>
                <w:highlight w:val="none"/>
                <w:lang w:val="en-US" w:eastAsia="zh-CN"/>
              </w:rPr>
              <w:t>技改</w:t>
            </w:r>
          </w:p>
          <w:p w14:paraId="5C62D2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color w:val="auto"/>
                <w:sz w:val="24"/>
                <w:highlight w:val="none"/>
                <w:lang w:eastAsia="zh-CN"/>
              </w:rPr>
            </w:pPr>
            <w:r>
              <w:rPr>
                <w:rFonts w:ascii="Times New Roman" w:hAnsi="Times New Roman" w:eastAsia="宋体" w:cs="宋体"/>
                <w:b w:val="0"/>
                <w:color w:val="auto"/>
                <w:sz w:val="24"/>
                <w:highlight w:val="none"/>
              </w:rPr>
              <w:t>占地面积：</w:t>
            </w:r>
            <w:r>
              <w:rPr>
                <w:rFonts w:hint="eastAsia" w:ascii="Times New Roman" w:hAnsi="Times New Roman" w:eastAsia="宋体" w:cs="宋体"/>
                <w:b w:val="0"/>
                <w:color w:val="auto"/>
                <w:sz w:val="24"/>
                <w:highlight w:val="none"/>
              </w:rPr>
              <w:t>本项目</w:t>
            </w:r>
            <w:r>
              <w:rPr>
                <w:rFonts w:hint="eastAsia" w:cs="宋体"/>
                <w:b w:val="0"/>
                <w:color w:val="auto"/>
                <w:sz w:val="24"/>
                <w:highlight w:val="none"/>
                <w:lang w:val="en-US" w:eastAsia="zh-CN"/>
              </w:rPr>
              <w:t>利用自有厂房11978.32</w:t>
            </w:r>
            <w:r>
              <w:rPr>
                <w:rFonts w:hint="eastAsia" w:ascii="Times New Roman" w:hAnsi="Times New Roman" w:eastAsia="宋体" w:cs="宋体"/>
                <w:b w:val="0"/>
                <w:color w:val="auto"/>
                <w:sz w:val="24"/>
                <w:highlight w:val="none"/>
                <w:lang w:eastAsia="zh-CN"/>
              </w:rPr>
              <w:t>平方米</w:t>
            </w:r>
          </w:p>
          <w:p w14:paraId="2147A1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b w:val="0"/>
                <w:color w:val="auto"/>
                <w:sz w:val="24"/>
                <w:highlight w:val="none"/>
              </w:rPr>
            </w:pPr>
            <w:r>
              <w:rPr>
                <w:rFonts w:ascii="Times New Roman" w:hAnsi="Times New Roman" w:eastAsia="宋体" w:cs="宋体"/>
                <w:b w:val="0"/>
                <w:color w:val="auto"/>
                <w:sz w:val="24"/>
                <w:highlight w:val="none"/>
              </w:rPr>
              <w:t>总投资及环保投资：项目总投资</w:t>
            </w:r>
            <w:r>
              <w:rPr>
                <w:rFonts w:hint="eastAsia" w:cs="宋体"/>
                <w:b w:val="0"/>
                <w:color w:val="auto"/>
                <w:sz w:val="24"/>
                <w:highlight w:val="none"/>
                <w:lang w:val="en-US" w:eastAsia="zh-CN"/>
              </w:rPr>
              <w:t>15</w:t>
            </w:r>
            <w:r>
              <w:rPr>
                <w:rFonts w:hint="eastAsia" w:ascii="Times New Roman" w:hAnsi="Times New Roman" w:eastAsia="宋体" w:cs="宋体"/>
                <w:b w:val="0"/>
                <w:color w:val="auto"/>
                <w:sz w:val="24"/>
                <w:highlight w:val="none"/>
              </w:rPr>
              <w:t>00</w:t>
            </w:r>
            <w:r>
              <w:rPr>
                <w:rFonts w:ascii="Times New Roman" w:hAnsi="Times New Roman" w:eastAsia="宋体" w:cs="宋体"/>
                <w:b w:val="0"/>
                <w:color w:val="auto"/>
                <w:sz w:val="24"/>
                <w:highlight w:val="none"/>
              </w:rPr>
              <w:t>万元，其中环保投资</w:t>
            </w:r>
            <w:r>
              <w:rPr>
                <w:rFonts w:hint="eastAsia" w:ascii="Times New Roman" w:hAnsi="Times New Roman" w:eastAsia="宋体" w:cs="宋体"/>
                <w:b w:val="0"/>
                <w:color w:val="auto"/>
                <w:sz w:val="24"/>
                <w:highlight w:val="none"/>
              </w:rPr>
              <w:t>50</w:t>
            </w:r>
            <w:r>
              <w:rPr>
                <w:rFonts w:ascii="Times New Roman" w:hAnsi="Times New Roman" w:eastAsia="宋体" w:cs="宋体"/>
                <w:b w:val="0"/>
                <w:color w:val="auto"/>
                <w:sz w:val="24"/>
                <w:highlight w:val="none"/>
              </w:rPr>
              <w:t>万元</w:t>
            </w:r>
          </w:p>
          <w:p w14:paraId="16799C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b w:val="0"/>
                <w:color w:val="auto"/>
                <w:sz w:val="24"/>
                <w:highlight w:val="none"/>
              </w:rPr>
            </w:pPr>
            <w:r>
              <w:rPr>
                <w:rFonts w:ascii="Times New Roman" w:hAnsi="Times New Roman" w:eastAsia="宋体" w:cs="宋体"/>
                <w:b w:val="0"/>
                <w:color w:val="auto"/>
                <w:sz w:val="24"/>
                <w:highlight w:val="none"/>
              </w:rPr>
              <w:t>职工人数：</w:t>
            </w:r>
            <w:r>
              <w:rPr>
                <w:rFonts w:hint="eastAsia" w:ascii="Times New Roman" w:hAnsi="Times New Roman" w:eastAsia="宋体" w:cs="宋体"/>
                <w:b w:val="0"/>
                <w:color w:val="auto"/>
                <w:sz w:val="24"/>
                <w:highlight w:val="none"/>
              </w:rPr>
              <w:t>本项目</w:t>
            </w:r>
            <w:r>
              <w:rPr>
                <w:rFonts w:hint="eastAsia" w:cs="宋体"/>
                <w:b w:val="0"/>
                <w:color w:val="auto"/>
                <w:sz w:val="24"/>
                <w:highlight w:val="none"/>
                <w:lang w:val="en-US" w:eastAsia="zh-CN"/>
              </w:rPr>
              <w:t>不新增员工人数，</w:t>
            </w:r>
            <w:r>
              <w:rPr>
                <w:rFonts w:ascii="Times New Roman" w:hAnsi="Times New Roman" w:eastAsia="宋体" w:cs="宋体"/>
                <w:b w:val="0"/>
                <w:color w:val="auto"/>
                <w:sz w:val="24"/>
                <w:highlight w:val="none"/>
              </w:rPr>
              <w:t>劳动定员</w:t>
            </w:r>
            <w:r>
              <w:rPr>
                <w:rFonts w:hint="eastAsia" w:cs="宋体"/>
                <w:b w:val="0"/>
                <w:color w:val="auto"/>
                <w:sz w:val="24"/>
                <w:highlight w:val="none"/>
                <w:lang w:val="en-US" w:eastAsia="zh-CN"/>
              </w:rPr>
              <w:t>80</w:t>
            </w:r>
            <w:r>
              <w:rPr>
                <w:rFonts w:hint="eastAsia" w:ascii="Times New Roman" w:hAnsi="Times New Roman" w:eastAsia="宋体" w:cs="宋体"/>
                <w:b w:val="0"/>
                <w:color w:val="auto"/>
                <w:sz w:val="24"/>
                <w:highlight w:val="none"/>
              </w:rPr>
              <w:t>人，厂内</w:t>
            </w:r>
            <w:r>
              <w:rPr>
                <w:rFonts w:hint="eastAsia" w:ascii="Times New Roman" w:hAnsi="Times New Roman" w:eastAsia="宋体" w:cs="宋体"/>
                <w:b w:val="0"/>
                <w:color w:val="auto"/>
                <w:sz w:val="24"/>
                <w:highlight w:val="none"/>
                <w:lang w:val="en-US" w:eastAsia="zh-CN"/>
              </w:rPr>
              <w:t>不</w:t>
            </w:r>
            <w:r>
              <w:rPr>
                <w:rFonts w:hint="eastAsia" w:ascii="Times New Roman" w:hAnsi="Times New Roman" w:eastAsia="宋体" w:cs="宋体"/>
                <w:b w:val="0"/>
                <w:color w:val="auto"/>
                <w:sz w:val="24"/>
                <w:highlight w:val="none"/>
              </w:rPr>
              <w:t>设食堂</w:t>
            </w:r>
            <w:r>
              <w:rPr>
                <w:rFonts w:hint="eastAsia" w:ascii="Times New Roman" w:hAnsi="Times New Roman" w:eastAsia="宋体" w:cs="宋体"/>
                <w:b w:val="0"/>
                <w:color w:val="auto"/>
                <w:sz w:val="24"/>
                <w:highlight w:val="none"/>
                <w:lang w:eastAsia="zh-CN"/>
              </w:rPr>
              <w:t>、</w:t>
            </w:r>
            <w:r>
              <w:rPr>
                <w:rFonts w:ascii="Times New Roman" w:hAnsi="Times New Roman" w:eastAsia="宋体" w:cs="宋体"/>
                <w:b w:val="0"/>
                <w:color w:val="auto"/>
                <w:sz w:val="24"/>
                <w:highlight w:val="none"/>
              </w:rPr>
              <w:t>宿舍及浴室</w:t>
            </w:r>
          </w:p>
          <w:p w14:paraId="6C0077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color w:val="auto"/>
                <w:sz w:val="24"/>
                <w:highlight w:val="none"/>
                <w:lang w:eastAsia="zh-CN"/>
              </w:rPr>
            </w:pPr>
            <w:r>
              <w:rPr>
                <w:rFonts w:ascii="Times New Roman" w:hAnsi="Times New Roman" w:eastAsia="宋体" w:cs="宋体"/>
                <w:b w:val="0"/>
                <w:color w:val="auto"/>
                <w:sz w:val="24"/>
                <w:highlight w:val="none"/>
              </w:rPr>
              <w:t>生产制度：实行</w:t>
            </w:r>
            <w:r>
              <w:rPr>
                <w:rFonts w:hint="eastAsia" w:cs="宋体"/>
                <w:b w:val="0"/>
                <w:color w:val="auto"/>
                <w:sz w:val="24"/>
                <w:highlight w:val="none"/>
                <w:lang w:val="en-US" w:eastAsia="zh-CN"/>
              </w:rPr>
              <w:t>两</w:t>
            </w:r>
            <w:r>
              <w:rPr>
                <w:rFonts w:ascii="Times New Roman" w:hAnsi="Times New Roman" w:eastAsia="宋体" w:cs="宋体"/>
                <w:b w:val="0"/>
                <w:color w:val="auto"/>
                <w:sz w:val="24"/>
                <w:highlight w:val="none"/>
              </w:rPr>
              <w:t>班制，</w:t>
            </w:r>
            <w:r>
              <w:rPr>
                <w:rFonts w:hint="eastAsia" w:ascii="Times New Roman" w:hAnsi="Times New Roman" w:eastAsia="宋体" w:cs="宋体"/>
                <w:b w:val="0"/>
                <w:color w:val="auto"/>
                <w:sz w:val="24"/>
                <w:highlight w:val="none"/>
                <w:lang w:val="en-US" w:eastAsia="zh-CN"/>
              </w:rPr>
              <w:t>白</w:t>
            </w:r>
            <w:r>
              <w:rPr>
                <w:rFonts w:hint="eastAsia" w:ascii="Times New Roman" w:hAnsi="Times New Roman" w:eastAsia="宋体" w:cs="宋体"/>
                <w:b w:val="0"/>
                <w:color w:val="auto"/>
                <w:sz w:val="24"/>
                <w:highlight w:val="none"/>
              </w:rPr>
              <w:t>班</w:t>
            </w:r>
            <w:r>
              <w:rPr>
                <w:rFonts w:hint="eastAsia" w:ascii="Times New Roman" w:hAnsi="Times New Roman" w:eastAsia="宋体" w:cs="宋体"/>
                <w:b w:val="0"/>
                <w:color w:val="auto"/>
                <w:sz w:val="24"/>
                <w:highlight w:val="none"/>
                <w:lang w:val="en-US" w:eastAsia="zh-CN"/>
              </w:rPr>
              <w:t>8</w:t>
            </w:r>
            <w:r>
              <w:rPr>
                <w:rFonts w:hint="eastAsia" w:ascii="Times New Roman" w:hAnsi="Times New Roman" w:eastAsia="宋体" w:cs="宋体"/>
                <w:b w:val="0"/>
                <w:color w:val="auto"/>
                <w:sz w:val="24"/>
                <w:highlight w:val="none"/>
              </w:rPr>
              <w:t>h生产</w:t>
            </w:r>
            <w:r>
              <w:rPr>
                <w:rFonts w:ascii="Times New Roman" w:hAnsi="Times New Roman" w:eastAsia="宋体" w:cs="宋体"/>
                <w:b w:val="0"/>
                <w:color w:val="auto"/>
                <w:sz w:val="24"/>
                <w:highlight w:val="none"/>
              </w:rPr>
              <w:t>，年</w:t>
            </w:r>
            <w:r>
              <w:rPr>
                <w:rFonts w:hint="eastAsia" w:ascii="Times New Roman" w:hAnsi="Times New Roman" w:eastAsia="宋体" w:cs="宋体"/>
                <w:b w:val="0"/>
                <w:color w:val="auto"/>
                <w:sz w:val="24"/>
                <w:highlight w:val="none"/>
              </w:rPr>
              <w:t>生产300</w:t>
            </w:r>
            <w:r>
              <w:rPr>
                <w:rFonts w:ascii="Times New Roman" w:hAnsi="Times New Roman" w:eastAsia="宋体" w:cs="宋体"/>
                <w:b w:val="0"/>
                <w:color w:val="auto"/>
                <w:sz w:val="24"/>
                <w:highlight w:val="none"/>
              </w:rPr>
              <w:t>天。年</w:t>
            </w:r>
            <w:r>
              <w:rPr>
                <w:rFonts w:hint="eastAsia" w:ascii="Times New Roman" w:hAnsi="Times New Roman" w:eastAsia="宋体" w:cs="宋体"/>
                <w:b w:val="0"/>
                <w:color w:val="auto"/>
                <w:sz w:val="24"/>
                <w:highlight w:val="none"/>
              </w:rPr>
              <w:t>工作时长</w:t>
            </w:r>
            <w:r>
              <w:rPr>
                <w:rFonts w:ascii="Times New Roman" w:hAnsi="Times New Roman" w:eastAsia="宋体" w:cs="宋体"/>
                <w:b w:val="0"/>
                <w:color w:val="auto"/>
                <w:sz w:val="24"/>
                <w:highlight w:val="none"/>
              </w:rPr>
              <w:t>：工人</w:t>
            </w:r>
            <w:r>
              <w:rPr>
                <w:rFonts w:hint="eastAsia" w:cs="宋体"/>
                <w:b w:val="0"/>
                <w:color w:val="auto"/>
                <w:sz w:val="24"/>
                <w:highlight w:val="none"/>
                <w:lang w:val="en-US" w:eastAsia="zh-CN"/>
              </w:rPr>
              <w:t>48</w:t>
            </w:r>
            <w:r>
              <w:rPr>
                <w:rFonts w:hint="eastAsia" w:ascii="Times New Roman" w:hAnsi="Times New Roman" w:eastAsia="宋体" w:cs="宋体"/>
                <w:b w:val="0"/>
                <w:color w:val="auto"/>
                <w:sz w:val="24"/>
                <w:highlight w:val="none"/>
              </w:rPr>
              <w:t>00</w:t>
            </w:r>
            <w:r>
              <w:rPr>
                <w:rFonts w:ascii="Times New Roman" w:hAnsi="Times New Roman" w:eastAsia="宋体" w:cs="宋体"/>
                <w:b w:val="0"/>
                <w:color w:val="auto"/>
                <w:sz w:val="24"/>
                <w:highlight w:val="none"/>
              </w:rPr>
              <w:t>h</w:t>
            </w:r>
            <w:r>
              <w:rPr>
                <w:rFonts w:hint="eastAsia" w:cs="宋体"/>
                <w:b w:val="0"/>
                <w:color w:val="auto"/>
                <w:sz w:val="24"/>
                <w:highlight w:val="none"/>
                <w:lang w:eastAsia="zh-CN"/>
              </w:rPr>
              <w:t>（</w:t>
            </w:r>
            <w:r>
              <w:rPr>
                <w:rFonts w:hint="eastAsia" w:cs="宋体"/>
                <w:b w:val="0"/>
                <w:color w:val="auto"/>
                <w:sz w:val="24"/>
                <w:highlight w:val="none"/>
                <w:lang w:val="en-US" w:eastAsia="zh-CN"/>
              </w:rPr>
              <w:t>其中铸造工段1200h</w:t>
            </w:r>
            <w:r>
              <w:rPr>
                <w:rFonts w:hint="eastAsia" w:cs="宋体"/>
                <w:b w:val="0"/>
                <w:color w:val="auto"/>
                <w:sz w:val="24"/>
                <w:highlight w:val="none"/>
                <w:lang w:eastAsia="zh-CN"/>
              </w:rPr>
              <w:t>）</w:t>
            </w:r>
          </w:p>
          <w:p w14:paraId="60A55DDE">
            <w:pPr>
              <w:spacing w:line="360" w:lineRule="auto"/>
              <w:ind w:firstLine="480" w:firstLineChars="200"/>
              <w:rPr>
                <w:rFonts w:ascii="Times New Roman" w:hAnsi="Times New Roman" w:eastAsia="宋体" w:cs="宋体"/>
                <w:b w:val="0"/>
                <w:bCs/>
                <w:color w:val="auto"/>
                <w:spacing w:val="-4"/>
                <w:szCs w:val="21"/>
                <w:highlight w:val="none"/>
              </w:rPr>
            </w:pPr>
            <w:r>
              <w:rPr>
                <w:rFonts w:hint="eastAsia" w:ascii="Times New Roman" w:hAnsi="Times New Roman" w:eastAsia="宋体" w:cs="宋体"/>
                <w:b w:val="0"/>
                <w:bCs/>
                <w:color w:val="auto"/>
                <w:sz w:val="24"/>
                <w:highlight w:val="none"/>
              </w:rPr>
              <w:t>3</w:t>
            </w:r>
            <w:r>
              <w:rPr>
                <w:rFonts w:ascii="Times New Roman" w:hAnsi="Times New Roman" w:eastAsia="宋体" w:cs="宋体"/>
                <w:b w:val="0"/>
                <w:bCs/>
                <w:color w:val="auto"/>
                <w:sz w:val="24"/>
                <w:highlight w:val="none"/>
              </w:rPr>
              <w:t>、</w:t>
            </w:r>
            <w:r>
              <w:rPr>
                <w:rFonts w:hint="eastAsia" w:ascii="Times New Roman" w:hAnsi="Times New Roman" w:eastAsia="宋体" w:cs="宋体"/>
                <w:b w:val="0"/>
                <w:bCs/>
                <w:color w:val="auto"/>
                <w:sz w:val="24"/>
                <w:highlight w:val="none"/>
              </w:rPr>
              <w:t>工程内容</w:t>
            </w:r>
          </w:p>
          <w:p w14:paraId="083BDB5E">
            <w:pPr>
              <w:tabs>
                <w:tab w:val="left" w:pos="960"/>
              </w:tabs>
              <w:spacing w:beforeLines="50"/>
              <w:jc w:val="center"/>
              <w:rPr>
                <w:rFonts w:ascii="Times New Roman" w:hAnsi="Times New Roman" w:eastAsia="宋体" w:cs="宋体"/>
                <w:b/>
                <w:bCs w:val="0"/>
                <w:color w:val="auto"/>
                <w:spacing w:val="-4"/>
                <w:szCs w:val="21"/>
                <w:highlight w:val="none"/>
              </w:rPr>
            </w:pPr>
          </w:p>
          <w:p w14:paraId="29EAE365">
            <w:pPr>
              <w:tabs>
                <w:tab w:val="left" w:pos="960"/>
              </w:tabs>
              <w:spacing w:beforeLines="50"/>
              <w:jc w:val="center"/>
              <w:rPr>
                <w:rFonts w:ascii="Times New Roman" w:hAnsi="Times New Roman" w:eastAsia="宋体" w:cs="宋体"/>
                <w:b/>
                <w:bCs w:val="0"/>
                <w:color w:val="auto"/>
                <w:spacing w:val="-4"/>
                <w:szCs w:val="21"/>
                <w:highlight w:val="none"/>
              </w:rPr>
            </w:pPr>
          </w:p>
          <w:p w14:paraId="3F86C089">
            <w:pPr>
              <w:tabs>
                <w:tab w:val="left" w:pos="960"/>
              </w:tabs>
              <w:spacing w:beforeLines="50"/>
              <w:jc w:val="center"/>
              <w:rPr>
                <w:rFonts w:ascii="Times New Roman" w:hAnsi="Times New Roman" w:eastAsia="宋体" w:cs="宋体"/>
                <w:b/>
                <w:bCs w:val="0"/>
                <w:color w:val="auto"/>
                <w:spacing w:val="-4"/>
                <w:szCs w:val="21"/>
                <w:highlight w:val="none"/>
              </w:rPr>
            </w:pPr>
          </w:p>
          <w:p w14:paraId="7280F29E">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2.1-</w:t>
            </w:r>
            <w:r>
              <w:rPr>
                <w:rFonts w:hint="eastAsia" w:cs="宋体"/>
                <w:b/>
                <w:bCs w:val="0"/>
                <w:color w:val="auto"/>
                <w:spacing w:val="-4"/>
                <w:szCs w:val="21"/>
                <w:highlight w:val="none"/>
                <w:lang w:val="en-US" w:eastAsia="zh-CN"/>
              </w:rPr>
              <w:t>2</w:t>
            </w:r>
            <w:r>
              <w:rPr>
                <w:rFonts w:hint="eastAsia" w:ascii="Times New Roman" w:hAnsi="Times New Roman" w:eastAsia="宋体" w:cs="宋体"/>
                <w:b/>
                <w:bCs w:val="0"/>
                <w:color w:val="auto"/>
                <w:spacing w:val="-4"/>
                <w:szCs w:val="21"/>
                <w:highlight w:val="none"/>
              </w:rPr>
              <w:t xml:space="preserve">  </w:t>
            </w:r>
            <w:r>
              <w:rPr>
                <w:rFonts w:ascii="Times New Roman" w:hAnsi="Times New Roman" w:eastAsia="宋体" w:cs="宋体"/>
                <w:b/>
                <w:bCs w:val="0"/>
                <w:color w:val="auto"/>
                <w:spacing w:val="-4"/>
                <w:szCs w:val="21"/>
                <w:highlight w:val="none"/>
              </w:rPr>
              <w:t>主体及辅助工程一览表</w:t>
            </w:r>
          </w:p>
          <w:tbl>
            <w:tblPr>
              <w:tblStyle w:val="21"/>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49"/>
              <w:gridCol w:w="1411"/>
              <w:gridCol w:w="964"/>
              <w:gridCol w:w="977"/>
              <w:gridCol w:w="949"/>
              <w:gridCol w:w="909"/>
              <w:gridCol w:w="1648"/>
              <w:gridCol w:w="925"/>
            </w:tblGrid>
            <w:tr w14:paraId="44682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9" w:type="pct"/>
                  <w:tcBorders>
                    <w:tl2br w:val="nil"/>
                    <w:tr2bl w:val="nil"/>
                  </w:tcBorders>
                  <w:vAlign w:val="center"/>
                </w:tcPr>
                <w:p w14:paraId="29A905B0">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序号</w:t>
                  </w:r>
                </w:p>
              </w:tc>
              <w:tc>
                <w:tcPr>
                  <w:tcW w:w="846" w:type="pct"/>
                  <w:tcBorders>
                    <w:tl2br w:val="nil"/>
                    <w:tr2bl w:val="nil"/>
                  </w:tcBorders>
                  <w:vAlign w:val="center"/>
                </w:tcPr>
                <w:p w14:paraId="33062CE5">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主要建、构筑物名称</w:t>
                  </w:r>
                </w:p>
              </w:tc>
              <w:tc>
                <w:tcPr>
                  <w:tcW w:w="578" w:type="pct"/>
                  <w:tcBorders>
                    <w:tl2br w:val="nil"/>
                    <w:tr2bl w:val="nil"/>
                  </w:tcBorders>
                  <w:vAlign w:val="center"/>
                </w:tcPr>
                <w:p w14:paraId="70367156">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占地面积</w:t>
                  </w:r>
                </w:p>
                <w:p w14:paraId="709F2C02">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(m</w:t>
                  </w:r>
                  <w:r>
                    <w:rPr>
                      <w:rFonts w:ascii="Times New Roman" w:hAnsi="Times New Roman" w:eastAsia="宋体"/>
                      <w:b/>
                      <w:bCs w:val="0"/>
                      <w:snapToGrid w:val="0"/>
                      <w:color w:val="auto"/>
                      <w:kern w:val="0"/>
                      <w:highlight w:val="none"/>
                      <w:vertAlign w:val="superscript"/>
                    </w:rPr>
                    <w:t>2</w:t>
                  </w:r>
                  <w:r>
                    <w:rPr>
                      <w:rFonts w:ascii="Times New Roman" w:hAnsi="Times New Roman" w:eastAsia="宋体"/>
                      <w:b/>
                      <w:bCs w:val="0"/>
                      <w:snapToGrid w:val="0"/>
                      <w:color w:val="auto"/>
                      <w:kern w:val="0"/>
                      <w:highlight w:val="none"/>
                    </w:rPr>
                    <w:t>)</w:t>
                  </w:r>
                </w:p>
              </w:tc>
              <w:tc>
                <w:tcPr>
                  <w:tcW w:w="586" w:type="pct"/>
                  <w:tcBorders>
                    <w:tl2br w:val="nil"/>
                    <w:tr2bl w:val="nil"/>
                  </w:tcBorders>
                  <w:vAlign w:val="center"/>
                </w:tcPr>
                <w:p w14:paraId="5AA2347F">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建筑面积</w:t>
                  </w:r>
                </w:p>
                <w:p w14:paraId="4C6DA152">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(m</w:t>
                  </w:r>
                  <w:r>
                    <w:rPr>
                      <w:rFonts w:ascii="Times New Roman" w:hAnsi="Times New Roman" w:eastAsia="宋体"/>
                      <w:b/>
                      <w:bCs w:val="0"/>
                      <w:snapToGrid w:val="0"/>
                      <w:color w:val="auto"/>
                      <w:kern w:val="0"/>
                      <w:highlight w:val="none"/>
                      <w:vertAlign w:val="superscript"/>
                    </w:rPr>
                    <w:t>2</w:t>
                  </w:r>
                  <w:r>
                    <w:rPr>
                      <w:rFonts w:ascii="Times New Roman" w:hAnsi="Times New Roman" w:eastAsia="宋体"/>
                      <w:b/>
                      <w:bCs w:val="0"/>
                      <w:snapToGrid w:val="0"/>
                      <w:color w:val="auto"/>
                      <w:kern w:val="0"/>
                      <w:highlight w:val="none"/>
                    </w:rPr>
                    <w:t>)</w:t>
                  </w:r>
                </w:p>
              </w:tc>
              <w:tc>
                <w:tcPr>
                  <w:tcW w:w="569" w:type="pct"/>
                  <w:tcBorders>
                    <w:tl2br w:val="nil"/>
                    <w:tr2bl w:val="nil"/>
                  </w:tcBorders>
                  <w:vAlign w:val="center"/>
                </w:tcPr>
                <w:p w14:paraId="5F329095">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建筑层数</w:t>
                  </w:r>
                </w:p>
              </w:tc>
              <w:tc>
                <w:tcPr>
                  <w:tcW w:w="545" w:type="pct"/>
                  <w:tcBorders>
                    <w:tl2br w:val="nil"/>
                    <w:tr2bl w:val="nil"/>
                  </w:tcBorders>
                  <w:vAlign w:val="center"/>
                </w:tcPr>
                <w:p w14:paraId="26B296BE">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建筑高度</w:t>
                  </w:r>
                </w:p>
                <w:p w14:paraId="3687B5D5">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(m)</w:t>
                  </w:r>
                </w:p>
              </w:tc>
              <w:tc>
                <w:tcPr>
                  <w:tcW w:w="988" w:type="pct"/>
                  <w:tcBorders>
                    <w:tl2br w:val="nil"/>
                    <w:tr2bl w:val="nil"/>
                  </w:tcBorders>
                  <w:vAlign w:val="center"/>
                </w:tcPr>
                <w:p w14:paraId="1CC6B3A3">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ascii="Times New Roman" w:hAnsi="Times New Roman" w:eastAsia="宋体"/>
                      <w:b/>
                      <w:bCs w:val="0"/>
                      <w:snapToGrid w:val="0"/>
                      <w:color w:val="auto"/>
                      <w:kern w:val="0"/>
                      <w:highlight w:val="none"/>
                    </w:rPr>
                    <w:t>备注</w:t>
                  </w:r>
                </w:p>
              </w:tc>
              <w:tc>
                <w:tcPr>
                  <w:tcW w:w="554" w:type="pct"/>
                  <w:tcBorders>
                    <w:tl2br w:val="nil"/>
                    <w:tr2bl w:val="nil"/>
                  </w:tcBorders>
                  <w:vAlign w:val="center"/>
                </w:tcPr>
                <w:p w14:paraId="628F3FC1">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bCs w:val="0"/>
                      <w:snapToGrid w:val="0"/>
                      <w:color w:val="auto"/>
                      <w:kern w:val="0"/>
                      <w:highlight w:val="none"/>
                    </w:rPr>
                  </w:pPr>
                  <w:r>
                    <w:rPr>
                      <w:rFonts w:hint="eastAsia" w:ascii="Times New Roman" w:hAnsi="Times New Roman" w:eastAsia="宋体"/>
                      <w:b/>
                      <w:bCs w:val="0"/>
                      <w:snapToGrid w:val="0"/>
                      <w:color w:val="auto"/>
                      <w:kern w:val="0"/>
                      <w:highlight w:val="none"/>
                    </w:rPr>
                    <w:t>建设情况</w:t>
                  </w:r>
                </w:p>
              </w:tc>
            </w:tr>
            <w:tr w14:paraId="0FEC41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9" w:type="pct"/>
                  <w:tcBorders>
                    <w:tl2br w:val="nil"/>
                    <w:tr2bl w:val="nil"/>
                  </w:tcBorders>
                  <w:vAlign w:val="center"/>
                </w:tcPr>
                <w:p w14:paraId="525A8226">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val="0"/>
                      <w:snapToGrid w:val="0"/>
                      <w:color w:val="auto"/>
                      <w:kern w:val="0"/>
                      <w:highlight w:val="none"/>
                    </w:rPr>
                  </w:pPr>
                  <w:r>
                    <w:rPr>
                      <w:rFonts w:ascii="Times New Roman" w:hAnsi="Times New Roman" w:eastAsia="宋体"/>
                      <w:b w:val="0"/>
                      <w:snapToGrid w:val="0"/>
                      <w:color w:val="auto"/>
                      <w:kern w:val="0"/>
                      <w:highlight w:val="none"/>
                    </w:rPr>
                    <w:t>1</w:t>
                  </w:r>
                </w:p>
              </w:tc>
              <w:tc>
                <w:tcPr>
                  <w:tcW w:w="846" w:type="pct"/>
                  <w:tcBorders>
                    <w:tl2br w:val="nil"/>
                    <w:tr2bl w:val="nil"/>
                  </w:tcBorders>
                  <w:vAlign w:val="center"/>
                </w:tcPr>
                <w:p w14:paraId="748EEAEC">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val="0"/>
                      <w:snapToGrid w:val="0"/>
                      <w:color w:val="auto"/>
                      <w:kern w:val="0"/>
                      <w:highlight w:val="none"/>
                    </w:rPr>
                  </w:pPr>
                  <w:r>
                    <w:rPr>
                      <w:rFonts w:hint="eastAsia" w:ascii="Times New Roman" w:hAnsi="Times New Roman"/>
                      <w:b w:val="0"/>
                      <w:snapToGrid w:val="0"/>
                      <w:color w:val="auto"/>
                      <w:kern w:val="0"/>
                      <w:highlight w:val="none"/>
                      <w:lang w:val="en-US" w:eastAsia="zh-CN"/>
                    </w:rPr>
                    <w:t>1#</w:t>
                  </w:r>
                  <w:r>
                    <w:rPr>
                      <w:rFonts w:hint="eastAsia" w:ascii="Times New Roman" w:hAnsi="Times New Roman" w:eastAsia="宋体"/>
                      <w:b w:val="0"/>
                      <w:snapToGrid w:val="0"/>
                      <w:color w:val="auto"/>
                      <w:kern w:val="0"/>
                      <w:highlight w:val="none"/>
                    </w:rPr>
                    <w:t>生产车间</w:t>
                  </w:r>
                </w:p>
              </w:tc>
              <w:tc>
                <w:tcPr>
                  <w:tcW w:w="578" w:type="pct"/>
                  <w:vMerge w:val="restart"/>
                  <w:tcBorders>
                    <w:tl2br w:val="nil"/>
                    <w:tr2bl w:val="nil"/>
                  </w:tcBorders>
                  <w:vAlign w:val="center"/>
                </w:tcPr>
                <w:p w14:paraId="3AB0C1BF">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12642</w:t>
                  </w:r>
                </w:p>
              </w:tc>
              <w:tc>
                <w:tcPr>
                  <w:tcW w:w="586" w:type="pct"/>
                  <w:tcBorders>
                    <w:tl2br w:val="nil"/>
                    <w:tr2bl w:val="nil"/>
                  </w:tcBorders>
                  <w:vAlign w:val="center"/>
                </w:tcPr>
                <w:p w14:paraId="12D9DDA2">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2197.96</w:t>
                  </w:r>
                </w:p>
              </w:tc>
              <w:tc>
                <w:tcPr>
                  <w:tcW w:w="569" w:type="pct"/>
                  <w:tcBorders>
                    <w:tl2br w:val="nil"/>
                    <w:tr2bl w:val="nil"/>
                  </w:tcBorders>
                  <w:vAlign w:val="center"/>
                </w:tcPr>
                <w:p w14:paraId="4C9045F7">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eastAsia="zh-CN"/>
                    </w:rPr>
                  </w:pPr>
                  <w:r>
                    <w:rPr>
                      <w:rFonts w:hint="eastAsia" w:ascii="Times New Roman" w:hAnsi="Times New Roman"/>
                      <w:b w:val="0"/>
                      <w:snapToGrid w:val="0"/>
                      <w:color w:val="auto"/>
                      <w:kern w:val="0"/>
                      <w:highlight w:val="none"/>
                      <w:lang w:val="en-US" w:eastAsia="zh-CN"/>
                    </w:rPr>
                    <w:t>3</w:t>
                  </w:r>
                </w:p>
              </w:tc>
              <w:tc>
                <w:tcPr>
                  <w:tcW w:w="545" w:type="pct"/>
                  <w:tcBorders>
                    <w:tl2br w:val="nil"/>
                    <w:tr2bl w:val="nil"/>
                  </w:tcBorders>
                  <w:vAlign w:val="center"/>
                </w:tcPr>
                <w:p w14:paraId="4D550D15">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12</w:t>
                  </w:r>
                </w:p>
              </w:tc>
              <w:tc>
                <w:tcPr>
                  <w:tcW w:w="988" w:type="pct"/>
                  <w:tcBorders>
                    <w:tl2br w:val="nil"/>
                    <w:tr2bl w:val="nil"/>
                  </w:tcBorders>
                  <w:vAlign w:val="center"/>
                </w:tcPr>
                <w:p w14:paraId="77F29012">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模具车间，1F产品堆放、抛丸区、清洗区、办公区等，2F检验车间、办公区，3F打磨区、检验区、办公区</w:t>
                  </w:r>
                </w:p>
              </w:tc>
              <w:tc>
                <w:tcPr>
                  <w:tcW w:w="554" w:type="pct"/>
                  <w:vMerge w:val="restart"/>
                  <w:tcBorders>
                    <w:tl2br w:val="nil"/>
                    <w:tr2bl w:val="nil"/>
                  </w:tcBorders>
                  <w:vAlign w:val="center"/>
                </w:tcPr>
                <w:p w14:paraId="1B0EA267">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val="0"/>
                      <w:snapToGrid w:val="0"/>
                      <w:color w:val="auto"/>
                      <w:kern w:val="0"/>
                      <w:highlight w:val="none"/>
                    </w:rPr>
                  </w:pPr>
                  <w:r>
                    <w:rPr>
                      <w:rFonts w:ascii="Times New Roman" w:hAnsi="Times New Roman" w:eastAsia="宋体"/>
                      <w:b w:val="0"/>
                      <w:snapToGrid w:val="0"/>
                      <w:color w:val="auto"/>
                      <w:kern w:val="0"/>
                      <w:highlight w:val="none"/>
                    </w:rPr>
                    <w:t>已建</w:t>
                  </w:r>
                </w:p>
              </w:tc>
            </w:tr>
            <w:tr w14:paraId="4F5933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9" w:type="pct"/>
                  <w:tcBorders>
                    <w:tl2br w:val="nil"/>
                    <w:tr2bl w:val="nil"/>
                  </w:tcBorders>
                  <w:vAlign w:val="center"/>
                </w:tcPr>
                <w:p w14:paraId="11339601">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2</w:t>
                  </w:r>
                </w:p>
              </w:tc>
              <w:tc>
                <w:tcPr>
                  <w:tcW w:w="846" w:type="pct"/>
                  <w:tcBorders>
                    <w:tl2br w:val="nil"/>
                    <w:tr2bl w:val="nil"/>
                  </w:tcBorders>
                  <w:vAlign w:val="center"/>
                </w:tcPr>
                <w:p w14:paraId="5467D006">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rPr>
                  </w:pPr>
                  <w:r>
                    <w:rPr>
                      <w:rFonts w:hint="eastAsia" w:ascii="Times New Roman" w:hAnsi="Times New Roman"/>
                      <w:b w:val="0"/>
                      <w:snapToGrid w:val="0"/>
                      <w:color w:val="auto"/>
                      <w:kern w:val="0"/>
                      <w:highlight w:val="none"/>
                      <w:lang w:val="en-US" w:eastAsia="zh-CN"/>
                    </w:rPr>
                    <w:t>2#</w:t>
                  </w:r>
                  <w:r>
                    <w:rPr>
                      <w:rFonts w:hint="eastAsia" w:ascii="Times New Roman" w:hAnsi="Times New Roman" w:eastAsia="宋体"/>
                      <w:b w:val="0"/>
                      <w:snapToGrid w:val="0"/>
                      <w:color w:val="auto"/>
                      <w:kern w:val="0"/>
                      <w:highlight w:val="none"/>
                    </w:rPr>
                    <w:t>生产车间</w:t>
                  </w:r>
                </w:p>
              </w:tc>
              <w:tc>
                <w:tcPr>
                  <w:tcW w:w="578" w:type="pct"/>
                  <w:vMerge w:val="continue"/>
                  <w:tcBorders>
                    <w:tl2br w:val="nil"/>
                    <w:tr2bl w:val="nil"/>
                  </w:tcBorders>
                  <w:vAlign w:val="center"/>
                </w:tcPr>
                <w:p w14:paraId="5C53C3A8">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p>
              </w:tc>
              <w:tc>
                <w:tcPr>
                  <w:tcW w:w="586" w:type="pct"/>
                  <w:tcBorders>
                    <w:tl2br w:val="nil"/>
                    <w:tr2bl w:val="nil"/>
                  </w:tcBorders>
                  <w:vAlign w:val="center"/>
                </w:tcPr>
                <w:p w14:paraId="3A08D864">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6160.04</w:t>
                  </w:r>
                </w:p>
              </w:tc>
              <w:tc>
                <w:tcPr>
                  <w:tcW w:w="569" w:type="pct"/>
                  <w:tcBorders>
                    <w:tl2br w:val="nil"/>
                    <w:tr2bl w:val="nil"/>
                  </w:tcBorders>
                  <w:vAlign w:val="center"/>
                </w:tcPr>
                <w:p w14:paraId="74C396F8">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1</w:t>
                  </w:r>
                </w:p>
              </w:tc>
              <w:tc>
                <w:tcPr>
                  <w:tcW w:w="545" w:type="pct"/>
                  <w:tcBorders>
                    <w:tl2br w:val="nil"/>
                    <w:tr2bl w:val="nil"/>
                  </w:tcBorders>
                  <w:vAlign w:val="center"/>
                </w:tcPr>
                <w:p w14:paraId="2450B40B">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6</w:t>
                  </w:r>
                </w:p>
              </w:tc>
              <w:tc>
                <w:tcPr>
                  <w:tcW w:w="988" w:type="pct"/>
                  <w:tcBorders>
                    <w:tl2br w:val="nil"/>
                    <w:tr2bl w:val="nil"/>
                  </w:tcBorders>
                  <w:vAlign w:val="center"/>
                </w:tcPr>
                <w:p w14:paraId="3305AB4B">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压铸车间、注塑车间、机加工车间</w:t>
                  </w:r>
                </w:p>
              </w:tc>
              <w:tc>
                <w:tcPr>
                  <w:tcW w:w="554" w:type="pct"/>
                  <w:vMerge w:val="continue"/>
                  <w:tcBorders>
                    <w:tl2br w:val="nil"/>
                    <w:tr2bl w:val="nil"/>
                  </w:tcBorders>
                  <w:vAlign w:val="center"/>
                </w:tcPr>
                <w:p w14:paraId="7B1CDF5D">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val="0"/>
                      <w:snapToGrid w:val="0"/>
                      <w:color w:val="auto"/>
                      <w:kern w:val="0"/>
                      <w:highlight w:val="none"/>
                    </w:rPr>
                  </w:pPr>
                </w:p>
              </w:tc>
            </w:tr>
            <w:tr w14:paraId="51480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29" w:type="pct"/>
                  <w:tcBorders>
                    <w:tl2br w:val="nil"/>
                    <w:tr2bl w:val="nil"/>
                  </w:tcBorders>
                  <w:vAlign w:val="center"/>
                </w:tcPr>
                <w:p w14:paraId="3D4AA026">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3</w:t>
                  </w:r>
                </w:p>
              </w:tc>
              <w:tc>
                <w:tcPr>
                  <w:tcW w:w="846" w:type="pct"/>
                  <w:tcBorders>
                    <w:tl2br w:val="nil"/>
                    <w:tr2bl w:val="nil"/>
                  </w:tcBorders>
                  <w:vAlign w:val="center"/>
                </w:tcPr>
                <w:p w14:paraId="2A1AE519">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eastAsia="zh-CN"/>
                    </w:rPr>
                  </w:pPr>
                  <w:r>
                    <w:rPr>
                      <w:rFonts w:hint="eastAsia" w:ascii="Times New Roman" w:hAnsi="Times New Roman"/>
                      <w:b w:val="0"/>
                      <w:snapToGrid w:val="0"/>
                      <w:color w:val="auto"/>
                      <w:kern w:val="0"/>
                      <w:highlight w:val="none"/>
                      <w:lang w:val="en-US" w:eastAsia="zh-CN"/>
                    </w:rPr>
                    <w:t>办公楼</w:t>
                  </w:r>
                </w:p>
              </w:tc>
              <w:tc>
                <w:tcPr>
                  <w:tcW w:w="578" w:type="pct"/>
                  <w:vMerge w:val="continue"/>
                  <w:tcBorders>
                    <w:tl2br w:val="nil"/>
                    <w:tr2bl w:val="nil"/>
                  </w:tcBorders>
                  <w:vAlign w:val="center"/>
                </w:tcPr>
                <w:p w14:paraId="48E11147">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p>
              </w:tc>
              <w:tc>
                <w:tcPr>
                  <w:tcW w:w="586" w:type="pct"/>
                  <w:tcBorders>
                    <w:tl2br w:val="nil"/>
                    <w:tr2bl w:val="nil"/>
                  </w:tcBorders>
                  <w:vAlign w:val="center"/>
                </w:tcPr>
                <w:p w14:paraId="402A9B8C">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3620.32</w:t>
                  </w:r>
                </w:p>
              </w:tc>
              <w:tc>
                <w:tcPr>
                  <w:tcW w:w="569" w:type="pct"/>
                  <w:tcBorders>
                    <w:tl2br w:val="nil"/>
                    <w:tr2bl w:val="nil"/>
                  </w:tcBorders>
                  <w:vAlign w:val="center"/>
                </w:tcPr>
                <w:p w14:paraId="559F3AC0">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3</w:t>
                  </w:r>
                </w:p>
              </w:tc>
              <w:tc>
                <w:tcPr>
                  <w:tcW w:w="545" w:type="pct"/>
                  <w:tcBorders>
                    <w:tl2br w:val="nil"/>
                    <w:tr2bl w:val="nil"/>
                  </w:tcBorders>
                  <w:vAlign w:val="center"/>
                </w:tcPr>
                <w:p w14:paraId="42983130">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b w:val="0"/>
                      <w:snapToGrid w:val="0"/>
                      <w:color w:val="auto"/>
                      <w:kern w:val="0"/>
                      <w:highlight w:val="none"/>
                      <w:lang w:val="en-US" w:eastAsia="zh-CN"/>
                    </w:rPr>
                  </w:pPr>
                  <w:r>
                    <w:rPr>
                      <w:rFonts w:hint="eastAsia" w:ascii="Times New Roman" w:hAnsi="Times New Roman"/>
                      <w:b w:val="0"/>
                      <w:snapToGrid w:val="0"/>
                      <w:color w:val="auto"/>
                      <w:kern w:val="0"/>
                      <w:highlight w:val="none"/>
                      <w:lang w:val="en-US" w:eastAsia="zh-CN"/>
                    </w:rPr>
                    <w:t>12</w:t>
                  </w:r>
                </w:p>
              </w:tc>
              <w:tc>
                <w:tcPr>
                  <w:tcW w:w="988" w:type="pct"/>
                  <w:tcBorders>
                    <w:tl2br w:val="nil"/>
                    <w:tr2bl w:val="nil"/>
                  </w:tcBorders>
                  <w:vAlign w:val="center"/>
                </w:tcPr>
                <w:p w14:paraId="114C83FA">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b w:val="0"/>
                      <w:snapToGrid w:val="0"/>
                      <w:color w:val="auto"/>
                      <w:kern w:val="0"/>
                      <w:highlight w:val="none"/>
                      <w:lang w:eastAsia="zh-CN"/>
                    </w:rPr>
                  </w:pPr>
                  <w:r>
                    <w:rPr>
                      <w:rFonts w:hint="eastAsia" w:ascii="Times New Roman" w:hAnsi="Times New Roman"/>
                      <w:b w:val="0"/>
                      <w:snapToGrid w:val="0"/>
                      <w:color w:val="auto"/>
                      <w:kern w:val="0"/>
                      <w:highlight w:val="none"/>
                      <w:lang w:val="en-US" w:eastAsia="zh-CN"/>
                    </w:rPr>
                    <w:t>办公楼</w:t>
                  </w:r>
                </w:p>
              </w:tc>
              <w:tc>
                <w:tcPr>
                  <w:tcW w:w="554" w:type="pct"/>
                  <w:vMerge w:val="continue"/>
                  <w:tcBorders>
                    <w:tl2br w:val="nil"/>
                    <w:tr2bl w:val="nil"/>
                  </w:tcBorders>
                  <w:vAlign w:val="center"/>
                </w:tcPr>
                <w:p w14:paraId="024BCF56">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b w:val="0"/>
                      <w:snapToGrid w:val="0"/>
                      <w:color w:val="auto"/>
                      <w:kern w:val="0"/>
                      <w:highlight w:val="none"/>
                    </w:rPr>
                  </w:pPr>
                </w:p>
              </w:tc>
            </w:tr>
          </w:tbl>
          <w:p w14:paraId="66818556">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2.1-</w:t>
            </w:r>
            <w:r>
              <w:rPr>
                <w:rFonts w:hint="eastAsia" w:cs="宋体"/>
                <w:b/>
                <w:bCs w:val="0"/>
                <w:color w:val="auto"/>
                <w:spacing w:val="-4"/>
                <w:szCs w:val="21"/>
                <w:highlight w:val="none"/>
                <w:lang w:val="en-US" w:eastAsia="zh-CN"/>
              </w:rPr>
              <w:t>3</w:t>
            </w:r>
            <w:r>
              <w:rPr>
                <w:rFonts w:hint="eastAsia" w:ascii="Times New Roman" w:hAnsi="Times New Roman" w:eastAsia="宋体" w:cs="宋体"/>
                <w:b/>
                <w:bCs w:val="0"/>
                <w:color w:val="auto"/>
                <w:spacing w:val="-4"/>
                <w:szCs w:val="21"/>
                <w:highlight w:val="none"/>
              </w:rPr>
              <w:t xml:space="preserve">  其他</w:t>
            </w:r>
            <w:r>
              <w:rPr>
                <w:rFonts w:ascii="Times New Roman" w:hAnsi="Times New Roman" w:eastAsia="宋体" w:cs="宋体"/>
                <w:b/>
                <w:bCs w:val="0"/>
                <w:color w:val="auto"/>
                <w:spacing w:val="-4"/>
                <w:szCs w:val="21"/>
                <w:highlight w:val="none"/>
              </w:rPr>
              <w:t>工程一览表</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81"/>
              <w:gridCol w:w="304"/>
              <w:gridCol w:w="997"/>
              <w:gridCol w:w="1656"/>
              <w:gridCol w:w="1861"/>
              <w:gridCol w:w="1363"/>
              <w:gridCol w:w="1875"/>
            </w:tblGrid>
            <w:tr w14:paraId="0E0D00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restart"/>
                  <w:vAlign w:val="center"/>
                </w:tcPr>
                <w:p w14:paraId="144C0EC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r>
                    <w:rPr>
                      <w:rFonts w:ascii="Times New Roman" w:hAnsi="Times New Roman" w:eastAsia="宋体" w:cs="Times New Roman"/>
                      <w:b/>
                      <w:bCs w:val="0"/>
                      <w:smallCaps w:val="0"/>
                      <w:snapToGrid w:val="0"/>
                      <w:color w:val="auto"/>
                      <w:highlight w:val="none"/>
                    </w:rPr>
                    <w:t>类别</w:t>
                  </w:r>
                </w:p>
              </w:tc>
              <w:tc>
                <w:tcPr>
                  <w:tcW w:w="780" w:type="pct"/>
                  <w:gridSpan w:val="2"/>
                  <w:vMerge w:val="restart"/>
                  <w:vAlign w:val="center"/>
                </w:tcPr>
                <w:p w14:paraId="79234F9A">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r>
                    <w:rPr>
                      <w:rFonts w:ascii="Times New Roman" w:hAnsi="Times New Roman" w:eastAsia="宋体" w:cs="Times New Roman"/>
                      <w:b/>
                      <w:bCs w:val="0"/>
                      <w:smallCaps w:val="0"/>
                      <w:snapToGrid w:val="0"/>
                      <w:color w:val="auto"/>
                      <w:highlight w:val="none"/>
                    </w:rPr>
                    <w:t>建设名称</w:t>
                  </w:r>
                </w:p>
              </w:tc>
              <w:tc>
                <w:tcPr>
                  <w:tcW w:w="2926" w:type="pct"/>
                  <w:gridSpan w:val="3"/>
                  <w:vAlign w:val="center"/>
                </w:tcPr>
                <w:p w14:paraId="510DD51D">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r>
                    <w:rPr>
                      <w:rFonts w:ascii="Times New Roman" w:hAnsi="Times New Roman" w:eastAsia="宋体" w:cs="Times New Roman"/>
                      <w:b/>
                      <w:bCs w:val="0"/>
                      <w:smallCaps w:val="0"/>
                      <w:snapToGrid w:val="0"/>
                      <w:color w:val="auto"/>
                      <w:highlight w:val="none"/>
                    </w:rPr>
                    <w:t>设计能力</w:t>
                  </w:r>
                </w:p>
              </w:tc>
              <w:tc>
                <w:tcPr>
                  <w:tcW w:w="1123" w:type="pct"/>
                  <w:vMerge w:val="restart"/>
                  <w:vAlign w:val="center"/>
                </w:tcPr>
                <w:p w14:paraId="18D62754">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r>
                    <w:rPr>
                      <w:rFonts w:ascii="Times New Roman" w:hAnsi="Times New Roman" w:eastAsia="宋体" w:cs="Times New Roman"/>
                      <w:b/>
                      <w:bCs w:val="0"/>
                      <w:smallCaps w:val="0"/>
                      <w:snapToGrid w:val="0"/>
                      <w:color w:val="auto"/>
                      <w:highlight w:val="none"/>
                    </w:rPr>
                    <w:t>备注</w:t>
                  </w:r>
                </w:p>
              </w:tc>
            </w:tr>
            <w:tr w14:paraId="01880D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78AA98F">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p>
              </w:tc>
              <w:tc>
                <w:tcPr>
                  <w:tcW w:w="780" w:type="pct"/>
                  <w:gridSpan w:val="2"/>
                  <w:vMerge w:val="continue"/>
                  <w:vAlign w:val="center"/>
                </w:tcPr>
                <w:p w14:paraId="41E137A4">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p>
              </w:tc>
              <w:tc>
                <w:tcPr>
                  <w:tcW w:w="993" w:type="pct"/>
                  <w:vAlign w:val="center"/>
                </w:tcPr>
                <w:p w14:paraId="02A7AEFA">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bCs w:val="0"/>
                      <w:smallCaps w:val="0"/>
                      <w:snapToGrid w:val="0"/>
                      <w:color w:val="auto"/>
                      <w:highlight w:val="none"/>
                      <w:lang w:val="en-US" w:eastAsia="zh-CN"/>
                    </w:rPr>
                  </w:pPr>
                  <w:r>
                    <w:rPr>
                      <w:rFonts w:hint="eastAsia" w:ascii="Times New Roman" w:hAnsi="Times New Roman" w:cs="Times New Roman"/>
                      <w:b/>
                      <w:bCs w:val="0"/>
                      <w:smallCaps w:val="0"/>
                      <w:snapToGrid w:val="0"/>
                      <w:color w:val="auto"/>
                      <w:highlight w:val="none"/>
                      <w:lang w:val="en-US" w:eastAsia="zh-CN"/>
                    </w:rPr>
                    <w:t>技改前</w:t>
                  </w:r>
                </w:p>
              </w:tc>
              <w:tc>
                <w:tcPr>
                  <w:tcW w:w="1116" w:type="pct"/>
                  <w:vAlign w:val="center"/>
                </w:tcPr>
                <w:p w14:paraId="5DBB3C07">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bCs w:val="0"/>
                      <w:smallCaps w:val="0"/>
                      <w:snapToGrid w:val="0"/>
                      <w:color w:val="auto"/>
                      <w:highlight w:val="none"/>
                      <w:lang w:val="en-US" w:eastAsia="zh-CN"/>
                    </w:rPr>
                  </w:pPr>
                  <w:r>
                    <w:rPr>
                      <w:rFonts w:hint="eastAsia" w:ascii="Times New Roman" w:hAnsi="Times New Roman" w:cs="Times New Roman"/>
                      <w:b/>
                      <w:bCs w:val="0"/>
                      <w:smallCaps w:val="0"/>
                      <w:snapToGrid w:val="0"/>
                      <w:color w:val="auto"/>
                      <w:highlight w:val="none"/>
                      <w:lang w:val="en-US" w:eastAsia="zh-CN"/>
                    </w:rPr>
                    <w:t>技改后</w:t>
                  </w:r>
                </w:p>
              </w:tc>
              <w:tc>
                <w:tcPr>
                  <w:tcW w:w="817" w:type="pct"/>
                  <w:vAlign w:val="center"/>
                </w:tcPr>
                <w:p w14:paraId="4C6F41EE">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bCs w:val="0"/>
                      <w:smallCaps w:val="0"/>
                      <w:snapToGrid w:val="0"/>
                      <w:color w:val="auto"/>
                      <w:highlight w:val="none"/>
                      <w:lang w:val="en-US" w:eastAsia="zh-CN"/>
                    </w:rPr>
                  </w:pPr>
                  <w:r>
                    <w:rPr>
                      <w:rFonts w:hint="eastAsia" w:ascii="Times New Roman" w:hAnsi="Times New Roman" w:cs="Times New Roman"/>
                      <w:b/>
                      <w:bCs w:val="0"/>
                      <w:smallCaps w:val="0"/>
                      <w:snapToGrid w:val="0"/>
                      <w:color w:val="auto"/>
                      <w:highlight w:val="none"/>
                      <w:lang w:val="en-US" w:eastAsia="zh-CN"/>
                    </w:rPr>
                    <w:t>变化情况</w:t>
                  </w:r>
                </w:p>
              </w:tc>
              <w:tc>
                <w:tcPr>
                  <w:tcW w:w="1123" w:type="pct"/>
                  <w:vMerge w:val="continue"/>
                  <w:vAlign w:val="center"/>
                </w:tcPr>
                <w:p w14:paraId="2F48466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bCs w:val="0"/>
                      <w:smallCaps w:val="0"/>
                      <w:snapToGrid w:val="0"/>
                      <w:color w:val="auto"/>
                      <w:highlight w:val="none"/>
                    </w:rPr>
                  </w:pPr>
                </w:p>
              </w:tc>
            </w:tr>
            <w:tr w14:paraId="3F26D5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69" w:type="pct"/>
                  <w:vMerge w:val="restart"/>
                  <w:vAlign w:val="center"/>
                </w:tcPr>
                <w:p w14:paraId="47BF3BEF">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公用工程</w:t>
                  </w:r>
                </w:p>
              </w:tc>
              <w:tc>
                <w:tcPr>
                  <w:tcW w:w="182" w:type="pct"/>
                  <w:vAlign w:val="center"/>
                </w:tcPr>
                <w:p w14:paraId="0661A2C9">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给水</w:t>
                  </w:r>
                </w:p>
              </w:tc>
              <w:tc>
                <w:tcPr>
                  <w:tcW w:w="597" w:type="pct"/>
                  <w:vAlign w:val="center"/>
                </w:tcPr>
                <w:p w14:paraId="6ED8081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自来水</w:t>
                  </w:r>
                </w:p>
              </w:tc>
              <w:tc>
                <w:tcPr>
                  <w:tcW w:w="993" w:type="pct"/>
                  <w:vAlign w:val="center"/>
                </w:tcPr>
                <w:p w14:paraId="0AEFEE37">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2549</w:t>
                  </w:r>
                  <w:r>
                    <w:rPr>
                      <w:rFonts w:hint="eastAsia" w:ascii="Times New Roman" w:hAnsi="Times New Roman" w:eastAsia="宋体" w:cs="Times New Roman"/>
                      <w:b w:val="0"/>
                      <w:smallCaps w:val="0"/>
                      <w:snapToGrid w:val="0"/>
                      <w:color w:val="auto"/>
                      <w:highlight w:val="none"/>
                    </w:rPr>
                    <w:t>t/a</w:t>
                  </w:r>
                </w:p>
              </w:tc>
              <w:tc>
                <w:tcPr>
                  <w:tcW w:w="1116" w:type="pct"/>
                  <w:vAlign w:val="center"/>
                </w:tcPr>
                <w:p w14:paraId="0DECD61C">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2612.39</w:t>
                  </w:r>
                  <w:r>
                    <w:rPr>
                      <w:rFonts w:hint="eastAsia" w:ascii="Times New Roman" w:hAnsi="Times New Roman" w:eastAsia="宋体" w:cs="Times New Roman"/>
                      <w:b w:val="0"/>
                      <w:smallCaps w:val="0"/>
                      <w:snapToGrid w:val="0"/>
                      <w:color w:val="auto"/>
                      <w:highlight w:val="none"/>
                    </w:rPr>
                    <w:t>t/a</w:t>
                  </w:r>
                </w:p>
              </w:tc>
              <w:tc>
                <w:tcPr>
                  <w:tcW w:w="817" w:type="pct"/>
                  <w:vAlign w:val="center"/>
                </w:tcPr>
                <w:p w14:paraId="12592A81">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+63.39</w:t>
                  </w:r>
                  <w:r>
                    <w:rPr>
                      <w:rFonts w:hint="eastAsia" w:ascii="Times New Roman" w:hAnsi="Times New Roman" w:eastAsia="宋体" w:cs="Times New Roman"/>
                      <w:b w:val="0"/>
                      <w:smallCaps w:val="0"/>
                      <w:snapToGrid w:val="0"/>
                      <w:color w:val="auto"/>
                      <w:highlight w:val="none"/>
                    </w:rPr>
                    <w:t>t/a</w:t>
                  </w:r>
                </w:p>
              </w:tc>
              <w:tc>
                <w:tcPr>
                  <w:tcW w:w="1123" w:type="pct"/>
                  <w:vAlign w:val="center"/>
                </w:tcPr>
                <w:p w14:paraId="607E11C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b w:val="0"/>
                      <w:smallCaps w:val="0"/>
                      <w:color w:val="auto"/>
                      <w:kern w:val="0"/>
                      <w:highlight w:val="none"/>
                    </w:rPr>
                    <w:t>依托</w:t>
                  </w:r>
                  <w:r>
                    <w:rPr>
                      <w:rFonts w:hint="eastAsia" w:ascii="Times New Roman" w:hAnsi="Times New Roman" w:eastAsia="宋体" w:cs="Times New Roman"/>
                      <w:b w:val="0"/>
                      <w:smallCaps w:val="0"/>
                      <w:snapToGrid w:val="0"/>
                      <w:color w:val="auto"/>
                      <w:highlight w:val="none"/>
                    </w:rPr>
                    <w:t>现有</w:t>
                  </w:r>
                  <w:r>
                    <w:rPr>
                      <w:rFonts w:ascii="Times New Roman" w:hAnsi="Times New Roman" w:eastAsia="宋体"/>
                      <w:b w:val="0"/>
                      <w:smallCaps w:val="0"/>
                      <w:color w:val="auto"/>
                      <w:kern w:val="0"/>
                      <w:highlight w:val="none"/>
                    </w:rPr>
                    <w:t>给水管网</w:t>
                  </w:r>
                </w:p>
              </w:tc>
            </w:tr>
            <w:tr w14:paraId="51AD17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2FF65838">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p>
              </w:tc>
              <w:tc>
                <w:tcPr>
                  <w:tcW w:w="182" w:type="pct"/>
                  <w:vAlign w:val="center"/>
                </w:tcPr>
                <w:p w14:paraId="4CD5FC8B">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排水</w:t>
                  </w:r>
                </w:p>
              </w:tc>
              <w:tc>
                <w:tcPr>
                  <w:tcW w:w="597" w:type="pct"/>
                  <w:vAlign w:val="center"/>
                </w:tcPr>
                <w:p w14:paraId="429E02F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生活污水</w:t>
                  </w:r>
                </w:p>
              </w:tc>
              <w:tc>
                <w:tcPr>
                  <w:tcW w:w="993" w:type="pct"/>
                  <w:vAlign w:val="center"/>
                </w:tcPr>
                <w:p w14:paraId="6F6462C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1920</w:t>
                  </w:r>
                  <w:r>
                    <w:rPr>
                      <w:rFonts w:hint="eastAsia" w:ascii="Times New Roman" w:hAnsi="Times New Roman" w:eastAsia="宋体" w:cs="Times New Roman"/>
                      <w:b w:val="0"/>
                      <w:smallCaps w:val="0"/>
                      <w:snapToGrid w:val="0"/>
                      <w:color w:val="auto"/>
                      <w:highlight w:val="none"/>
                    </w:rPr>
                    <w:t>t/a</w:t>
                  </w:r>
                </w:p>
              </w:tc>
              <w:tc>
                <w:tcPr>
                  <w:tcW w:w="1116" w:type="pct"/>
                  <w:vAlign w:val="center"/>
                </w:tcPr>
                <w:p w14:paraId="1569A3F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1920</w:t>
                  </w:r>
                  <w:r>
                    <w:rPr>
                      <w:rFonts w:hint="eastAsia" w:ascii="Times New Roman" w:hAnsi="Times New Roman" w:eastAsia="宋体" w:cs="Times New Roman"/>
                      <w:b w:val="0"/>
                      <w:smallCaps w:val="0"/>
                      <w:snapToGrid w:val="0"/>
                      <w:color w:val="auto"/>
                      <w:highlight w:val="none"/>
                    </w:rPr>
                    <w:t>t/a</w:t>
                  </w:r>
                </w:p>
              </w:tc>
              <w:tc>
                <w:tcPr>
                  <w:tcW w:w="817" w:type="pct"/>
                  <w:vAlign w:val="center"/>
                </w:tcPr>
                <w:p w14:paraId="470FEF2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45642E14">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b w:val="0"/>
                      <w:smallCaps w:val="0"/>
                      <w:color w:val="auto"/>
                      <w:kern w:val="0"/>
                      <w:highlight w:val="none"/>
                      <w:lang w:eastAsia="zh-CN"/>
                    </w:rPr>
                  </w:pPr>
                  <w:r>
                    <w:rPr>
                      <w:rFonts w:hint="eastAsia" w:ascii="Times New Roman" w:hAnsi="Times New Roman" w:eastAsia="宋体" w:cs="Times New Roman"/>
                      <w:b w:val="0"/>
                      <w:smallCaps w:val="0"/>
                      <w:snapToGrid w:val="0"/>
                      <w:color w:val="auto"/>
                      <w:highlight w:val="none"/>
                      <w:lang w:val="en-US" w:eastAsia="zh-CN"/>
                    </w:rPr>
                    <w:t>依托现有污水管网</w:t>
                  </w:r>
                  <w:r>
                    <w:rPr>
                      <w:rFonts w:ascii="Times New Roman" w:hAnsi="Times New Roman" w:eastAsia="宋体" w:cs="Times New Roman"/>
                      <w:b w:val="0"/>
                      <w:smallCaps w:val="0"/>
                      <w:snapToGrid w:val="0"/>
                      <w:color w:val="auto"/>
                      <w:highlight w:val="none"/>
                    </w:rPr>
                    <w:t>接管至</w:t>
                  </w:r>
                  <w:r>
                    <w:rPr>
                      <w:rFonts w:hint="eastAsia" w:ascii="Times New Roman" w:hAnsi="Times New Roman"/>
                      <w:b w:val="0"/>
                      <w:smallCaps w:val="0"/>
                      <w:color w:val="auto"/>
                      <w:kern w:val="0"/>
                      <w:highlight w:val="none"/>
                      <w:lang w:eastAsia="zh-CN"/>
                    </w:rPr>
                    <w:t>金坛第二污水处理厂</w:t>
                  </w:r>
                </w:p>
              </w:tc>
            </w:tr>
            <w:tr w14:paraId="2313E4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7C8A88A9">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p>
              </w:tc>
              <w:tc>
                <w:tcPr>
                  <w:tcW w:w="780" w:type="pct"/>
                  <w:gridSpan w:val="2"/>
                  <w:vAlign w:val="center"/>
                </w:tcPr>
                <w:p w14:paraId="2CD8454F">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供电</w:t>
                  </w:r>
                </w:p>
              </w:tc>
              <w:tc>
                <w:tcPr>
                  <w:tcW w:w="993" w:type="pct"/>
                  <w:vAlign w:val="center"/>
                </w:tcPr>
                <w:p w14:paraId="7A42867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30</w:t>
                  </w:r>
                  <w:r>
                    <w:rPr>
                      <w:rFonts w:hint="eastAsia" w:ascii="Times New Roman" w:hAnsi="Times New Roman" w:eastAsia="宋体" w:cs="Times New Roman"/>
                      <w:b w:val="0"/>
                      <w:smallCaps w:val="0"/>
                      <w:snapToGrid w:val="0"/>
                      <w:color w:val="auto"/>
                      <w:highlight w:val="none"/>
                      <w:lang w:val="en-US" w:eastAsia="zh-CN"/>
                    </w:rPr>
                    <w:t>万k</w:t>
                  </w:r>
                  <w:r>
                    <w:rPr>
                      <w:rFonts w:hint="eastAsia" w:ascii="Times New Roman" w:hAnsi="Times New Roman" w:eastAsia="宋体" w:cs="Times New Roman"/>
                      <w:b w:val="0"/>
                      <w:smallCaps w:val="0"/>
                      <w:snapToGrid w:val="0"/>
                      <w:color w:val="auto"/>
                      <w:highlight w:val="none"/>
                    </w:rPr>
                    <w:t>W</w:t>
                  </w:r>
                  <w:r>
                    <w:rPr>
                      <w:rFonts w:hint="default" w:ascii="Times New Roman" w:hAnsi="Times New Roman" w:eastAsia="宋体" w:cs="Times New Roman"/>
                      <w:b w:val="0"/>
                      <w:smallCaps w:val="0"/>
                      <w:snapToGrid w:val="0"/>
                      <w:color w:val="auto"/>
                      <w:highlight w:val="none"/>
                    </w:rPr>
                    <w:t>·</w:t>
                  </w:r>
                  <w:r>
                    <w:rPr>
                      <w:rFonts w:hint="eastAsia" w:ascii="Times New Roman" w:hAnsi="Times New Roman" w:eastAsia="宋体" w:cs="Times New Roman"/>
                      <w:b w:val="0"/>
                      <w:smallCaps w:val="0"/>
                      <w:snapToGrid w:val="0"/>
                      <w:color w:val="auto"/>
                      <w:highlight w:val="none"/>
                    </w:rPr>
                    <w:t>h/a</w:t>
                  </w:r>
                </w:p>
              </w:tc>
              <w:tc>
                <w:tcPr>
                  <w:tcW w:w="1116" w:type="pct"/>
                  <w:vAlign w:val="center"/>
                </w:tcPr>
                <w:p w14:paraId="248389D9">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47.2</w:t>
                  </w:r>
                  <w:r>
                    <w:rPr>
                      <w:rFonts w:hint="eastAsia" w:ascii="Times New Roman" w:hAnsi="Times New Roman" w:eastAsia="宋体" w:cs="Times New Roman"/>
                      <w:b w:val="0"/>
                      <w:smallCaps w:val="0"/>
                      <w:snapToGrid w:val="0"/>
                      <w:color w:val="auto"/>
                      <w:highlight w:val="none"/>
                      <w:lang w:val="en-US" w:eastAsia="zh-CN"/>
                    </w:rPr>
                    <w:t>万k</w:t>
                  </w:r>
                  <w:r>
                    <w:rPr>
                      <w:rFonts w:hint="eastAsia" w:ascii="Times New Roman" w:hAnsi="Times New Roman" w:eastAsia="宋体" w:cs="Times New Roman"/>
                      <w:b w:val="0"/>
                      <w:smallCaps w:val="0"/>
                      <w:snapToGrid w:val="0"/>
                      <w:color w:val="auto"/>
                      <w:highlight w:val="none"/>
                    </w:rPr>
                    <w:t>W</w:t>
                  </w:r>
                  <w:r>
                    <w:rPr>
                      <w:rFonts w:hint="default" w:ascii="Times New Roman" w:hAnsi="Times New Roman" w:eastAsia="宋体" w:cs="Times New Roman"/>
                      <w:b w:val="0"/>
                      <w:smallCaps w:val="0"/>
                      <w:snapToGrid w:val="0"/>
                      <w:color w:val="auto"/>
                      <w:highlight w:val="none"/>
                    </w:rPr>
                    <w:t>·</w:t>
                  </w:r>
                  <w:r>
                    <w:rPr>
                      <w:rFonts w:hint="eastAsia" w:ascii="Times New Roman" w:hAnsi="Times New Roman" w:eastAsia="宋体" w:cs="Times New Roman"/>
                      <w:b w:val="0"/>
                      <w:smallCaps w:val="0"/>
                      <w:snapToGrid w:val="0"/>
                      <w:color w:val="auto"/>
                      <w:highlight w:val="none"/>
                    </w:rPr>
                    <w:t>h/a</w:t>
                  </w:r>
                </w:p>
              </w:tc>
              <w:tc>
                <w:tcPr>
                  <w:tcW w:w="817" w:type="pct"/>
                  <w:vAlign w:val="center"/>
                </w:tcPr>
                <w:p w14:paraId="1FA1FE0E">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+17.2</w:t>
                  </w:r>
                  <w:r>
                    <w:rPr>
                      <w:rFonts w:hint="eastAsia" w:ascii="Times New Roman" w:hAnsi="Times New Roman" w:eastAsia="宋体" w:cs="Times New Roman"/>
                      <w:b w:val="0"/>
                      <w:smallCaps w:val="0"/>
                      <w:snapToGrid w:val="0"/>
                      <w:color w:val="auto"/>
                      <w:highlight w:val="none"/>
                      <w:lang w:val="en-US" w:eastAsia="zh-CN"/>
                    </w:rPr>
                    <w:t>万k</w:t>
                  </w:r>
                  <w:r>
                    <w:rPr>
                      <w:rFonts w:hint="eastAsia" w:ascii="Times New Roman" w:hAnsi="Times New Roman" w:eastAsia="宋体" w:cs="Times New Roman"/>
                      <w:b w:val="0"/>
                      <w:smallCaps w:val="0"/>
                      <w:snapToGrid w:val="0"/>
                      <w:color w:val="auto"/>
                      <w:highlight w:val="none"/>
                    </w:rPr>
                    <w:t>W</w:t>
                  </w:r>
                  <w:r>
                    <w:rPr>
                      <w:rFonts w:hint="default" w:ascii="Times New Roman" w:hAnsi="Times New Roman" w:eastAsia="宋体" w:cs="Times New Roman"/>
                      <w:b w:val="0"/>
                      <w:smallCaps w:val="0"/>
                      <w:snapToGrid w:val="0"/>
                      <w:color w:val="auto"/>
                      <w:highlight w:val="none"/>
                    </w:rPr>
                    <w:t>·</w:t>
                  </w:r>
                  <w:r>
                    <w:rPr>
                      <w:rFonts w:hint="eastAsia" w:ascii="Times New Roman" w:hAnsi="Times New Roman" w:eastAsia="宋体" w:cs="Times New Roman"/>
                      <w:b w:val="0"/>
                      <w:smallCaps w:val="0"/>
                      <w:snapToGrid w:val="0"/>
                      <w:color w:val="auto"/>
                      <w:highlight w:val="none"/>
                    </w:rPr>
                    <w:t>h/a</w:t>
                  </w:r>
                </w:p>
              </w:tc>
              <w:tc>
                <w:tcPr>
                  <w:tcW w:w="1123" w:type="pct"/>
                  <w:vAlign w:val="center"/>
                </w:tcPr>
                <w:p w14:paraId="7862CD03">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依托</w:t>
                  </w:r>
                  <w:r>
                    <w:rPr>
                      <w:rFonts w:hint="eastAsia" w:ascii="Times New Roman" w:hAnsi="Times New Roman" w:eastAsia="宋体" w:cs="Times New Roman"/>
                      <w:b w:val="0"/>
                      <w:smallCaps w:val="0"/>
                      <w:snapToGrid w:val="0"/>
                      <w:color w:val="auto"/>
                      <w:highlight w:val="none"/>
                    </w:rPr>
                    <w:t>现有</w:t>
                  </w:r>
                  <w:r>
                    <w:rPr>
                      <w:rFonts w:ascii="Times New Roman" w:hAnsi="Times New Roman" w:eastAsia="宋体" w:cs="Times New Roman"/>
                      <w:b w:val="0"/>
                      <w:smallCaps w:val="0"/>
                      <w:snapToGrid w:val="0"/>
                      <w:color w:val="auto"/>
                      <w:highlight w:val="none"/>
                    </w:rPr>
                    <w:t>供电系统</w:t>
                  </w:r>
                </w:p>
              </w:tc>
            </w:tr>
            <w:tr w14:paraId="37669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7243BF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p>
              </w:tc>
              <w:tc>
                <w:tcPr>
                  <w:tcW w:w="780" w:type="pct"/>
                  <w:gridSpan w:val="2"/>
                  <w:vAlign w:val="center"/>
                </w:tcPr>
                <w:p w14:paraId="60878D25">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供气</w:t>
                  </w:r>
                  <w:r>
                    <w:rPr>
                      <w:rFonts w:hint="eastAsia"/>
                      <w:b w:val="0"/>
                      <w:color w:val="auto"/>
                      <w:lang w:eastAsia="zh-CN"/>
                    </w:rPr>
                    <w:t>（</w:t>
                  </w:r>
                  <w:r>
                    <w:rPr>
                      <w:rFonts w:hint="eastAsia"/>
                      <w:b w:val="0"/>
                      <w:color w:val="auto"/>
                      <w:lang w:val="en-US" w:eastAsia="zh-CN"/>
                    </w:rPr>
                    <w:t>天然气</w:t>
                  </w:r>
                  <w:r>
                    <w:rPr>
                      <w:rFonts w:hint="eastAsia"/>
                      <w:b w:val="0"/>
                      <w:color w:val="auto"/>
                      <w:lang w:eastAsia="zh-CN"/>
                    </w:rPr>
                    <w:t>）</w:t>
                  </w:r>
                </w:p>
              </w:tc>
              <w:tc>
                <w:tcPr>
                  <w:tcW w:w="993" w:type="pct"/>
                  <w:vAlign w:val="center"/>
                </w:tcPr>
                <w:p w14:paraId="2F1816A9">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lang w:val="en-US" w:eastAsia="zh-CN"/>
                    </w:rPr>
                    <w:t>15</w:t>
                  </w:r>
                  <w:r>
                    <w:rPr>
                      <w:rFonts w:hint="eastAsia" w:ascii="Times New Roman" w:hAnsi="Times New Roman" w:eastAsia="宋体" w:cs="Times New Roman"/>
                      <w:b w:val="0"/>
                      <w:smallCaps w:val="0"/>
                      <w:snapToGrid w:val="0"/>
                      <w:color w:val="auto"/>
                    </w:rPr>
                    <w:t>万Nm</w:t>
                  </w:r>
                  <w:r>
                    <w:rPr>
                      <w:rFonts w:hint="eastAsia" w:ascii="Times New Roman" w:hAnsi="Times New Roman" w:eastAsia="宋体" w:cs="Times New Roman"/>
                      <w:b w:val="0"/>
                      <w:smallCaps w:val="0"/>
                      <w:snapToGrid w:val="0"/>
                      <w:color w:val="auto"/>
                      <w:vertAlign w:val="superscript"/>
                    </w:rPr>
                    <w:t>3</w:t>
                  </w:r>
                  <w:r>
                    <w:rPr>
                      <w:rFonts w:hint="eastAsia" w:ascii="Times New Roman" w:hAnsi="Times New Roman" w:eastAsia="宋体" w:cs="Times New Roman"/>
                      <w:b w:val="0"/>
                      <w:smallCaps w:val="0"/>
                      <w:snapToGrid w:val="0"/>
                      <w:color w:val="auto"/>
                    </w:rPr>
                    <w:t>/a</w:t>
                  </w:r>
                </w:p>
              </w:tc>
              <w:tc>
                <w:tcPr>
                  <w:tcW w:w="1116" w:type="pct"/>
                  <w:vAlign w:val="center"/>
                </w:tcPr>
                <w:p w14:paraId="5F90A77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11</w:t>
                  </w:r>
                  <w:r>
                    <w:rPr>
                      <w:rFonts w:hint="eastAsia" w:ascii="Times New Roman" w:hAnsi="Times New Roman" w:eastAsia="宋体" w:cs="Times New Roman"/>
                      <w:b w:val="0"/>
                      <w:smallCaps w:val="0"/>
                      <w:snapToGrid w:val="0"/>
                      <w:color w:val="auto"/>
                    </w:rPr>
                    <w:t>万Nm</w:t>
                  </w:r>
                  <w:r>
                    <w:rPr>
                      <w:rFonts w:hint="eastAsia" w:ascii="Times New Roman" w:hAnsi="Times New Roman" w:eastAsia="宋体" w:cs="Times New Roman"/>
                      <w:b w:val="0"/>
                      <w:smallCaps w:val="0"/>
                      <w:snapToGrid w:val="0"/>
                      <w:color w:val="auto"/>
                      <w:vertAlign w:val="superscript"/>
                    </w:rPr>
                    <w:t>3</w:t>
                  </w:r>
                  <w:r>
                    <w:rPr>
                      <w:rFonts w:hint="eastAsia" w:ascii="Times New Roman" w:hAnsi="Times New Roman" w:eastAsia="宋体" w:cs="Times New Roman"/>
                      <w:b w:val="0"/>
                      <w:smallCaps w:val="0"/>
                      <w:snapToGrid w:val="0"/>
                      <w:color w:val="auto"/>
                    </w:rPr>
                    <w:t>/a</w:t>
                  </w:r>
                </w:p>
              </w:tc>
              <w:tc>
                <w:tcPr>
                  <w:tcW w:w="817" w:type="pct"/>
                  <w:vAlign w:val="center"/>
                </w:tcPr>
                <w:p w14:paraId="5339DE94">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-4</w:t>
                  </w:r>
                  <w:r>
                    <w:rPr>
                      <w:rFonts w:hint="eastAsia" w:ascii="Times New Roman" w:hAnsi="Times New Roman" w:eastAsia="宋体" w:cs="Times New Roman"/>
                      <w:b w:val="0"/>
                      <w:smallCaps w:val="0"/>
                      <w:snapToGrid w:val="0"/>
                      <w:color w:val="auto"/>
                    </w:rPr>
                    <w:t>万Nm</w:t>
                  </w:r>
                  <w:r>
                    <w:rPr>
                      <w:rFonts w:hint="eastAsia" w:ascii="Times New Roman" w:hAnsi="Times New Roman" w:eastAsia="宋体" w:cs="Times New Roman"/>
                      <w:b w:val="0"/>
                      <w:smallCaps w:val="0"/>
                      <w:snapToGrid w:val="0"/>
                      <w:color w:val="auto"/>
                      <w:vertAlign w:val="superscript"/>
                    </w:rPr>
                    <w:t>3</w:t>
                  </w:r>
                  <w:r>
                    <w:rPr>
                      <w:rFonts w:hint="eastAsia" w:ascii="Times New Roman" w:hAnsi="Times New Roman" w:eastAsia="宋体" w:cs="Times New Roman"/>
                      <w:b w:val="0"/>
                      <w:smallCaps w:val="0"/>
                      <w:snapToGrid w:val="0"/>
                      <w:color w:val="auto"/>
                    </w:rPr>
                    <w:t>/a</w:t>
                  </w:r>
                </w:p>
              </w:tc>
              <w:tc>
                <w:tcPr>
                  <w:tcW w:w="1123" w:type="pct"/>
                  <w:vAlign w:val="center"/>
                </w:tcPr>
                <w:p w14:paraId="16E4BA0C">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rPr>
                    <w:t>区域供气管网供给</w:t>
                  </w:r>
                </w:p>
              </w:tc>
            </w:tr>
            <w:tr w14:paraId="608E84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restart"/>
                  <w:vAlign w:val="center"/>
                </w:tcPr>
                <w:p w14:paraId="6D0E9CD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r>
                    <w:rPr>
                      <w:rFonts w:ascii="Times New Roman" w:hAnsi="Times New Roman" w:eastAsia="宋体" w:cs="Times New Roman"/>
                      <w:b w:val="0"/>
                      <w:smallCaps w:val="0"/>
                      <w:snapToGrid w:val="0"/>
                      <w:color w:val="auto"/>
                      <w:highlight w:val="none"/>
                    </w:rPr>
                    <w:t>环保工程</w:t>
                  </w:r>
                </w:p>
              </w:tc>
              <w:tc>
                <w:tcPr>
                  <w:tcW w:w="182" w:type="pct"/>
                  <w:vMerge w:val="restart"/>
                  <w:vAlign w:val="center"/>
                </w:tcPr>
                <w:p w14:paraId="1373F621">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废气处理</w:t>
                  </w:r>
                </w:p>
              </w:tc>
              <w:tc>
                <w:tcPr>
                  <w:tcW w:w="597" w:type="pct"/>
                  <w:shd w:val="clear" w:color="auto" w:fill="auto"/>
                  <w:vAlign w:val="center"/>
                </w:tcPr>
                <w:p w14:paraId="37F7CFB3">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highlight w:val="none"/>
                      <w:lang w:val="en-US" w:eastAsia="zh-CN"/>
                    </w:rPr>
                    <w:t>天然气燃烧废气、熔化烟尘处理系统</w:t>
                  </w:r>
                </w:p>
              </w:tc>
              <w:tc>
                <w:tcPr>
                  <w:tcW w:w="993" w:type="pct"/>
                  <w:shd w:val="clear" w:color="auto" w:fill="auto"/>
                  <w:vAlign w:val="center"/>
                </w:tcPr>
                <w:p w14:paraId="5768F55E">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宋体"/>
                      <w:b w:val="0"/>
                      <w:smallCaps w:val="0"/>
                      <w:color w:val="auto"/>
                      <w:kern w:val="2"/>
                      <w:sz w:val="21"/>
                      <w:szCs w:val="21"/>
                      <w:lang w:val="en-US" w:eastAsia="zh-CN" w:bidi="ar-SA"/>
                    </w:rPr>
                  </w:pPr>
                  <w:r>
                    <w:rPr>
                      <w:rFonts w:hint="eastAsia" w:ascii="Times New Roman" w:hAnsi="Times New Roman" w:cs="宋体"/>
                      <w:b w:val="0"/>
                      <w:smallCaps w:val="0"/>
                      <w:color w:val="auto"/>
                      <w:lang w:val="en-US" w:eastAsia="zh-CN"/>
                    </w:rPr>
                    <w:t>水喷淋</w:t>
                  </w:r>
                  <w:r>
                    <w:rPr>
                      <w:rFonts w:hint="eastAsia" w:ascii="Times New Roman" w:hAnsi="Times New Roman" w:eastAsia="宋体" w:cs="宋体"/>
                      <w:b w:val="0"/>
                      <w:smallCaps w:val="0"/>
                      <w:color w:val="auto"/>
                      <w:lang w:val="en-US" w:eastAsia="zh-CN"/>
                    </w:rPr>
                    <w:t>+</w:t>
                  </w:r>
                  <w:r>
                    <w:rPr>
                      <w:rFonts w:hint="eastAsia" w:ascii="Times New Roman" w:hAnsi="Times New Roman" w:cs="Times New Roman"/>
                      <w:b w:val="0"/>
                      <w:smallCaps w:val="0"/>
                      <w:snapToGrid w:val="0"/>
                      <w:color w:val="auto"/>
                      <w:highlight w:val="none"/>
                      <w:lang w:val="en-US" w:eastAsia="zh-CN"/>
                    </w:rPr>
                    <w:t>11247</w:t>
                  </w:r>
                  <w:r>
                    <w:rPr>
                      <w:rFonts w:hint="eastAsia" w:ascii="Times New Roman" w:hAnsi="Times New Roman" w:eastAsia="宋体" w:cs="Times New Roman"/>
                      <w:b w:val="0"/>
                      <w:smallCaps w:val="0"/>
                      <w:snapToGrid w:val="0"/>
                      <w:color w:val="auto"/>
                      <w:highlight w:val="none"/>
                      <w:lang w:val="en-US" w:eastAsia="zh-CN"/>
                    </w:rPr>
                    <w:t>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1116" w:type="pct"/>
                  <w:shd w:val="clear" w:color="auto" w:fill="auto"/>
                  <w:vAlign w:val="center"/>
                </w:tcPr>
                <w:p w14:paraId="1A8B6EFB">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宋体"/>
                      <w:b w:val="0"/>
                      <w:smallCaps w:val="0"/>
                      <w:color w:val="auto"/>
                      <w:kern w:val="2"/>
                      <w:sz w:val="21"/>
                      <w:szCs w:val="21"/>
                      <w:lang w:val="en-US" w:eastAsia="zh-CN" w:bidi="ar-SA"/>
                    </w:rPr>
                  </w:pPr>
                  <w:r>
                    <w:rPr>
                      <w:rFonts w:hint="eastAsia" w:ascii="Times New Roman" w:hAnsi="Times New Roman" w:cs="宋体"/>
                      <w:b w:val="0"/>
                      <w:smallCaps w:val="0"/>
                      <w:color w:val="auto"/>
                      <w:lang w:val="en-US" w:eastAsia="zh-CN"/>
                    </w:rPr>
                    <w:t>水喷淋</w:t>
                  </w:r>
                  <w:r>
                    <w:rPr>
                      <w:rFonts w:hint="eastAsia" w:ascii="Times New Roman" w:hAnsi="Times New Roman" w:eastAsia="宋体" w:cs="宋体"/>
                      <w:b w:val="0"/>
                      <w:smallCaps w:val="0"/>
                      <w:color w:val="auto"/>
                      <w:lang w:val="en-US" w:eastAsia="zh-CN"/>
                    </w:rPr>
                    <w:t>+</w:t>
                  </w:r>
                  <w:r>
                    <w:rPr>
                      <w:rFonts w:hint="eastAsia" w:ascii="Times New Roman" w:hAnsi="Times New Roman" w:cs="Times New Roman"/>
                      <w:b w:val="0"/>
                      <w:smallCaps w:val="0"/>
                      <w:snapToGrid w:val="0"/>
                      <w:color w:val="auto"/>
                      <w:highlight w:val="none"/>
                      <w:lang w:val="en-US" w:eastAsia="zh-CN"/>
                    </w:rPr>
                    <w:t>11247</w:t>
                  </w:r>
                  <w:r>
                    <w:rPr>
                      <w:rFonts w:hint="eastAsia" w:ascii="Times New Roman" w:hAnsi="Times New Roman" w:eastAsia="宋体" w:cs="Times New Roman"/>
                      <w:b w:val="0"/>
                      <w:smallCaps w:val="0"/>
                      <w:snapToGrid w:val="0"/>
                      <w:color w:val="auto"/>
                      <w:highlight w:val="none"/>
                      <w:lang w:val="en-US" w:eastAsia="zh-CN"/>
                    </w:rPr>
                    <w:t>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817" w:type="pct"/>
                  <w:shd w:val="clear" w:color="auto" w:fill="auto"/>
                  <w:vAlign w:val="center"/>
                </w:tcPr>
                <w:p w14:paraId="2CEF3D0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宋体"/>
                      <w:b w:val="0"/>
                      <w:smallCaps w:val="0"/>
                      <w:color w:val="auto"/>
                      <w:kern w:val="2"/>
                      <w:sz w:val="21"/>
                      <w:szCs w:val="21"/>
                      <w:lang w:val="en-US" w:eastAsia="zh-CN" w:bidi="ar-SA"/>
                    </w:rPr>
                  </w:pPr>
                  <w:r>
                    <w:rPr>
                      <w:rFonts w:hint="eastAsia" w:ascii="Times New Roman" w:hAnsi="Times New Roman" w:cs="宋体"/>
                      <w:b w:val="0"/>
                      <w:smallCaps w:val="0"/>
                      <w:color w:val="auto"/>
                      <w:lang w:val="en-US" w:eastAsia="zh-CN"/>
                    </w:rPr>
                    <w:t>不变</w:t>
                  </w:r>
                </w:p>
              </w:tc>
              <w:tc>
                <w:tcPr>
                  <w:tcW w:w="1123" w:type="pct"/>
                  <w:shd w:val="clear" w:color="auto" w:fill="auto"/>
                  <w:vAlign w:val="center"/>
                </w:tcPr>
                <w:p w14:paraId="709E20BC">
                  <w:pPr>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bCs/>
                      <w:smallCaps w:val="0"/>
                      <w:color w:val="auto"/>
                      <w:kern w:val="2"/>
                      <w:sz w:val="21"/>
                      <w:szCs w:val="21"/>
                      <w:lang w:val="en-US" w:eastAsia="zh-CN" w:bidi="ar-SA"/>
                    </w:rPr>
                  </w:pPr>
                  <w:r>
                    <w:rPr>
                      <w:rFonts w:hint="eastAsia" w:ascii="Times New Roman" w:hAnsi="Times New Roman" w:cs="Times New Roman"/>
                      <w:b w:val="0"/>
                      <w:smallCaps w:val="0"/>
                      <w:snapToGrid w:val="0"/>
                      <w:color w:val="auto"/>
                      <w:highlight w:val="none"/>
                      <w:lang w:val="en-US" w:eastAsia="zh-CN"/>
                    </w:rPr>
                    <w:t>天然气燃烧废气、熔化烟尘</w:t>
                  </w:r>
                  <w:r>
                    <w:rPr>
                      <w:rFonts w:hint="eastAsia"/>
                      <w:b w:val="0"/>
                      <w:smallCaps w:val="0"/>
                      <w:color w:val="auto"/>
                      <w:lang w:val="en-US" w:eastAsia="zh-CN"/>
                    </w:rPr>
                    <w:t>经集气罩收集，</w:t>
                  </w:r>
                  <w:r>
                    <w:rPr>
                      <w:rFonts w:hint="eastAsia" w:ascii="Times New Roman" w:hAnsi="Times New Roman" w:cs="宋体"/>
                      <w:b w:val="0"/>
                      <w:smallCaps w:val="0"/>
                      <w:color w:val="auto"/>
                      <w:lang w:val="en-US" w:eastAsia="zh-CN"/>
                    </w:rPr>
                    <w:t>水喷淋</w:t>
                  </w:r>
                  <w:r>
                    <w:rPr>
                      <w:rFonts w:hint="eastAsia" w:ascii="Times New Roman" w:hAnsi="Times New Roman" w:eastAsia="宋体" w:cs="宋体"/>
                      <w:b w:val="0"/>
                      <w:smallCaps w:val="0"/>
                      <w:color w:val="auto"/>
                      <w:lang w:eastAsia="zh-CN"/>
                    </w:rPr>
                    <w:t>装置处理，15m高排气筒FQ-</w:t>
                  </w:r>
                  <w:r>
                    <w:rPr>
                      <w:rFonts w:hint="eastAsia" w:ascii="Times New Roman" w:hAnsi="Times New Roman" w:eastAsia="宋体" w:cs="宋体"/>
                      <w:b w:val="0"/>
                      <w:smallCaps w:val="0"/>
                      <w:color w:val="auto"/>
                      <w:lang w:val="en-US" w:eastAsia="zh-CN"/>
                    </w:rPr>
                    <w:t>1</w:t>
                  </w:r>
                  <w:r>
                    <w:rPr>
                      <w:rFonts w:hint="eastAsia" w:ascii="Times New Roman" w:hAnsi="Times New Roman" w:eastAsia="宋体" w:cs="宋体"/>
                      <w:b w:val="0"/>
                      <w:smallCaps w:val="0"/>
                      <w:color w:val="auto"/>
                      <w:lang w:eastAsia="zh-CN"/>
                    </w:rPr>
                    <w:t>排放</w:t>
                  </w:r>
                </w:p>
              </w:tc>
            </w:tr>
            <w:tr w14:paraId="22C03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C42C086">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6B6D810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shd w:val="clear" w:color="auto" w:fill="auto"/>
                  <w:vAlign w:val="center"/>
                </w:tcPr>
                <w:p w14:paraId="1B282824">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highlight w:val="none"/>
                      <w:lang w:val="en-US" w:eastAsia="zh-CN"/>
                    </w:rPr>
                    <w:t>脱模、压铸</w:t>
                  </w:r>
                  <w:r>
                    <w:rPr>
                      <w:rFonts w:hint="eastAsia" w:ascii="Times New Roman" w:hAnsi="Times New Roman" w:eastAsia="宋体" w:cs="Times New Roman"/>
                      <w:b w:val="0"/>
                      <w:smallCaps w:val="0"/>
                      <w:snapToGrid w:val="0"/>
                      <w:color w:val="auto"/>
                      <w:highlight w:val="none"/>
                      <w:lang w:val="en-US" w:eastAsia="zh-CN"/>
                    </w:rPr>
                    <w:t>废气处理系统</w:t>
                  </w:r>
                </w:p>
              </w:tc>
              <w:tc>
                <w:tcPr>
                  <w:tcW w:w="993" w:type="pct"/>
                  <w:shd w:val="clear" w:color="auto" w:fill="auto"/>
                  <w:vAlign w:val="center"/>
                </w:tcPr>
                <w:p w14:paraId="4E65435A">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宋体"/>
                      <w:b w:val="0"/>
                      <w:smallCaps w:val="0"/>
                      <w:color w:val="auto"/>
                      <w:kern w:val="2"/>
                      <w:sz w:val="21"/>
                      <w:szCs w:val="21"/>
                      <w:lang w:val="en-US" w:eastAsia="zh-CN" w:bidi="ar-SA"/>
                    </w:rPr>
                  </w:pPr>
                  <w:r>
                    <w:rPr>
                      <w:rFonts w:hint="eastAsia" w:ascii="Times New Roman" w:hAnsi="Times New Roman" w:cs="宋体"/>
                      <w:b w:val="0"/>
                      <w:smallCaps w:val="0"/>
                      <w:color w:val="auto"/>
                      <w:lang w:val="en-US" w:eastAsia="zh-CN"/>
                    </w:rPr>
                    <w:t>静电除尘+二级活性炭</w:t>
                  </w:r>
                  <w:r>
                    <w:rPr>
                      <w:rFonts w:hint="eastAsia" w:ascii="Times New Roman" w:hAnsi="Times New Roman" w:eastAsia="宋体" w:cs="宋体"/>
                      <w:b w:val="0"/>
                      <w:smallCaps w:val="0"/>
                      <w:color w:val="auto"/>
                      <w:lang w:val="en-US" w:eastAsia="zh-CN"/>
                    </w:rPr>
                    <w:t>+</w:t>
                  </w:r>
                  <w:r>
                    <w:rPr>
                      <w:rFonts w:hint="eastAsia" w:ascii="Times New Roman" w:hAnsi="Times New Roman" w:eastAsia="宋体" w:cs="Times New Roman"/>
                      <w:b w:val="0"/>
                      <w:smallCaps w:val="0"/>
                      <w:snapToGrid w:val="0"/>
                      <w:color w:val="auto"/>
                      <w:highlight w:val="none"/>
                      <w:lang w:val="en-US" w:eastAsia="zh-CN"/>
                    </w:rPr>
                    <w:t>10000m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1116" w:type="pct"/>
                  <w:shd w:val="clear" w:color="auto" w:fill="auto"/>
                  <w:vAlign w:val="center"/>
                </w:tcPr>
                <w:p w14:paraId="361ECAAB">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宋体"/>
                      <w:b w:val="0"/>
                      <w:smallCaps w:val="0"/>
                      <w:color w:val="auto"/>
                      <w:kern w:val="2"/>
                      <w:sz w:val="21"/>
                      <w:szCs w:val="21"/>
                      <w:lang w:val="en-US" w:eastAsia="zh-CN" w:bidi="ar-SA"/>
                    </w:rPr>
                  </w:pPr>
                  <w:r>
                    <w:rPr>
                      <w:rFonts w:hint="eastAsia" w:cs="宋体"/>
                      <w:bCs/>
                      <w:color w:val="auto"/>
                      <w:szCs w:val="21"/>
                      <w:highlight w:val="none"/>
                      <w:lang w:val="en-US" w:eastAsia="zh-CN"/>
                    </w:rPr>
                    <w:t>静电除油+水喷淋+除湿+二级活性炭吸附装置</w:t>
                  </w:r>
                  <w:r>
                    <w:rPr>
                      <w:rFonts w:hint="eastAsia" w:ascii="Times New Roman" w:hAnsi="Times New Roman" w:eastAsia="宋体" w:cs="宋体"/>
                      <w:b w:val="0"/>
                      <w:smallCaps w:val="0"/>
                      <w:color w:val="auto"/>
                      <w:lang w:val="en-US" w:eastAsia="zh-CN"/>
                    </w:rPr>
                    <w:t>+</w:t>
                  </w:r>
                  <w:r>
                    <w:rPr>
                      <w:rFonts w:hint="eastAsia" w:ascii="Times New Roman" w:hAnsi="Times New Roman" w:eastAsia="宋体" w:cs="Times New Roman"/>
                      <w:b w:val="0"/>
                      <w:smallCaps w:val="0"/>
                      <w:snapToGrid w:val="0"/>
                      <w:color w:val="auto"/>
                      <w:highlight w:val="none"/>
                      <w:lang w:val="en-US" w:eastAsia="zh-CN"/>
                    </w:rPr>
                    <w:t>10000m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817" w:type="pct"/>
                  <w:shd w:val="clear" w:color="auto" w:fill="auto"/>
                  <w:vAlign w:val="center"/>
                </w:tcPr>
                <w:p w14:paraId="14EF5F9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宋体"/>
                      <w:b w:val="0"/>
                      <w:smallCaps w:val="0"/>
                      <w:color w:val="auto"/>
                      <w:kern w:val="2"/>
                      <w:sz w:val="21"/>
                      <w:szCs w:val="21"/>
                      <w:lang w:val="en-US" w:eastAsia="zh-CN" w:bidi="ar-SA"/>
                    </w:rPr>
                  </w:pPr>
                  <w:r>
                    <w:rPr>
                      <w:rFonts w:hint="eastAsia" w:ascii="Times New Roman" w:hAnsi="Times New Roman" w:cs="宋体"/>
                      <w:b w:val="0"/>
                      <w:smallCaps w:val="0"/>
                      <w:color w:val="auto"/>
                      <w:lang w:val="en-US" w:eastAsia="zh-CN"/>
                    </w:rPr>
                    <w:t>本次技改</w:t>
                  </w:r>
                </w:p>
              </w:tc>
              <w:tc>
                <w:tcPr>
                  <w:tcW w:w="1123" w:type="pct"/>
                  <w:shd w:val="clear" w:color="auto" w:fill="auto"/>
                  <w:vAlign w:val="center"/>
                </w:tcPr>
                <w:p w14:paraId="1CC25C0C">
                  <w:pPr>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bCs/>
                      <w:smallCaps w:val="0"/>
                      <w:color w:val="auto"/>
                      <w:kern w:val="2"/>
                      <w:sz w:val="21"/>
                      <w:szCs w:val="21"/>
                      <w:lang w:val="en-US" w:eastAsia="zh-CN" w:bidi="ar-SA"/>
                    </w:rPr>
                  </w:pPr>
                  <w:r>
                    <w:rPr>
                      <w:rFonts w:hint="eastAsia" w:ascii="Times New Roman" w:hAnsi="Times New Roman" w:cs="Times New Roman"/>
                      <w:b w:val="0"/>
                      <w:smallCaps w:val="0"/>
                      <w:snapToGrid w:val="0"/>
                      <w:color w:val="auto"/>
                      <w:highlight w:val="none"/>
                      <w:lang w:val="en-US" w:eastAsia="zh-CN"/>
                    </w:rPr>
                    <w:t>脱模、压铸</w:t>
                  </w:r>
                  <w:r>
                    <w:rPr>
                      <w:rFonts w:hint="eastAsia" w:ascii="Times New Roman" w:hAnsi="Times New Roman" w:eastAsia="宋体"/>
                      <w:b w:val="0"/>
                      <w:bCs/>
                      <w:smallCaps w:val="0"/>
                      <w:color w:val="auto"/>
                      <w:szCs w:val="21"/>
                      <w:lang w:val="en-US" w:eastAsia="zh-CN"/>
                    </w:rPr>
                    <w:t>废气经集气罩收</w:t>
                  </w:r>
                  <w:r>
                    <w:rPr>
                      <w:rFonts w:hint="eastAsia" w:ascii="Times New Roman" w:hAnsi="Times New Roman" w:eastAsia="宋体" w:cs="宋体"/>
                      <w:b w:val="0"/>
                      <w:smallCaps w:val="0"/>
                      <w:color w:val="auto"/>
                      <w:lang w:val="en-US" w:eastAsia="zh-CN"/>
                    </w:rPr>
                    <w:t>集，静电除油+水喷淋+除湿+二级活性炭吸附装置处理</w:t>
                  </w:r>
                  <w:r>
                    <w:rPr>
                      <w:rFonts w:hint="eastAsia" w:ascii="Times New Roman" w:hAnsi="Times New Roman" w:eastAsia="宋体" w:cs="宋体"/>
                      <w:b w:val="0"/>
                      <w:smallCaps w:val="0"/>
                      <w:color w:val="auto"/>
                      <w:lang w:eastAsia="zh-CN"/>
                    </w:rPr>
                    <w:t>，15m高排气筒FQ-</w:t>
                  </w:r>
                  <w:r>
                    <w:rPr>
                      <w:rFonts w:hint="eastAsia" w:ascii="Times New Roman" w:hAnsi="Times New Roman" w:eastAsia="宋体" w:cs="宋体"/>
                      <w:b w:val="0"/>
                      <w:smallCaps w:val="0"/>
                      <w:color w:val="auto"/>
                      <w:lang w:val="en-US" w:eastAsia="zh-CN"/>
                    </w:rPr>
                    <w:t>1</w:t>
                  </w:r>
                  <w:r>
                    <w:rPr>
                      <w:rFonts w:hint="eastAsia" w:ascii="Times New Roman" w:hAnsi="Times New Roman" w:eastAsia="宋体" w:cs="宋体"/>
                      <w:b w:val="0"/>
                      <w:smallCaps w:val="0"/>
                      <w:color w:val="auto"/>
                      <w:lang w:eastAsia="zh-CN"/>
                    </w:rPr>
                    <w:t>排放</w:t>
                  </w:r>
                </w:p>
              </w:tc>
            </w:tr>
            <w:tr w14:paraId="72684F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76412B7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0234DEC1">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vMerge w:val="restart"/>
                  <w:shd w:val="clear" w:color="auto" w:fill="auto"/>
                  <w:vAlign w:val="center"/>
                </w:tcPr>
                <w:p w14:paraId="491C1BD0">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highlight w:val="none"/>
                      <w:lang w:val="en-US" w:eastAsia="zh-CN"/>
                    </w:rPr>
                    <w:t>打磨</w:t>
                  </w:r>
                  <w:r>
                    <w:rPr>
                      <w:rFonts w:hint="eastAsia" w:ascii="Times New Roman" w:hAnsi="Times New Roman" w:eastAsia="宋体" w:cs="Times New Roman"/>
                      <w:b w:val="0"/>
                      <w:smallCaps w:val="0"/>
                      <w:snapToGrid w:val="0"/>
                      <w:color w:val="auto"/>
                      <w:highlight w:val="none"/>
                      <w:lang w:val="en-US" w:eastAsia="zh-CN"/>
                    </w:rPr>
                    <w:t>粉尘处理系统</w:t>
                  </w:r>
                </w:p>
              </w:tc>
              <w:tc>
                <w:tcPr>
                  <w:tcW w:w="993" w:type="pct"/>
                  <w:shd w:val="clear" w:color="auto" w:fill="auto"/>
                  <w:vAlign w:val="center"/>
                </w:tcPr>
                <w:p w14:paraId="2C63169A">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lang w:val="en-US" w:eastAsia="zh-CN"/>
                    </w:rPr>
                    <w:t>/</w:t>
                  </w:r>
                </w:p>
              </w:tc>
              <w:tc>
                <w:tcPr>
                  <w:tcW w:w="1116" w:type="pct"/>
                  <w:shd w:val="clear" w:color="auto" w:fill="auto"/>
                  <w:vAlign w:val="center"/>
                </w:tcPr>
                <w:p w14:paraId="2C00755A">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水膜除尘器</w:t>
                  </w:r>
                </w:p>
              </w:tc>
              <w:tc>
                <w:tcPr>
                  <w:tcW w:w="817" w:type="pct"/>
                  <w:shd w:val="clear" w:color="auto" w:fill="auto"/>
                  <w:vAlign w:val="center"/>
                </w:tcPr>
                <w:p w14:paraId="2CA0726C">
                  <w:pPr>
                    <w:pStyle w:val="59"/>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Times New Roman"/>
                      <w:b w:val="0"/>
                      <w:smallCaps w:val="0"/>
                      <w:snapToGrid w:val="0"/>
                      <w:color w:val="auto"/>
                    </w:rPr>
                  </w:pPr>
                  <w:r>
                    <w:rPr>
                      <w:rFonts w:hint="eastAsia" w:ascii="Times New Roman" w:hAnsi="Times New Roman" w:cs="Times New Roman"/>
                      <w:b w:val="0"/>
                      <w:smallCaps w:val="0"/>
                      <w:snapToGrid w:val="0"/>
                      <w:color w:val="auto"/>
                      <w:lang w:val="en-US" w:eastAsia="zh-CN"/>
                    </w:rPr>
                    <w:t>本次新增</w:t>
                  </w:r>
                </w:p>
              </w:tc>
              <w:tc>
                <w:tcPr>
                  <w:tcW w:w="1123" w:type="pct"/>
                  <w:shd w:val="clear" w:color="auto" w:fill="auto"/>
                  <w:vAlign w:val="center"/>
                </w:tcPr>
                <w:p w14:paraId="0D6B662B">
                  <w:pPr>
                    <w:keepNext w:val="0"/>
                    <w:keepLines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宋体"/>
                      <w:b w:val="0"/>
                      <w:color w:val="auto"/>
                      <w:highlight w:val="none"/>
                      <w:lang w:val="en-US" w:eastAsia="zh-CN"/>
                    </w:rPr>
                  </w:pPr>
                  <w:r>
                    <w:rPr>
                      <w:rFonts w:hint="eastAsia" w:ascii="Times New Roman" w:hAnsi="Times New Roman" w:eastAsia="宋体" w:cs="Times New Roman"/>
                      <w:b w:val="0"/>
                      <w:bCs/>
                      <w:smallCaps w:val="0"/>
                      <w:color w:val="auto"/>
                      <w:szCs w:val="21"/>
                      <w:lang w:val="en-US" w:eastAsia="zh-CN"/>
                    </w:rPr>
                    <w:t>1台卧式打磨机配套水膜除尘器，粉尘经水膜除尘器处理，2#生产车间内无组织排放</w:t>
                  </w:r>
                </w:p>
              </w:tc>
            </w:tr>
            <w:tr w14:paraId="7DAF8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6AF28956">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1ED6B440">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vMerge w:val="continue"/>
                  <w:shd w:val="clear" w:color="auto" w:fill="auto"/>
                  <w:vAlign w:val="center"/>
                </w:tcPr>
                <w:p w14:paraId="7E26D2D1">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cs="Times New Roman"/>
                      <w:b w:val="0"/>
                      <w:smallCaps w:val="0"/>
                      <w:snapToGrid w:val="0"/>
                      <w:color w:val="auto"/>
                      <w:highlight w:val="none"/>
                      <w:lang w:val="en-US" w:eastAsia="zh-CN"/>
                    </w:rPr>
                  </w:pPr>
                </w:p>
              </w:tc>
              <w:tc>
                <w:tcPr>
                  <w:tcW w:w="993" w:type="pct"/>
                  <w:shd w:val="clear" w:color="auto" w:fill="auto"/>
                  <w:vAlign w:val="center"/>
                </w:tcPr>
                <w:p w14:paraId="2FAEEE77">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w:t>
                  </w:r>
                </w:p>
              </w:tc>
              <w:tc>
                <w:tcPr>
                  <w:tcW w:w="1116" w:type="pct"/>
                  <w:shd w:val="clear" w:color="auto" w:fill="auto"/>
                  <w:vAlign w:val="center"/>
                </w:tcPr>
                <w:p w14:paraId="4A6691EF">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湿式除尘器</w:t>
                  </w:r>
                </w:p>
              </w:tc>
              <w:tc>
                <w:tcPr>
                  <w:tcW w:w="817" w:type="pct"/>
                  <w:shd w:val="clear" w:color="auto" w:fill="auto"/>
                  <w:vAlign w:val="center"/>
                </w:tcPr>
                <w:p w14:paraId="7D67DAEF">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cs="Times New Roman"/>
                      <w:b w:val="0"/>
                      <w:smallCaps w:val="0"/>
                      <w:snapToGrid w:val="0"/>
                      <w:color w:val="auto"/>
                      <w:lang w:val="en-US" w:eastAsia="zh-CN"/>
                    </w:rPr>
                  </w:pPr>
                  <w:r>
                    <w:rPr>
                      <w:rFonts w:hint="eastAsia" w:ascii="Times New Roman" w:hAnsi="Times New Roman" w:cs="Times New Roman"/>
                      <w:b w:val="0"/>
                      <w:smallCaps w:val="0"/>
                      <w:snapToGrid w:val="0"/>
                      <w:color w:val="auto"/>
                      <w:lang w:val="en-US" w:eastAsia="zh-CN"/>
                    </w:rPr>
                    <w:t>本次新增</w:t>
                  </w:r>
                </w:p>
              </w:tc>
              <w:tc>
                <w:tcPr>
                  <w:tcW w:w="1123" w:type="pct"/>
                  <w:shd w:val="clear" w:color="auto" w:fill="auto"/>
                  <w:vAlign w:val="center"/>
                </w:tcPr>
                <w:p w14:paraId="775A8755">
                  <w:pPr>
                    <w:pStyle w:val="59"/>
                    <w:keepNext w:val="0"/>
                    <w:keepLines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b w:val="0"/>
                      <w:color w:val="auto"/>
                      <w:highlight w:val="none"/>
                      <w:lang w:val="en-US" w:eastAsia="zh-CN"/>
                    </w:rPr>
                  </w:pPr>
                  <w:r>
                    <w:rPr>
                      <w:rFonts w:hint="eastAsia" w:ascii="Times New Roman" w:hAnsi="Times New Roman" w:eastAsia="宋体" w:cs="宋体"/>
                      <w:b w:val="0"/>
                      <w:color w:val="auto"/>
                      <w:highlight w:val="none"/>
                      <w:lang w:val="en-US" w:eastAsia="zh-CN"/>
                    </w:rPr>
                    <w:t>5台打磨机在湿式打磨台进行，粉尘经配套湿式除尘器处理，在</w:t>
                  </w:r>
                  <w:r>
                    <w:rPr>
                      <w:rFonts w:hint="eastAsia" w:ascii="Times New Roman" w:hAnsi="Times New Roman" w:cs="宋体"/>
                      <w:b w:val="0"/>
                      <w:color w:val="auto"/>
                      <w:highlight w:val="none"/>
                      <w:lang w:val="en-US" w:eastAsia="zh-CN"/>
                    </w:rPr>
                    <w:t>2#</w:t>
                  </w:r>
                  <w:r>
                    <w:rPr>
                      <w:rFonts w:hint="eastAsia" w:ascii="Times New Roman" w:hAnsi="Times New Roman" w:eastAsia="宋体" w:cs="宋体"/>
                      <w:b w:val="0"/>
                      <w:color w:val="auto"/>
                      <w:highlight w:val="none"/>
                    </w:rPr>
                    <w:t>生产车间内无组织排放</w:t>
                  </w:r>
                </w:p>
              </w:tc>
            </w:tr>
            <w:tr w14:paraId="4C043D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3D2B9487">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0DB07F0B">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shd w:val="clear" w:color="auto" w:fill="auto"/>
                  <w:vAlign w:val="center"/>
                </w:tcPr>
                <w:p w14:paraId="4EA72F2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highlight w:val="none"/>
                      <w:lang w:val="en-US" w:eastAsia="zh-CN"/>
                    </w:rPr>
                    <w:t>抛丸</w:t>
                  </w:r>
                  <w:r>
                    <w:rPr>
                      <w:rFonts w:hint="eastAsia" w:ascii="Times New Roman" w:hAnsi="Times New Roman" w:eastAsia="宋体" w:cs="Times New Roman"/>
                      <w:b w:val="0"/>
                      <w:smallCaps w:val="0"/>
                      <w:snapToGrid w:val="0"/>
                      <w:color w:val="auto"/>
                      <w:highlight w:val="none"/>
                      <w:lang w:val="en-US" w:eastAsia="zh-CN"/>
                    </w:rPr>
                    <w:t>粉尘处理系统</w:t>
                  </w:r>
                </w:p>
              </w:tc>
              <w:tc>
                <w:tcPr>
                  <w:tcW w:w="993" w:type="pct"/>
                  <w:shd w:val="clear" w:color="auto" w:fill="auto"/>
                  <w:vAlign w:val="center"/>
                </w:tcPr>
                <w:p w14:paraId="7FCA637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Times New Roman"/>
                      <w:b w:val="0"/>
                      <w:smallCaps w:val="0"/>
                      <w:snapToGrid w:val="0"/>
                      <w:color w:val="auto"/>
                      <w:kern w:val="2"/>
                      <w:sz w:val="21"/>
                      <w:szCs w:val="21"/>
                      <w:highlight w:val="none"/>
                      <w:lang w:val="en-US" w:eastAsia="zh-CN" w:bidi="ar-SA"/>
                    </w:rPr>
                    <w:t>/</w:t>
                  </w:r>
                </w:p>
              </w:tc>
              <w:tc>
                <w:tcPr>
                  <w:tcW w:w="1116" w:type="pct"/>
                  <w:shd w:val="clear" w:color="auto" w:fill="auto"/>
                  <w:vAlign w:val="center"/>
                </w:tcPr>
                <w:p w14:paraId="2B8AC94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kern w:val="2"/>
                      <w:sz w:val="21"/>
                      <w:szCs w:val="21"/>
                      <w:lang w:val="en-US" w:eastAsia="zh-CN" w:bidi="ar-SA"/>
                    </w:rPr>
                  </w:pPr>
                  <w:r>
                    <w:rPr>
                      <w:rFonts w:hint="eastAsia" w:ascii="Times New Roman" w:hAnsi="Times New Roman" w:cs="Times New Roman"/>
                      <w:b w:val="0"/>
                      <w:smallCaps w:val="0"/>
                      <w:snapToGrid w:val="0"/>
                      <w:color w:val="auto"/>
                      <w:lang w:val="en-US" w:eastAsia="zh-CN"/>
                    </w:rPr>
                    <w:t>湿式除尘</w:t>
                  </w:r>
                </w:p>
              </w:tc>
              <w:tc>
                <w:tcPr>
                  <w:tcW w:w="817" w:type="pct"/>
                  <w:shd w:val="clear" w:color="auto" w:fill="auto"/>
                  <w:vAlign w:val="center"/>
                </w:tcPr>
                <w:p w14:paraId="794F0D6A">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kern w:val="2"/>
                      <w:sz w:val="21"/>
                      <w:szCs w:val="21"/>
                      <w:lang w:val="en-US" w:eastAsia="zh-CN" w:bidi="ar-SA"/>
                    </w:rPr>
                  </w:pPr>
                  <w:r>
                    <w:rPr>
                      <w:rFonts w:hint="eastAsia" w:ascii="Times New Roman" w:hAnsi="Times New Roman" w:cs="Times New Roman"/>
                      <w:b w:val="0"/>
                      <w:smallCaps w:val="0"/>
                      <w:snapToGrid w:val="0"/>
                      <w:color w:val="auto"/>
                      <w:lang w:val="en-US" w:eastAsia="zh-CN"/>
                    </w:rPr>
                    <w:t>本次新增</w:t>
                  </w:r>
                </w:p>
              </w:tc>
              <w:tc>
                <w:tcPr>
                  <w:tcW w:w="1123" w:type="pct"/>
                  <w:shd w:val="clear" w:color="auto" w:fill="auto"/>
                  <w:vAlign w:val="center"/>
                </w:tcPr>
                <w:p w14:paraId="71CF459F">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kern w:val="2"/>
                      <w:sz w:val="21"/>
                      <w:szCs w:val="21"/>
                      <w:highlight w:val="none"/>
                      <w:lang w:val="en-US" w:eastAsia="zh-CN" w:bidi="ar-SA"/>
                    </w:rPr>
                  </w:pPr>
                  <w:r>
                    <w:rPr>
                      <w:rFonts w:hint="eastAsia" w:ascii="Times New Roman" w:hAnsi="Times New Roman" w:cs="宋体"/>
                      <w:b w:val="0"/>
                      <w:color w:val="auto"/>
                      <w:highlight w:val="none"/>
                      <w:lang w:val="en-US" w:eastAsia="zh-CN"/>
                    </w:rPr>
                    <w:t>抛丸</w:t>
                  </w:r>
                  <w:r>
                    <w:rPr>
                      <w:rFonts w:hint="eastAsia" w:ascii="Times New Roman" w:hAnsi="Times New Roman" w:eastAsia="宋体" w:cs="宋体"/>
                      <w:b w:val="0"/>
                      <w:color w:val="auto"/>
                      <w:highlight w:val="none"/>
                      <w:lang w:val="en-US" w:eastAsia="zh-CN"/>
                    </w:rPr>
                    <w:t>粉尘</w:t>
                  </w:r>
                  <w:r>
                    <w:rPr>
                      <w:rFonts w:hint="eastAsia" w:ascii="Times New Roman" w:hAnsi="Times New Roman" w:cs="宋体"/>
                      <w:b w:val="0"/>
                      <w:color w:val="auto"/>
                      <w:highlight w:val="none"/>
                      <w:lang w:val="en-US" w:eastAsia="zh-CN"/>
                    </w:rPr>
                    <w:t>经负压收集，湿式除尘器处理</w:t>
                  </w:r>
                  <w:r>
                    <w:rPr>
                      <w:rFonts w:hint="eastAsia" w:ascii="Times New Roman" w:hAnsi="Times New Roman" w:eastAsia="宋体" w:cs="宋体"/>
                      <w:b w:val="0"/>
                      <w:color w:val="auto"/>
                      <w:highlight w:val="none"/>
                    </w:rPr>
                    <w:t>，</w:t>
                  </w:r>
                  <w:r>
                    <w:rPr>
                      <w:rFonts w:hint="eastAsia" w:ascii="Times New Roman" w:hAnsi="Times New Roman" w:cs="宋体"/>
                      <w:b w:val="0"/>
                      <w:color w:val="auto"/>
                      <w:highlight w:val="none"/>
                      <w:lang w:val="en-US" w:eastAsia="zh-CN"/>
                    </w:rPr>
                    <w:t>15m高排气筒FQ-3排放</w:t>
                  </w:r>
                </w:p>
              </w:tc>
            </w:tr>
            <w:tr w14:paraId="08A41D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1A3EC4F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574FF4C3">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vAlign w:val="center"/>
                </w:tcPr>
                <w:p w14:paraId="0DAEC7F2">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注塑</w:t>
                  </w:r>
                  <w:r>
                    <w:rPr>
                      <w:rFonts w:hint="eastAsia" w:ascii="Times New Roman" w:hAnsi="Times New Roman" w:eastAsia="宋体" w:cs="Times New Roman"/>
                      <w:b w:val="0"/>
                      <w:smallCaps w:val="0"/>
                      <w:snapToGrid w:val="0"/>
                      <w:color w:val="auto"/>
                      <w:highlight w:val="none"/>
                      <w:lang w:val="en-US" w:eastAsia="zh-CN"/>
                    </w:rPr>
                    <w:t>废气处理系统</w:t>
                  </w:r>
                </w:p>
              </w:tc>
              <w:tc>
                <w:tcPr>
                  <w:tcW w:w="993" w:type="pct"/>
                  <w:vAlign w:val="center"/>
                </w:tcPr>
                <w:p w14:paraId="1798C8D6">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宋体"/>
                      <w:b w:val="0"/>
                      <w:smallCaps w:val="0"/>
                      <w:color w:val="auto"/>
                      <w:lang w:val="en-US" w:eastAsia="zh-CN"/>
                    </w:rPr>
                    <w:t>二级</w:t>
                  </w:r>
                  <w:r>
                    <w:rPr>
                      <w:rFonts w:hint="eastAsia" w:ascii="Times New Roman" w:hAnsi="Times New Roman" w:eastAsia="宋体" w:cs="宋体"/>
                      <w:b w:val="0"/>
                      <w:smallCaps w:val="0"/>
                      <w:color w:val="auto"/>
                      <w:lang w:eastAsia="zh-CN"/>
                    </w:rPr>
                    <w:t>活性炭吸附装置</w:t>
                  </w:r>
                  <w:r>
                    <w:rPr>
                      <w:rFonts w:hint="eastAsia" w:ascii="Times New Roman" w:hAnsi="Times New Roman" w:eastAsia="宋体" w:cs="宋体"/>
                      <w:b w:val="0"/>
                      <w:smallCaps w:val="0"/>
                      <w:color w:val="auto"/>
                      <w:lang w:val="en-US" w:eastAsia="zh-CN"/>
                    </w:rPr>
                    <w:t>+</w:t>
                  </w:r>
                  <w:r>
                    <w:rPr>
                      <w:rFonts w:hint="eastAsia" w:ascii="Times New Roman" w:hAnsi="Times New Roman" w:cs="Times New Roman"/>
                      <w:b w:val="0"/>
                      <w:smallCaps w:val="0"/>
                      <w:snapToGrid w:val="0"/>
                      <w:color w:val="auto"/>
                      <w:highlight w:val="none"/>
                      <w:lang w:val="en-US" w:eastAsia="zh-CN"/>
                    </w:rPr>
                    <w:t>10</w:t>
                  </w:r>
                  <w:r>
                    <w:rPr>
                      <w:rFonts w:hint="eastAsia" w:ascii="Times New Roman" w:hAnsi="Times New Roman" w:eastAsia="宋体" w:cs="Times New Roman"/>
                      <w:b w:val="0"/>
                      <w:smallCaps w:val="0"/>
                      <w:snapToGrid w:val="0"/>
                      <w:color w:val="auto"/>
                      <w:highlight w:val="none"/>
                      <w:lang w:val="en-US" w:eastAsia="zh-CN"/>
                    </w:rPr>
                    <w:t>000m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1116" w:type="pct"/>
                  <w:vAlign w:val="center"/>
                </w:tcPr>
                <w:p w14:paraId="4B1207B3">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宋体"/>
                      <w:b w:val="0"/>
                      <w:smallCaps w:val="0"/>
                      <w:color w:val="auto"/>
                      <w:lang w:val="en-US" w:eastAsia="zh-CN"/>
                    </w:rPr>
                  </w:pPr>
                  <w:r>
                    <w:rPr>
                      <w:rFonts w:hint="eastAsia" w:ascii="Times New Roman" w:hAnsi="Times New Roman" w:eastAsia="宋体" w:cs="宋体"/>
                      <w:b w:val="0"/>
                      <w:smallCaps w:val="0"/>
                      <w:color w:val="auto"/>
                      <w:lang w:val="en-US" w:eastAsia="zh-CN"/>
                    </w:rPr>
                    <w:t>二级</w:t>
                  </w:r>
                  <w:r>
                    <w:rPr>
                      <w:rFonts w:hint="eastAsia" w:ascii="Times New Roman" w:hAnsi="Times New Roman" w:eastAsia="宋体" w:cs="宋体"/>
                      <w:b w:val="0"/>
                      <w:smallCaps w:val="0"/>
                      <w:color w:val="auto"/>
                      <w:lang w:eastAsia="zh-CN"/>
                    </w:rPr>
                    <w:t>活性炭吸附装置</w:t>
                  </w:r>
                  <w:r>
                    <w:rPr>
                      <w:rFonts w:hint="eastAsia" w:ascii="Times New Roman" w:hAnsi="Times New Roman" w:eastAsia="宋体" w:cs="宋体"/>
                      <w:b w:val="0"/>
                      <w:smallCaps w:val="0"/>
                      <w:color w:val="auto"/>
                      <w:lang w:val="en-US" w:eastAsia="zh-CN"/>
                    </w:rPr>
                    <w:t>+</w:t>
                  </w:r>
                  <w:r>
                    <w:rPr>
                      <w:rFonts w:hint="eastAsia" w:ascii="Times New Roman" w:hAnsi="Times New Roman" w:cs="Times New Roman"/>
                      <w:b w:val="0"/>
                      <w:smallCaps w:val="0"/>
                      <w:snapToGrid w:val="0"/>
                      <w:color w:val="auto"/>
                      <w:highlight w:val="none"/>
                      <w:lang w:val="en-US" w:eastAsia="zh-CN"/>
                    </w:rPr>
                    <w:t>10</w:t>
                  </w:r>
                  <w:r>
                    <w:rPr>
                      <w:rFonts w:hint="eastAsia" w:ascii="Times New Roman" w:hAnsi="Times New Roman" w:eastAsia="宋体" w:cs="Times New Roman"/>
                      <w:b w:val="0"/>
                      <w:smallCaps w:val="0"/>
                      <w:snapToGrid w:val="0"/>
                      <w:color w:val="auto"/>
                      <w:highlight w:val="none"/>
                      <w:lang w:val="en-US" w:eastAsia="zh-CN"/>
                    </w:rPr>
                    <w:t>000m</w:t>
                  </w:r>
                  <w:r>
                    <w:rPr>
                      <w:rFonts w:hint="eastAsia" w:ascii="Times New Roman" w:hAnsi="Times New Roman" w:eastAsia="宋体" w:cs="Times New Roman"/>
                      <w:b w:val="0"/>
                      <w:smallCaps w:val="0"/>
                      <w:snapToGrid w:val="0"/>
                      <w:color w:val="auto"/>
                      <w:highlight w:val="none"/>
                      <w:vertAlign w:val="superscript"/>
                      <w:lang w:val="en-US" w:eastAsia="zh-CN"/>
                    </w:rPr>
                    <w:t>3</w:t>
                  </w:r>
                  <w:r>
                    <w:rPr>
                      <w:rFonts w:hint="eastAsia" w:ascii="Times New Roman" w:hAnsi="Times New Roman" w:eastAsia="宋体" w:cs="Times New Roman"/>
                      <w:b w:val="0"/>
                      <w:smallCaps w:val="0"/>
                      <w:snapToGrid w:val="0"/>
                      <w:color w:val="auto"/>
                      <w:highlight w:val="none"/>
                      <w:lang w:val="en-US" w:eastAsia="zh-CN"/>
                    </w:rPr>
                    <w:t>/h风机</w:t>
                  </w:r>
                </w:p>
              </w:tc>
              <w:tc>
                <w:tcPr>
                  <w:tcW w:w="817" w:type="pct"/>
                  <w:vAlign w:val="center"/>
                </w:tcPr>
                <w:p w14:paraId="22D15F4A">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宋体"/>
                      <w:b w:val="0"/>
                      <w:smallCaps w:val="0"/>
                      <w:color w:val="auto"/>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48502487">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宋体"/>
                      <w:b w:val="0"/>
                      <w:smallCaps w:val="0"/>
                      <w:color w:val="auto"/>
                      <w:highlight w:val="none"/>
                      <w:lang w:val="en-US" w:eastAsia="zh-CN"/>
                    </w:rPr>
                  </w:pPr>
                  <w:r>
                    <w:rPr>
                      <w:rFonts w:hint="eastAsia"/>
                      <w:b w:val="0"/>
                      <w:bCs/>
                      <w:smallCaps w:val="0"/>
                      <w:color w:val="auto"/>
                      <w:szCs w:val="21"/>
                      <w:lang w:val="en-US" w:eastAsia="zh-CN"/>
                    </w:rPr>
                    <w:t>注塑</w:t>
                  </w:r>
                  <w:r>
                    <w:rPr>
                      <w:rFonts w:hint="eastAsia" w:ascii="Times New Roman" w:hAnsi="Times New Roman" w:eastAsia="宋体"/>
                      <w:b w:val="0"/>
                      <w:bCs/>
                      <w:smallCaps w:val="0"/>
                      <w:color w:val="auto"/>
                      <w:szCs w:val="21"/>
                      <w:lang w:val="en-US" w:eastAsia="zh-CN"/>
                    </w:rPr>
                    <w:t>废气经集气罩收集，</w:t>
                  </w:r>
                  <w:r>
                    <w:rPr>
                      <w:rFonts w:hint="eastAsia" w:ascii="Times New Roman" w:hAnsi="Times New Roman" w:eastAsia="宋体" w:cs="宋体"/>
                      <w:b w:val="0"/>
                      <w:smallCaps w:val="0"/>
                      <w:color w:val="auto"/>
                      <w:lang w:val="en-US" w:eastAsia="zh-CN"/>
                    </w:rPr>
                    <w:t>二级</w:t>
                  </w:r>
                  <w:r>
                    <w:rPr>
                      <w:rFonts w:hint="eastAsia" w:ascii="Times New Roman" w:hAnsi="Times New Roman" w:eastAsia="宋体" w:cs="宋体"/>
                      <w:b w:val="0"/>
                      <w:smallCaps w:val="0"/>
                      <w:color w:val="auto"/>
                      <w:lang w:eastAsia="zh-CN"/>
                    </w:rPr>
                    <w:t>活性炭吸附装置处理，15m高排气筒FQ-</w:t>
                  </w:r>
                  <w:r>
                    <w:rPr>
                      <w:rFonts w:hint="eastAsia" w:ascii="Times New Roman" w:hAnsi="Times New Roman" w:eastAsia="宋体" w:cs="宋体"/>
                      <w:b w:val="0"/>
                      <w:smallCaps w:val="0"/>
                      <w:color w:val="auto"/>
                      <w:lang w:val="en-US" w:eastAsia="zh-CN"/>
                    </w:rPr>
                    <w:t>2</w:t>
                  </w:r>
                  <w:r>
                    <w:rPr>
                      <w:rFonts w:hint="eastAsia" w:ascii="Times New Roman" w:hAnsi="Times New Roman" w:eastAsia="宋体" w:cs="宋体"/>
                      <w:b w:val="0"/>
                      <w:smallCaps w:val="0"/>
                      <w:color w:val="auto"/>
                      <w:lang w:eastAsia="zh-CN"/>
                    </w:rPr>
                    <w:t>排放</w:t>
                  </w:r>
                </w:p>
              </w:tc>
            </w:tr>
            <w:tr w14:paraId="6B4776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5FD22077">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restart"/>
                  <w:vAlign w:val="center"/>
                </w:tcPr>
                <w:p w14:paraId="313BCA9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废水处理</w:t>
                  </w:r>
                </w:p>
              </w:tc>
              <w:tc>
                <w:tcPr>
                  <w:tcW w:w="597" w:type="pct"/>
                  <w:vAlign w:val="center"/>
                </w:tcPr>
                <w:p w14:paraId="28685902">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生活污水</w:t>
                  </w:r>
                  <w:r>
                    <w:rPr>
                      <w:rFonts w:hint="eastAsia" w:ascii="Times New Roman" w:hAnsi="Times New Roman" w:eastAsia="宋体" w:cs="Times New Roman"/>
                      <w:b w:val="0"/>
                      <w:smallCaps w:val="0"/>
                      <w:snapToGrid w:val="0"/>
                      <w:color w:val="auto"/>
                      <w:highlight w:val="none"/>
                      <w:lang w:val="en-US" w:eastAsia="zh-CN"/>
                    </w:rPr>
                    <w:t>处理系统</w:t>
                  </w:r>
                </w:p>
              </w:tc>
              <w:tc>
                <w:tcPr>
                  <w:tcW w:w="993" w:type="pct"/>
                  <w:vAlign w:val="center"/>
                </w:tcPr>
                <w:p w14:paraId="3A6A4B83">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宋体"/>
                      <w:b w:val="0"/>
                      <w:smallCaps w:val="0"/>
                      <w:color w:val="auto"/>
                      <w:lang w:val="en-US" w:eastAsia="zh-CN"/>
                    </w:rPr>
                  </w:pPr>
                  <w:r>
                    <w:rPr>
                      <w:rFonts w:hint="eastAsia" w:ascii="Times New Roman" w:hAnsi="Times New Roman" w:cs="宋体"/>
                      <w:b w:val="0"/>
                      <w:smallCaps w:val="0"/>
                      <w:color w:val="auto"/>
                      <w:lang w:val="en-US" w:eastAsia="zh-CN"/>
                    </w:rPr>
                    <w:t>化粪池</w:t>
                  </w:r>
                  <w:r>
                    <w:rPr>
                      <w:rFonts w:hint="eastAsia" w:ascii="Times New Roman" w:hAnsi="Times New Roman" w:eastAsia="宋体" w:cs="宋体"/>
                      <w:b w:val="0"/>
                      <w:smallCaps w:val="0"/>
                      <w:color w:val="auto"/>
                      <w:lang w:val="en-US" w:eastAsia="zh-CN"/>
                    </w:rPr>
                    <w:t>，10t/d</w:t>
                  </w:r>
                </w:p>
              </w:tc>
              <w:tc>
                <w:tcPr>
                  <w:tcW w:w="1116" w:type="pct"/>
                  <w:vAlign w:val="center"/>
                </w:tcPr>
                <w:p w14:paraId="5D522C25">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宋体"/>
                      <w:b w:val="0"/>
                      <w:smallCaps w:val="0"/>
                      <w:color w:val="auto"/>
                      <w:lang w:val="en-US" w:eastAsia="zh-CN"/>
                    </w:rPr>
                  </w:pPr>
                  <w:r>
                    <w:rPr>
                      <w:rFonts w:hint="eastAsia" w:ascii="Times New Roman" w:hAnsi="Times New Roman" w:cs="宋体"/>
                      <w:b w:val="0"/>
                      <w:smallCaps w:val="0"/>
                      <w:color w:val="auto"/>
                      <w:lang w:val="en-US" w:eastAsia="zh-CN"/>
                    </w:rPr>
                    <w:t>化粪池</w:t>
                  </w:r>
                  <w:r>
                    <w:rPr>
                      <w:rFonts w:hint="eastAsia" w:ascii="Times New Roman" w:hAnsi="Times New Roman" w:eastAsia="宋体" w:cs="宋体"/>
                      <w:b w:val="0"/>
                      <w:smallCaps w:val="0"/>
                      <w:color w:val="auto"/>
                      <w:lang w:val="en-US" w:eastAsia="zh-CN"/>
                    </w:rPr>
                    <w:t>，10t/d</w:t>
                  </w:r>
                </w:p>
              </w:tc>
              <w:tc>
                <w:tcPr>
                  <w:tcW w:w="817" w:type="pct"/>
                  <w:vAlign w:val="center"/>
                </w:tcPr>
                <w:p w14:paraId="7156C62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宋体"/>
                      <w:b w:val="0"/>
                      <w:smallCaps w:val="0"/>
                      <w:color w:val="auto"/>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4A664DBC">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宋体"/>
                      <w:b w:val="0"/>
                      <w:smallCaps w:val="0"/>
                      <w:color w:val="auto"/>
                      <w:lang w:eastAsia="zh-CN"/>
                    </w:rPr>
                  </w:pPr>
                  <w:r>
                    <w:rPr>
                      <w:rFonts w:hint="eastAsia" w:cs="宋体"/>
                      <w:b w:val="0"/>
                      <w:color w:val="auto"/>
                      <w:szCs w:val="21"/>
                      <w:highlight w:val="none"/>
                      <w:lang w:val="en-US" w:eastAsia="zh-CN"/>
                    </w:rPr>
                    <w:t>依托现有</w:t>
                  </w:r>
                </w:p>
              </w:tc>
            </w:tr>
            <w:tr w14:paraId="3FAD8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195F4334">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182" w:type="pct"/>
                  <w:vMerge w:val="continue"/>
                  <w:vAlign w:val="center"/>
                </w:tcPr>
                <w:p w14:paraId="572C4855">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p>
              </w:tc>
              <w:tc>
                <w:tcPr>
                  <w:tcW w:w="597" w:type="pct"/>
                  <w:vAlign w:val="center"/>
                </w:tcPr>
                <w:p w14:paraId="576CCE02">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生产废水处理系统</w:t>
                  </w:r>
                </w:p>
              </w:tc>
              <w:tc>
                <w:tcPr>
                  <w:tcW w:w="993" w:type="pct"/>
                  <w:vAlign w:val="center"/>
                </w:tcPr>
                <w:p w14:paraId="122F349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cs="宋体"/>
                      <w:b w:val="0"/>
                      <w:smallCaps w:val="0"/>
                      <w:color w:val="auto"/>
                      <w:lang w:val="en-US" w:eastAsia="zh-CN"/>
                    </w:rPr>
                  </w:pPr>
                  <w:r>
                    <w:rPr>
                      <w:rFonts w:hint="eastAsia" w:ascii="Times New Roman" w:hAnsi="Times New Roman" w:cs="宋体"/>
                      <w:b w:val="0"/>
                      <w:smallCaps w:val="0"/>
                      <w:color w:val="auto"/>
                      <w:lang w:val="en-US" w:eastAsia="zh-CN"/>
                    </w:rPr>
                    <w:t>/</w:t>
                  </w:r>
                </w:p>
              </w:tc>
              <w:tc>
                <w:tcPr>
                  <w:tcW w:w="1116" w:type="pct"/>
                  <w:vAlign w:val="center"/>
                </w:tcPr>
                <w:p w14:paraId="035E1FE4">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cs="宋体"/>
                      <w:b w:val="0"/>
                      <w:smallCaps w:val="0"/>
                      <w:color w:val="auto"/>
                      <w:lang w:val="en-US" w:eastAsia="zh-CN"/>
                    </w:rPr>
                  </w:pPr>
                  <w:r>
                    <w:rPr>
                      <w:rFonts w:hint="eastAsia" w:ascii="Times New Roman" w:hAnsi="Times New Roman" w:cs="宋体"/>
                      <w:b w:val="0"/>
                      <w:smallCaps w:val="0"/>
                      <w:color w:val="auto"/>
                      <w:lang w:val="en-US" w:eastAsia="zh-CN"/>
                    </w:rPr>
                    <w:t>精密过滤+炭滤+砂滤+RO，1t/d</w:t>
                  </w:r>
                </w:p>
              </w:tc>
              <w:tc>
                <w:tcPr>
                  <w:tcW w:w="817" w:type="pct"/>
                  <w:vAlign w:val="center"/>
                </w:tcPr>
                <w:p w14:paraId="4C81084E">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cs="宋体"/>
                      <w:b w:val="0"/>
                      <w:smallCaps w:val="0"/>
                      <w:color w:val="auto"/>
                      <w:lang w:val="en-US" w:eastAsia="zh-CN"/>
                    </w:rPr>
                  </w:pPr>
                  <w:r>
                    <w:rPr>
                      <w:rFonts w:hint="eastAsia" w:ascii="Times New Roman" w:hAnsi="Times New Roman" w:cs="宋体"/>
                      <w:b w:val="0"/>
                      <w:smallCaps w:val="0"/>
                      <w:color w:val="auto"/>
                      <w:lang w:val="en-US" w:eastAsia="zh-CN"/>
                    </w:rPr>
                    <w:t>新增</w:t>
                  </w:r>
                </w:p>
              </w:tc>
              <w:tc>
                <w:tcPr>
                  <w:tcW w:w="1123" w:type="pct"/>
                  <w:vAlign w:val="center"/>
                </w:tcPr>
                <w:p w14:paraId="1CE824AA">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振光废水、清洗废水经厂区废水处理设施处理后回用于清洗工序</w:t>
                  </w:r>
                </w:p>
              </w:tc>
            </w:tr>
            <w:tr w14:paraId="7BB887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1D96C9D">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780" w:type="pct"/>
                  <w:gridSpan w:val="2"/>
                  <w:vAlign w:val="center"/>
                </w:tcPr>
                <w:p w14:paraId="619AE0A7">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snapToGrid w:val="0"/>
                      <w:color w:val="auto"/>
                      <w:highlight w:val="none"/>
                      <w:lang w:val="en-US" w:eastAsia="zh-CN"/>
                    </w:rPr>
                  </w:pPr>
                  <w:r>
                    <w:rPr>
                      <w:rFonts w:ascii="Times New Roman" w:hAnsi="Times New Roman" w:eastAsia="宋体"/>
                      <w:b w:val="0"/>
                      <w:smallCaps w:val="0"/>
                      <w:color w:val="auto"/>
                      <w:highlight w:val="none"/>
                    </w:rPr>
                    <w:t>噪声污染防治措施</w:t>
                  </w:r>
                </w:p>
              </w:tc>
              <w:tc>
                <w:tcPr>
                  <w:tcW w:w="4050" w:type="pct"/>
                  <w:gridSpan w:val="4"/>
                  <w:vAlign w:val="center"/>
                </w:tcPr>
                <w:p w14:paraId="0373809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color w:val="auto"/>
                      <w:highlight w:val="none"/>
                    </w:rPr>
                  </w:pPr>
                  <w:r>
                    <w:rPr>
                      <w:rFonts w:ascii="Times New Roman" w:hAnsi="Times New Roman" w:eastAsia="宋体"/>
                      <w:b w:val="0"/>
                      <w:smallCaps w:val="0"/>
                      <w:color w:val="auto"/>
                      <w:highlight w:val="none"/>
                    </w:rPr>
                    <w:t>合理布局</w:t>
                  </w:r>
                  <w:r>
                    <w:rPr>
                      <w:rFonts w:hint="eastAsia" w:ascii="Times New Roman" w:hAnsi="Times New Roman" w:eastAsia="宋体"/>
                      <w:b w:val="0"/>
                      <w:smallCaps w:val="0"/>
                      <w:color w:val="auto"/>
                      <w:highlight w:val="none"/>
                    </w:rPr>
                    <w:t>、</w:t>
                  </w:r>
                  <w:r>
                    <w:rPr>
                      <w:rFonts w:ascii="Times New Roman" w:hAnsi="Times New Roman" w:eastAsia="宋体"/>
                      <w:b w:val="0"/>
                      <w:smallCaps w:val="0"/>
                      <w:color w:val="auto"/>
                      <w:highlight w:val="none"/>
                    </w:rPr>
                    <w:t>高噪声设备基础减振、加强隔声等</w:t>
                  </w:r>
                </w:p>
              </w:tc>
            </w:tr>
            <w:tr w14:paraId="4791BC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1EBB098E">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182" w:type="pct"/>
                  <w:vMerge w:val="restart"/>
                  <w:vAlign w:val="center"/>
                </w:tcPr>
                <w:p w14:paraId="387FEF2C">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r>
                    <w:rPr>
                      <w:rFonts w:hint="eastAsia" w:ascii="Times New Roman" w:hAnsi="Times New Roman" w:eastAsia="宋体" w:cs="Times New Roman"/>
                      <w:b w:val="0"/>
                      <w:smallCaps w:val="0"/>
                      <w:color w:val="auto"/>
                      <w:highlight w:val="none"/>
                    </w:rPr>
                    <w:t>固废收集</w:t>
                  </w:r>
                </w:p>
              </w:tc>
              <w:tc>
                <w:tcPr>
                  <w:tcW w:w="597" w:type="pct"/>
                  <w:vAlign w:val="center"/>
                </w:tcPr>
                <w:p w14:paraId="4AD2A41B">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cs="Times New Roman"/>
                      <w:b w:val="0"/>
                      <w:smallCaps w:val="0"/>
                      <w:color w:val="auto"/>
                      <w:highlight w:val="none"/>
                      <w:lang w:val="en-US" w:eastAsia="zh-CN"/>
                    </w:rPr>
                  </w:pPr>
                  <w:r>
                    <w:rPr>
                      <w:rFonts w:hint="eastAsia" w:ascii="Times New Roman" w:hAnsi="Times New Roman" w:cs="Times New Roman"/>
                      <w:b w:val="0"/>
                      <w:smallCaps w:val="0"/>
                      <w:color w:val="auto"/>
                      <w:highlight w:val="none"/>
                      <w:lang w:val="en-US" w:eastAsia="zh-CN"/>
                    </w:rPr>
                    <w:t>一般固</w:t>
                  </w:r>
                </w:p>
                <w:p w14:paraId="78AA3A5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cs="Times New Roman"/>
                      <w:b w:val="0"/>
                      <w:smallCaps w:val="0"/>
                      <w:color w:val="auto"/>
                      <w:highlight w:val="none"/>
                      <w:lang w:val="en-US" w:eastAsia="zh-CN" w:bidi="zh-CN"/>
                    </w:rPr>
                  </w:pPr>
                  <w:r>
                    <w:rPr>
                      <w:rFonts w:hint="eastAsia" w:ascii="Times New Roman" w:hAnsi="Times New Roman" w:cs="Times New Roman"/>
                      <w:b w:val="0"/>
                      <w:smallCaps w:val="0"/>
                      <w:color w:val="auto"/>
                      <w:highlight w:val="none"/>
                      <w:lang w:val="en-US" w:eastAsia="zh-CN"/>
                    </w:rPr>
                    <w:t>废库</w:t>
                  </w:r>
                </w:p>
              </w:tc>
              <w:tc>
                <w:tcPr>
                  <w:tcW w:w="993" w:type="pct"/>
                  <w:vAlign w:val="center"/>
                </w:tcPr>
                <w:p w14:paraId="58FF24FC">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color w:val="auto"/>
                      <w:highlight w:val="none"/>
                      <w:lang w:val="en-US" w:eastAsia="zh-CN"/>
                    </w:rPr>
                  </w:pPr>
                  <w:r>
                    <w:rPr>
                      <w:rFonts w:ascii="Times New Roman" w:hAnsi="Times New Roman" w:eastAsia="宋体" w:cs="Times New Roman"/>
                      <w:b w:val="0"/>
                      <w:smallCaps w:val="0"/>
                      <w:color w:val="auto"/>
                      <w:highlight w:val="none"/>
                    </w:rPr>
                    <w:t>面积</w:t>
                  </w:r>
                  <w:r>
                    <w:rPr>
                      <w:rFonts w:hint="eastAsia" w:ascii="Times New Roman" w:hAnsi="Times New Roman" w:cs="Times New Roman"/>
                      <w:b w:val="0"/>
                      <w:smallCaps w:val="0"/>
                      <w:color w:val="auto"/>
                      <w:highlight w:val="none"/>
                      <w:lang w:val="en-US" w:eastAsia="zh-CN"/>
                    </w:rPr>
                    <w:t>4</w:t>
                  </w:r>
                  <w:r>
                    <w:rPr>
                      <w:rFonts w:hint="eastAsia" w:ascii="Times New Roman" w:hAnsi="Times New Roman" w:eastAsia="宋体" w:cs="Times New Roman"/>
                      <w:b w:val="0"/>
                      <w:smallCaps w:val="0"/>
                      <w:color w:val="auto"/>
                      <w:highlight w:val="none"/>
                      <w:lang w:val="en-US" w:eastAsia="zh-CN"/>
                    </w:rPr>
                    <w:t>0</w:t>
                  </w:r>
                  <w:r>
                    <w:rPr>
                      <w:rFonts w:ascii="Times New Roman" w:hAnsi="Times New Roman" w:eastAsia="宋体" w:cs="Times New Roman"/>
                      <w:b w:val="0"/>
                      <w:smallCaps w:val="0"/>
                      <w:color w:val="auto"/>
                      <w:highlight w:val="none"/>
                    </w:rPr>
                    <w:t>m</w:t>
                  </w:r>
                  <w:r>
                    <w:rPr>
                      <w:rFonts w:ascii="Times New Roman" w:hAnsi="Times New Roman" w:eastAsia="宋体" w:cs="Times New Roman"/>
                      <w:b w:val="0"/>
                      <w:smallCaps w:val="0"/>
                      <w:color w:val="auto"/>
                      <w:highlight w:val="none"/>
                      <w:vertAlign w:val="superscript"/>
                    </w:rPr>
                    <w:t>2</w:t>
                  </w:r>
                </w:p>
              </w:tc>
              <w:tc>
                <w:tcPr>
                  <w:tcW w:w="1116" w:type="pct"/>
                  <w:vAlign w:val="center"/>
                </w:tcPr>
                <w:p w14:paraId="4B66E1E8">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color w:val="auto"/>
                      <w:highlight w:val="none"/>
                    </w:rPr>
                  </w:pPr>
                  <w:r>
                    <w:rPr>
                      <w:rFonts w:ascii="Times New Roman" w:hAnsi="Times New Roman" w:eastAsia="宋体" w:cs="Times New Roman"/>
                      <w:b w:val="0"/>
                      <w:smallCaps w:val="0"/>
                      <w:color w:val="auto"/>
                      <w:highlight w:val="none"/>
                    </w:rPr>
                    <w:t>面积</w:t>
                  </w:r>
                  <w:r>
                    <w:rPr>
                      <w:rFonts w:hint="eastAsia" w:ascii="Times New Roman" w:hAnsi="Times New Roman" w:cs="Times New Roman"/>
                      <w:b w:val="0"/>
                      <w:smallCaps w:val="0"/>
                      <w:color w:val="auto"/>
                      <w:highlight w:val="none"/>
                      <w:lang w:val="en-US" w:eastAsia="zh-CN"/>
                    </w:rPr>
                    <w:t>4</w:t>
                  </w:r>
                  <w:r>
                    <w:rPr>
                      <w:rFonts w:hint="eastAsia" w:ascii="Times New Roman" w:hAnsi="Times New Roman" w:eastAsia="宋体" w:cs="Times New Roman"/>
                      <w:b w:val="0"/>
                      <w:smallCaps w:val="0"/>
                      <w:color w:val="auto"/>
                      <w:highlight w:val="none"/>
                      <w:lang w:val="en-US" w:eastAsia="zh-CN"/>
                    </w:rPr>
                    <w:t>0</w:t>
                  </w:r>
                  <w:r>
                    <w:rPr>
                      <w:rFonts w:ascii="Times New Roman" w:hAnsi="Times New Roman" w:eastAsia="宋体" w:cs="Times New Roman"/>
                      <w:b w:val="0"/>
                      <w:smallCaps w:val="0"/>
                      <w:color w:val="auto"/>
                      <w:highlight w:val="none"/>
                    </w:rPr>
                    <w:t>m</w:t>
                  </w:r>
                  <w:r>
                    <w:rPr>
                      <w:rFonts w:ascii="Times New Roman" w:hAnsi="Times New Roman" w:eastAsia="宋体" w:cs="Times New Roman"/>
                      <w:b w:val="0"/>
                      <w:smallCaps w:val="0"/>
                      <w:color w:val="auto"/>
                      <w:highlight w:val="none"/>
                      <w:vertAlign w:val="superscript"/>
                    </w:rPr>
                    <w:t>2</w:t>
                  </w:r>
                </w:p>
              </w:tc>
              <w:tc>
                <w:tcPr>
                  <w:tcW w:w="817" w:type="pct"/>
                  <w:vAlign w:val="center"/>
                </w:tcPr>
                <w:p w14:paraId="08E27959">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color w:val="auto"/>
                      <w:highlight w:val="none"/>
                    </w:rPr>
                  </w:pPr>
                  <w:r>
                    <w:rPr>
                      <w:rFonts w:hint="eastAsia" w:ascii="Times New Roman" w:hAnsi="Times New Roman" w:cs="宋体"/>
                      <w:b w:val="0"/>
                      <w:smallCaps w:val="0"/>
                      <w:color w:val="auto"/>
                      <w:lang w:val="en-US" w:eastAsia="zh-CN"/>
                    </w:rPr>
                    <w:t>不变</w:t>
                  </w:r>
                </w:p>
              </w:tc>
              <w:tc>
                <w:tcPr>
                  <w:tcW w:w="1123" w:type="pct"/>
                  <w:vAlign w:val="center"/>
                </w:tcPr>
                <w:p w14:paraId="1E2726B0">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b w:val="0"/>
                      <w:smallCaps w:val="0"/>
                      <w:color w:val="auto"/>
                      <w:highlight w:val="none"/>
                      <w:lang w:val="en-US" w:eastAsia="zh-CN"/>
                    </w:rPr>
                  </w:pPr>
                  <w:r>
                    <w:rPr>
                      <w:rFonts w:hint="eastAsia" w:cs="宋体"/>
                      <w:b w:val="0"/>
                      <w:color w:val="auto"/>
                      <w:szCs w:val="21"/>
                      <w:highlight w:val="none"/>
                      <w:lang w:val="en-US" w:eastAsia="zh-CN"/>
                    </w:rPr>
                    <w:t>依托现有</w:t>
                  </w:r>
                  <w:r>
                    <w:rPr>
                      <w:rFonts w:hint="eastAsia" w:ascii="Times New Roman" w:hAnsi="Times New Roman" w:eastAsia="宋体" w:cs="Times New Roman"/>
                      <w:b w:val="0"/>
                      <w:smallCaps w:val="0"/>
                      <w:snapToGrid w:val="0"/>
                      <w:color w:val="auto"/>
                      <w:highlight w:val="none"/>
                      <w:lang w:val="en-US" w:eastAsia="zh-CN"/>
                    </w:rPr>
                    <w:t>，位于</w:t>
                  </w:r>
                  <w:r>
                    <w:rPr>
                      <w:rFonts w:hint="eastAsia" w:ascii="Times New Roman" w:hAnsi="Times New Roman"/>
                      <w:b w:val="0"/>
                      <w:snapToGrid w:val="0"/>
                      <w:color w:val="auto"/>
                      <w:kern w:val="0"/>
                      <w:highlight w:val="none"/>
                      <w:lang w:val="en-US" w:eastAsia="zh-CN"/>
                    </w:rPr>
                    <w:t>办公楼西侧</w:t>
                  </w:r>
                </w:p>
              </w:tc>
            </w:tr>
            <w:tr w14:paraId="51A878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1DE3572">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182" w:type="pct"/>
                  <w:vMerge w:val="continue"/>
                  <w:vAlign w:val="center"/>
                </w:tcPr>
                <w:p w14:paraId="325D358B">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rPr>
                  </w:pPr>
                </w:p>
              </w:tc>
              <w:tc>
                <w:tcPr>
                  <w:tcW w:w="597" w:type="pct"/>
                  <w:vAlign w:val="center"/>
                </w:tcPr>
                <w:p w14:paraId="07994D1F">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cs="Times New Roman"/>
                      <w:b w:val="0"/>
                      <w:smallCaps w:val="0"/>
                      <w:color w:val="auto"/>
                      <w:highlight w:val="none"/>
                      <w:lang w:val="en-US" w:eastAsia="zh-CN"/>
                    </w:rPr>
                  </w:pPr>
                  <w:r>
                    <w:rPr>
                      <w:rFonts w:hint="eastAsia" w:ascii="Times New Roman" w:hAnsi="Times New Roman" w:cs="Times New Roman"/>
                      <w:b w:val="0"/>
                      <w:smallCaps w:val="0"/>
                      <w:color w:val="auto"/>
                      <w:highlight w:val="none"/>
                      <w:lang w:val="en-US" w:eastAsia="zh-CN"/>
                    </w:rPr>
                    <w:t>危险固</w:t>
                  </w:r>
                </w:p>
                <w:p w14:paraId="5336D2BE">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color w:val="auto"/>
                      <w:highlight w:val="none"/>
                      <w:lang w:val="en-US" w:eastAsia="zh-CN" w:bidi="zh-CN"/>
                    </w:rPr>
                  </w:pPr>
                  <w:r>
                    <w:rPr>
                      <w:rFonts w:hint="eastAsia" w:ascii="Times New Roman" w:hAnsi="Times New Roman" w:cs="Times New Roman"/>
                      <w:b w:val="0"/>
                      <w:smallCaps w:val="0"/>
                      <w:color w:val="auto"/>
                      <w:highlight w:val="none"/>
                      <w:lang w:val="en-US" w:eastAsia="zh-CN"/>
                    </w:rPr>
                    <w:t>废库</w:t>
                  </w:r>
                </w:p>
              </w:tc>
              <w:tc>
                <w:tcPr>
                  <w:tcW w:w="993" w:type="pct"/>
                  <w:vAlign w:val="center"/>
                </w:tcPr>
                <w:p w14:paraId="636F59C1">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color w:val="auto"/>
                      <w:highlight w:val="none"/>
                      <w:lang w:val="en-US" w:eastAsia="zh-CN"/>
                    </w:rPr>
                  </w:pPr>
                  <w:r>
                    <w:rPr>
                      <w:rFonts w:ascii="Times New Roman" w:hAnsi="Times New Roman" w:eastAsia="宋体" w:cs="Times New Roman"/>
                      <w:b w:val="0"/>
                      <w:smallCaps w:val="0"/>
                      <w:color w:val="auto"/>
                      <w:highlight w:val="none"/>
                    </w:rPr>
                    <w:t>面积</w:t>
                  </w:r>
                  <w:r>
                    <w:rPr>
                      <w:rFonts w:hint="eastAsia" w:ascii="Times New Roman" w:hAnsi="Times New Roman" w:cs="Times New Roman"/>
                      <w:b w:val="0"/>
                      <w:smallCaps w:val="0"/>
                      <w:color w:val="auto"/>
                      <w:highlight w:val="none"/>
                      <w:lang w:val="en-US" w:eastAsia="zh-CN"/>
                    </w:rPr>
                    <w:t>22</w:t>
                  </w:r>
                  <w:r>
                    <w:rPr>
                      <w:rFonts w:ascii="Times New Roman" w:hAnsi="Times New Roman" w:eastAsia="宋体" w:cs="Times New Roman"/>
                      <w:b w:val="0"/>
                      <w:smallCaps w:val="0"/>
                      <w:color w:val="auto"/>
                      <w:highlight w:val="none"/>
                    </w:rPr>
                    <w:t>m</w:t>
                  </w:r>
                  <w:r>
                    <w:rPr>
                      <w:rFonts w:ascii="Times New Roman" w:hAnsi="Times New Roman" w:eastAsia="宋体" w:cs="Times New Roman"/>
                      <w:b w:val="0"/>
                      <w:smallCaps w:val="0"/>
                      <w:color w:val="auto"/>
                      <w:highlight w:val="none"/>
                      <w:vertAlign w:val="superscript"/>
                    </w:rPr>
                    <w:t>2</w:t>
                  </w:r>
                </w:p>
              </w:tc>
              <w:tc>
                <w:tcPr>
                  <w:tcW w:w="1116" w:type="pct"/>
                  <w:vAlign w:val="center"/>
                </w:tcPr>
                <w:p w14:paraId="035AA41C">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color w:val="auto"/>
                      <w:highlight w:val="none"/>
                    </w:rPr>
                  </w:pPr>
                  <w:r>
                    <w:rPr>
                      <w:rFonts w:ascii="Times New Roman" w:hAnsi="Times New Roman" w:eastAsia="宋体" w:cs="Times New Roman"/>
                      <w:b w:val="0"/>
                      <w:smallCaps w:val="0"/>
                      <w:color w:val="auto"/>
                      <w:highlight w:val="none"/>
                    </w:rPr>
                    <w:t>面积</w:t>
                  </w:r>
                  <w:r>
                    <w:rPr>
                      <w:rFonts w:hint="eastAsia" w:ascii="Times New Roman" w:hAnsi="Times New Roman" w:cs="Times New Roman"/>
                      <w:b w:val="0"/>
                      <w:smallCaps w:val="0"/>
                      <w:color w:val="auto"/>
                      <w:highlight w:val="none"/>
                      <w:lang w:val="en-US" w:eastAsia="zh-CN"/>
                    </w:rPr>
                    <w:t>22</w:t>
                  </w:r>
                  <w:r>
                    <w:rPr>
                      <w:rFonts w:ascii="Times New Roman" w:hAnsi="Times New Roman" w:eastAsia="宋体" w:cs="Times New Roman"/>
                      <w:b w:val="0"/>
                      <w:smallCaps w:val="0"/>
                      <w:color w:val="auto"/>
                      <w:highlight w:val="none"/>
                    </w:rPr>
                    <w:t>m</w:t>
                  </w:r>
                  <w:r>
                    <w:rPr>
                      <w:rFonts w:ascii="Times New Roman" w:hAnsi="Times New Roman" w:eastAsia="宋体" w:cs="Times New Roman"/>
                      <w:b w:val="0"/>
                      <w:smallCaps w:val="0"/>
                      <w:color w:val="auto"/>
                      <w:highlight w:val="none"/>
                      <w:vertAlign w:val="superscript"/>
                    </w:rPr>
                    <w:t>2</w:t>
                  </w:r>
                </w:p>
              </w:tc>
              <w:tc>
                <w:tcPr>
                  <w:tcW w:w="817" w:type="pct"/>
                  <w:vAlign w:val="center"/>
                </w:tcPr>
                <w:p w14:paraId="58273687">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color w:val="auto"/>
                      <w:highlight w:val="none"/>
                    </w:rPr>
                  </w:pPr>
                  <w:r>
                    <w:rPr>
                      <w:rFonts w:hint="eastAsia" w:ascii="Times New Roman" w:hAnsi="Times New Roman" w:cs="宋体"/>
                      <w:b w:val="0"/>
                      <w:smallCaps w:val="0"/>
                      <w:color w:val="auto"/>
                      <w:lang w:val="en-US" w:eastAsia="zh-CN"/>
                    </w:rPr>
                    <w:t>不变</w:t>
                  </w:r>
                </w:p>
              </w:tc>
              <w:tc>
                <w:tcPr>
                  <w:tcW w:w="1123" w:type="pct"/>
                  <w:vAlign w:val="center"/>
                </w:tcPr>
                <w:p w14:paraId="0AF1D0EE">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default" w:ascii="Times New Roman" w:hAnsi="Times New Roman" w:eastAsia="宋体"/>
                      <w:b w:val="0"/>
                      <w:smallCaps w:val="0"/>
                      <w:color w:val="auto"/>
                      <w:highlight w:val="none"/>
                      <w:lang w:val="en-US" w:eastAsia="zh-CN"/>
                    </w:rPr>
                  </w:pPr>
                  <w:r>
                    <w:rPr>
                      <w:rFonts w:hint="eastAsia" w:cs="宋体"/>
                      <w:b w:val="0"/>
                      <w:color w:val="auto"/>
                      <w:szCs w:val="21"/>
                      <w:highlight w:val="none"/>
                      <w:lang w:val="en-US" w:eastAsia="zh-CN"/>
                    </w:rPr>
                    <w:t>依托现有</w:t>
                  </w:r>
                  <w:r>
                    <w:rPr>
                      <w:rFonts w:hint="eastAsia" w:ascii="Times New Roman" w:hAnsi="Times New Roman" w:eastAsia="宋体"/>
                      <w:b w:val="0"/>
                      <w:smallCaps w:val="0"/>
                      <w:color w:val="auto"/>
                      <w:highlight w:val="none"/>
                      <w:lang w:eastAsia="zh-CN"/>
                    </w:rPr>
                    <w:t>，</w:t>
                  </w:r>
                  <w:r>
                    <w:rPr>
                      <w:rFonts w:hint="eastAsia" w:ascii="Times New Roman" w:hAnsi="Times New Roman"/>
                      <w:b w:val="0"/>
                      <w:smallCaps w:val="0"/>
                      <w:color w:val="auto"/>
                      <w:highlight w:val="none"/>
                      <w:lang w:val="en-US" w:eastAsia="zh-CN"/>
                    </w:rPr>
                    <w:t>位于办公楼西侧</w:t>
                  </w:r>
                </w:p>
              </w:tc>
            </w:tr>
            <w:tr w14:paraId="4DAFA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0096617A">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780" w:type="pct"/>
                  <w:gridSpan w:val="2"/>
                  <w:vAlign w:val="center"/>
                </w:tcPr>
                <w:p w14:paraId="34E4AEE1">
                  <w:pPr>
                    <w:keepNext w:val="0"/>
                    <w:keepLines w:val="0"/>
                    <w:pageBreakBefore w:val="0"/>
                    <w:widowControl w:val="0"/>
                    <w:kinsoku/>
                    <w:wordWrap/>
                    <w:overflowPunct/>
                    <w:topLinePunct w:val="0"/>
                    <w:bidi w:val="0"/>
                    <w:adjustRightInd/>
                    <w:snapToGrid w:val="0"/>
                    <w:spacing w:line="290" w:lineRule="exact"/>
                    <w:jc w:val="center"/>
                    <w:textAlignment w:val="auto"/>
                    <w:rPr>
                      <w:rFonts w:ascii="Times New Roman" w:hAnsi="Times New Roman" w:eastAsia="宋体"/>
                      <w:b w:val="0"/>
                      <w:smallCaps w:val="0"/>
                      <w:color w:val="auto"/>
                      <w:szCs w:val="21"/>
                      <w:highlight w:val="none"/>
                    </w:rPr>
                  </w:pPr>
                  <w:r>
                    <w:rPr>
                      <w:rFonts w:ascii="Times New Roman" w:hAnsi="Times New Roman" w:eastAsia="宋体"/>
                      <w:b w:val="0"/>
                      <w:smallCaps w:val="0"/>
                      <w:color w:val="auto"/>
                      <w:szCs w:val="21"/>
                      <w:highlight w:val="none"/>
                    </w:rPr>
                    <w:t>地下水</w:t>
                  </w:r>
                  <w:r>
                    <w:rPr>
                      <w:rFonts w:hint="eastAsia" w:ascii="Times New Roman" w:hAnsi="Times New Roman" w:eastAsia="宋体"/>
                      <w:b w:val="0"/>
                      <w:smallCaps w:val="0"/>
                      <w:color w:val="auto"/>
                      <w:szCs w:val="21"/>
                      <w:highlight w:val="none"/>
                    </w:rPr>
                    <w:t>、</w:t>
                  </w:r>
                  <w:r>
                    <w:rPr>
                      <w:rFonts w:ascii="Times New Roman" w:hAnsi="Times New Roman" w:eastAsia="宋体"/>
                      <w:b w:val="0"/>
                      <w:smallCaps w:val="0"/>
                      <w:color w:val="auto"/>
                      <w:szCs w:val="21"/>
                      <w:highlight w:val="none"/>
                    </w:rPr>
                    <w:t>土壤</w:t>
                  </w:r>
                </w:p>
                <w:p w14:paraId="776734BB">
                  <w:pPr>
                    <w:keepNext w:val="0"/>
                    <w:keepLines w:val="0"/>
                    <w:pageBreakBefore w:val="0"/>
                    <w:widowControl w:val="0"/>
                    <w:kinsoku/>
                    <w:wordWrap/>
                    <w:overflowPunct/>
                    <w:topLinePunct w:val="0"/>
                    <w:bidi w:val="0"/>
                    <w:adjustRightInd/>
                    <w:snapToGrid w:val="0"/>
                    <w:spacing w:line="290" w:lineRule="exact"/>
                    <w:jc w:val="center"/>
                    <w:textAlignment w:val="auto"/>
                    <w:rPr>
                      <w:rFonts w:ascii="Times New Roman" w:hAnsi="Times New Roman" w:eastAsia="宋体"/>
                      <w:b w:val="0"/>
                      <w:smallCaps w:val="0"/>
                      <w:color w:val="auto"/>
                      <w:szCs w:val="21"/>
                      <w:highlight w:val="none"/>
                    </w:rPr>
                  </w:pPr>
                  <w:r>
                    <w:rPr>
                      <w:rFonts w:ascii="Times New Roman" w:hAnsi="Times New Roman" w:eastAsia="宋体"/>
                      <w:b w:val="0"/>
                      <w:smallCaps w:val="0"/>
                      <w:color w:val="auto"/>
                      <w:szCs w:val="21"/>
                      <w:highlight w:val="none"/>
                    </w:rPr>
                    <w:t>污染防治措施</w:t>
                  </w:r>
                </w:p>
              </w:tc>
              <w:tc>
                <w:tcPr>
                  <w:tcW w:w="4050" w:type="pct"/>
                  <w:gridSpan w:val="4"/>
                  <w:vAlign w:val="center"/>
                </w:tcPr>
                <w:p w14:paraId="56397CA2">
                  <w:pPr>
                    <w:keepNext w:val="0"/>
                    <w:keepLines w:val="0"/>
                    <w:pageBreakBefore w:val="0"/>
                    <w:widowControl w:val="0"/>
                    <w:kinsoku/>
                    <w:wordWrap/>
                    <w:overflowPunct/>
                    <w:topLinePunct w:val="0"/>
                    <w:bidi w:val="0"/>
                    <w:adjustRightInd/>
                    <w:snapToGrid w:val="0"/>
                    <w:spacing w:line="290" w:lineRule="exact"/>
                    <w:jc w:val="center"/>
                    <w:textAlignment w:val="auto"/>
                    <w:rPr>
                      <w:rFonts w:hint="eastAsia" w:ascii="Times New Roman" w:hAnsi="Times New Roman" w:eastAsia="宋体"/>
                      <w:b w:val="0"/>
                      <w:smallCaps w:val="0"/>
                      <w:color w:val="auto"/>
                      <w:szCs w:val="21"/>
                      <w:highlight w:val="none"/>
                    </w:rPr>
                  </w:pPr>
                  <w:r>
                    <w:rPr>
                      <w:rFonts w:hint="eastAsia" w:ascii="Times New Roman" w:hAnsi="Times New Roman" w:eastAsia="宋体"/>
                      <w:b w:val="0"/>
                      <w:smallCaps w:val="0"/>
                      <w:color w:val="auto"/>
                      <w:szCs w:val="21"/>
                      <w:highlight w:val="none"/>
                    </w:rPr>
                    <w:t>划分重点防渗区</w:t>
                  </w:r>
                  <w:r>
                    <w:rPr>
                      <w:rFonts w:hint="eastAsia" w:ascii="Times New Roman" w:hAnsi="Times New Roman" w:eastAsia="宋体"/>
                      <w:b w:val="0"/>
                      <w:smallCaps w:val="0"/>
                      <w:color w:val="auto"/>
                      <w:szCs w:val="21"/>
                      <w:highlight w:val="none"/>
                      <w:lang w:eastAsia="zh-CN"/>
                    </w:rPr>
                    <w:t>（</w:t>
                  </w:r>
                  <w:r>
                    <w:rPr>
                      <w:rFonts w:hint="eastAsia" w:ascii="Times New Roman" w:hAnsi="Times New Roman" w:eastAsia="宋体"/>
                      <w:b w:val="0"/>
                      <w:smallCaps w:val="0"/>
                      <w:color w:val="auto"/>
                      <w:szCs w:val="21"/>
                      <w:highlight w:val="none"/>
                      <w:lang w:val="en-US" w:eastAsia="zh-CN"/>
                    </w:rPr>
                    <w:t>危险废物暂存间</w:t>
                  </w:r>
                  <w:r>
                    <w:rPr>
                      <w:rFonts w:hint="eastAsia" w:ascii="Times New Roman" w:hAnsi="Times New Roman" w:eastAsia="宋体"/>
                      <w:b w:val="0"/>
                      <w:smallCaps w:val="0"/>
                      <w:color w:val="auto"/>
                      <w:szCs w:val="21"/>
                      <w:highlight w:val="none"/>
                      <w:lang w:eastAsia="zh-CN"/>
                    </w:rPr>
                    <w:t>）</w:t>
                  </w:r>
                  <w:r>
                    <w:rPr>
                      <w:rFonts w:hint="eastAsia" w:ascii="Times New Roman" w:hAnsi="Times New Roman" w:eastAsia="宋体"/>
                      <w:b w:val="0"/>
                      <w:smallCaps w:val="0"/>
                      <w:color w:val="auto"/>
                      <w:szCs w:val="21"/>
                      <w:highlight w:val="none"/>
                    </w:rPr>
                    <w:t>和一般防渗区</w:t>
                  </w:r>
                  <w:r>
                    <w:rPr>
                      <w:rFonts w:hint="eastAsia" w:ascii="Times New Roman" w:hAnsi="Times New Roman" w:eastAsia="宋体"/>
                      <w:b w:val="0"/>
                      <w:smallCaps w:val="0"/>
                      <w:color w:val="auto"/>
                      <w:szCs w:val="21"/>
                      <w:highlight w:val="none"/>
                      <w:lang w:eastAsia="zh-CN"/>
                    </w:rPr>
                    <w:t>（</w:t>
                  </w:r>
                  <w:r>
                    <w:rPr>
                      <w:rFonts w:hint="eastAsia" w:ascii="Times New Roman" w:hAnsi="Times New Roman" w:eastAsia="宋体"/>
                      <w:b w:val="0"/>
                      <w:smallCaps w:val="0"/>
                      <w:color w:val="auto"/>
                      <w:szCs w:val="21"/>
                      <w:highlight w:val="none"/>
                      <w:lang w:val="en-US" w:eastAsia="zh-CN"/>
                    </w:rPr>
                    <w:t>生产车间、办公用房</w:t>
                  </w:r>
                  <w:r>
                    <w:rPr>
                      <w:rFonts w:hint="eastAsia" w:ascii="Times New Roman" w:hAnsi="Times New Roman" w:eastAsia="宋体"/>
                      <w:b w:val="0"/>
                      <w:smallCaps w:val="0"/>
                      <w:color w:val="auto"/>
                      <w:szCs w:val="21"/>
                      <w:highlight w:val="none"/>
                      <w:lang w:eastAsia="zh-CN"/>
                    </w:rPr>
                    <w:t>）</w:t>
                  </w:r>
                  <w:r>
                    <w:rPr>
                      <w:rFonts w:hint="eastAsia" w:ascii="Times New Roman" w:hAnsi="Times New Roman" w:eastAsia="宋体"/>
                      <w:b w:val="0"/>
                      <w:smallCaps w:val="0"/>
                      <w:color w:val="auto"/>
                      <w:szCs w:val="21"/>
                      <w:highlight w:val="none"/>
                    </w:rPr>
                    <w:t>，按规范要求防腐防渗</w:t>
                  </w:r>
                </w:p>
              </w:tc>
            </w:tr>
            <w:tr w14:paraId="6D15C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738BF21D">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780" w:type="pct"/>
                  <w:gridSpan w:val="2"/>
                  <w:vAlign w:val="center"/>
                </w:tcPr>
                <w:p w14:paraId="3EB816FA">
                  <w:pPr>
                    <w:keepNext w:val="0"/>
                    <w:keepLines w:val="0"/>
                    <w:pageBreakBefore w:val="0"/>
                    <w:widowControl w:val="0"/>
                    <w:kinsoku/>
                    <w:wordWrap/>
                    <w:overflowPunct/>
                    <w:topLinePunct w:val="0"/>
                    <w:bidi w:val="0"/>
                    <w:adjustRightInd/>
                    <w:snapToGrid w:val="0"/>
                    <w:spacing w:line="290" w:lineRule="exact"/>
                    <w:jc w:val="center"/>
                    <w:textAlignment w:val="auto"/>
                    <w:rPr>
                      <w:rFonts w:ascii="Times New Roman" w:hAnsi="Times New Roman" w:eastAsia="宋体"/>
                      <w:b w:val="0"/>
                      <w:smallCaps w:val="0"/>
                      <w:color w:val="auto"/>
                      <w:szCs w:val="21"/>
                      <w:highlight w:val="none"/>
                    </w:rPr>
                  </w:pPr>
                  <w:r>
                    <w:rPr>
                      <w:rFonts w:ascii="Times New Roman" w:hAnsi="Times New Roman" w:eastAsia="宋体"/>
                      <w:b w:val="0"/>
                      <w:smallCaps w:val="0"/>
                      <w:color w:val="auto"/>
                      <w:szCs w:val="21"/>
                      <w:highlight w:val="none"/>
                    </w:rPr>
                    <w:t>风险防范应急设施</w:t>
                  </w:r>
                </w:p>
              </w:tc>
              <w:tc>
                <w:tcPr>
                  <w:tcW w:w="4050" w:type="pct"/>
                  <w:gridSpan w:val="4"/>
                  <w:vAlign w:val="center"/>
                </w:tcPr>
                <w:p w14:paraId="69FE6662">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b w:val="0"/>
                      <w:smallCaps w:val="0"/>
                      <w:color w:val="auto"/>
                      <w:szCs w:val="21"/>
                      <w:highlight w:val="none"/>
                    </w:rPr>
                  </w:pPr>
                  <w:r>
                    <w:rPr>
                      <w:rFonts w:hint="eastAsia" w:ascii="Times New Roman" w:hAnsi="Times New Roman" w:eastAsia="宋体"/>
                      <w:b w:val="0"/>
                      <w:smallCaps w:val="0"/>
                      <w:color w:val="auto"/>
                      <w:szCs w:val="21"/>
                      <w:highlight w:val="none"/>
                    </w:rPr>
                    <w:t>雨水排口设控制阀门，车间内外配套消防设施</w:t>
                  </w:r>
                  <w:r>
                    <w:rPr>
                      <w:rFonts w:hint="eastAsia" w:ascii="Times New Roman" w:hAnsi="Times New Roman" w:eastAsia="宋体"/>
                      <w:b w:val="0"/>
                      <w:smallCaps w:val="0"/>
                      <w:color w:val="auto"/>
                      <w:szCs w:val="21"/>
                      <w:highlight w:val="none"/>
                      <w:lang w:eastAsia="zh-CN"/>
                    </w:rPr>
                    <w:t>，</w:t>
                  </w:r>
                  <w:r>
                    <w:rPr>
                      <w:rFonts w:hint="eastAsia" w:ascii="Times New Roman" w:hAnsi="Times New Roman" w:eastAsia="宋体"/>
                      <w:b w:val="0"/>
                      <w:smallCaps w:val="0"/>
                      <w:color w:val="auto"/>
                      <w:szCs w:val="21"/>
                      <w:highlight w:val="none"/>
                      <w:lang w:val="en-US" w:eastAsia="zh-CN"/>
                    </w:rPr>
                    <w:t>事故池</w:t>
                  </w:r>
                  <w:r>
                    <w:rPr>
                      <w:rFonts w:hint="eastAsia" w:ascii="Times New Roman" w:hAnsi="Times New Roman"/>
                      <w:b w:val="0"/>
                      <w:smallCaps w:val="0"/>
                      <w:color w:val="auto"/>
                      <w:szCs w:val="21"/>
                      <w:highlight w:val="none"/>
                      <w:lang w:val="en-US" w:eastAsia="zh-CN"/>
                    </w:rPr>
                    <w:t>85</w:t>
                  </w:r>
                  <w:r>
                    <w:rPr>
                      <w:rFonts w:hint="eastAsia" w:ascii="Times New Roman" w:hAnsi="Times New Roman" w:eastAsia="宋体"/>
                      <w:b w:val="0"/>
                      <w:smallCaps w:val="0"/>
                      <w:color w:val="auto"/>
                      <w:szCs w:val="21"/>
                      <w:highlight w:val="none"/>
                      <w:lang w:val="en-US" w:eastAsia="zh-CN"/>
                    </w:rPr>
                    <w:t>m</w:t>
                  </w:r>
                  <w:r>
                    <w:rPr>
                      <w:rFonts w:hint="eastAsia" w:ascii="Times New Roman" w:hAnsi="Times New Roman" w:eastAsia="宋体"/>
                      <w:b w:val="0"/>
                      <w:smallCaps w:val="0"/>
                      <w:color w:val="auto"/>
                      <w:szCs w:val="21"/>
                      <w:highlight w:val="none"/>
                      <w:vertAlign w:val="superscript"/>
                      <w:lang w:val="en-US" w:eastAsia="zh-CN"/>
                    </w:rPr>
                    <w:t>3</w:t>
                  </w:r>
                </w:p>
              </w:tc>
            </w:tr>
            <w:tr w14:paraId="7470BB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restart"/>
                  <w:vAlign w:val="center"/>
                </w:tcPr>
                <w:p w14:paraId="140963F3">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r>
                    <w:rPr>
                      <w:rFonts w:hint="eastAsia" w:ascii="Times New Roman" w:hAnsi="Times New Roman" w:eastAsia="宋体"/>
                      <w:b w:val="0"/>
                      <w:smallCaps w:val="0"/>
                      <w:snapToGrid w:val="0"/>
                      <w:color w:val="auto"/>
                      <w:szCs w:val="21"/>
                      <w:highlight w:val="none"/>
                    </w:rPr>
                    <w:t>储运</w:t>
                  </w:r>
                  <w:r>
                    <w:rPr>
                      <w:rFonts w:ascii="Times New Roman" w:hAnsi="Times New Roman" w:eastAsia="宋体"/>
                      <w:b w:val="0"/>
                      <w:smallCaps w:val="0"/>
                      <w:snapToGrid w:val="0"/>
                      <w:color w:val="auto"/>
                      <w:szCs w:val="21"/>
                      <w:highlight w:val="none"/>
                    </w:rPr>
                    <w:t>工程</w:t>
                  </w:r>
                </w:p>
              </w:tc>
              <w:tc>
                <w:tcPr>
                  <w:tcW w:w="780" w:type="pct"/>
                  <w:gridSpan w:val="2"/>
                  <w:vAlign w:val="center"/>
                </w:tcPr>
                <w:p w14:paraId="1552CB48">
                  <w:pPr>
                    <w:keepNext w:val="0"/>
                    <w:keepLines w:val="0"/>
                    <w:pageBreakBefore w:val="0"/>
                    <w:widowControl w:val="0"/>
                    <w:kinsoku/>
                    <w:wordWrap/>
                    <w:overflowPunct/>
                    <w:topLinePunct w:val="0"/>
                    <w:bidi w:val="0"/>
                    <w:adjustRightInd/>
                    <w:snapToGrid w:val="0"/>
                    <w:spacing w:line="290" w:lineRule="exact"/>
                    <w:jc w:val="center"/>
                    <w:textAlignment w:val="auto"/>
                    <w:rPr>
                      <w:rFonts w:ascii="Times New Roman" w:hAnsi="Times New Roman" w:eastAsia="宋体"/>
                      <w:b w:val="0"/>
                      <w:smallCaps w:val="0"/>
                      <w:color w:val="auto"/>
                      <w:szCs w:val="21"/>
                      <w:highlight w:val="none"/>
                    </w:rPr>
                  </w:pPr>
                  <w:r>
                    <w:rPr>
                      <w:rFonts w:ascii="Times New Roman" w:hAnsi="Times New Roman" w:eastAsia="宋体"/>
                      <w:b w:val="0"/>
                      <w:smallCaps w:val="0"/>
                      <w:color w:val="auto"/>
                      <w:szCs w:val="21"/>
                      <w:highlight w:val="none"/>
                    </w:rPr>
                    <w:t>厂外运输</w:t>
                  </w:r>
                </w:p>
              </w:tc>
              <w:tc>
                <w:tcPr>
                  <w:tcW w:w="4050" w:type="pct"/>
                  <w:gridSpan w:val="4"/>
                  <w:vAlign w:val="center"/>
                </w:tcPr>
                <w:p w14:paraId="67C2297B">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color w:val="auto"/>
                      <w:highlight w:val="none"/>
                    </w:rPr>
                  </w:pPr>
                  <w:r>
                    <w:rPr>
                      <w:rFonts w:ascii="Times New Roman" w:hAnsi="Times New Roman" w:eastAsia="宋体"/>
                      <w:b w:val="0"/>
                      <w:smallCaps w:val="0"/>
                      <w:color w:val="auto"/>
                      <w:highlight w:val="none"/>
                    </w:rPr>
                    <w:t>原料和成品由社会车辆承担运输</w:t>
                  </w:r>
                </w:p>
              </w:tc>
            </w:tr>
            <w:tr w14:paraId="4F7FD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49832553">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780" w:type="pct"/>
                  <w:gridSpan w:val="2"/>
                  <w:vAlign w:val="center"/>
                </w:tcPr>
                <w:p w14:paraId="5E81FF39">
                  <w:pPr>
                    <w:keepNext w:val="0"/>
                    <w:keepLines w:val="0"/>
                    <w:pageBreakBefore w:val="0"/>
                    <w:widowControl w:val="0"/>
                    <w:kinsoku/>
                    <w:wordWrap/>
                    <w:overflowPunct/>
                    <w:topLinePunct w:val="0"/>
                    <w:bidi w:val="0"/>
                    <w:adjustRightInd/>
                    <w:snapToGrid w:val="0"/>
                    <w:spacing w:line="290" w:lineRule="exact"/>
                    <w:jc w:val="center"/>
                    <w:textAlignment w:val="auto"/>
                    <w:rPr>
                      <w:rFonts w:hint="eastAsia" w:ascii="Times New Roman" w:hAnsi="Times New Roman" w:eastAsia="宋体"/>
                      <w:b w:val="0"/>
                      <w:smallCaps w:val="0"/>
                      <w:color w:val="auto"/>
                      <w:szCs w:val="21"/>
                      <w:highlight w:val="none"/>
                      <w:lang w:eastAsia="zh-CN"/>
                    </w:rPr>
                  </w:pPr>
                  <w:r>
                    <w:rPr>
                      <w:rFonts w:hint="eastAsia" w:ascii="Times New Roman" w:hAnsi="Times New Roman" w:eastAsia="宋体"/>
                      <w:b w:val="0"/>
                      <w:smallCaps w:val="0"/>
                      <w:color w:val="auto"/>
                      <w:szCs w:val="21"/>
                      <w:highlight w:val="none"/>
                      <w:lang w:val="en-US" w:eastAsia="zh-CN"/>
                    </w:rPr>
                    <w:t>原料库</w:t>
                  </w:r>
                </w:p>
              </w:tc>
              <w:tc>
                <w:tcPr>
                  <w:tcW w:w="993" w:type="pct"/>
                  <w:vAlign w:val="center"/>
                </w:tcPr>
                <w:p w14:paraId="7B8096A7">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cs="Times New Roman"/>
                      <w:b w:val="0"/>
                      <w:smallCaps w:val="0"/>
                      <w:snapToGrid w:val="0"/>
                      <w:color w:val="auto"/>
                      <w:highlight w:val="none"/>
                      <w:lang w:val="zh-CN" w:bidi="zh-CN"/>
                    </w:rPr>
                  </w:pPr>
                  <w:r>
                    <w:rPr>
                      <w:rFonts w:hint="eastAsia" w:ascii="Times New Roman" w:hAnsi="Times New Roman" w:cs="Times New Roman"/>
                      <w:b w:val="0"/>
                      <w:smallCaps w:val="0"/>
                      <w:snapToGrid w:val="0"/>
                      <w:color w:val="auto"/>
                      <w:highlight w:val="none"/>
                      <w:lang w:val="en-US" w:eastAsia="zh-CN"/>
                    </w:rPr>
                    <w:t>500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1116" w:type="pct"/>
                  <w:vAlign w:val="center"/>
                </w:tcPr>
                <w:p w14:paraId="3984B0B6">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500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817" w:type="pct"/>
                  <w:vAlign w:val="center"/>
                </w:tcPr>
                <w:p w14:paraId="6B5AC0DF">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6E9B0E45">
                  <w:pPr>
                    <w:keepNext w:val="0"/>
                    <w:keepLines w:val="0"/>
                    <w:pageBreakBefore w:val="0"/>
                    <w:widowControl w:val="0"/>
                    <w:kinsoku/>
                    <w:wordWrap/>
                    <w:overflowPunct/>
                    <w:topLinePunct w:val="0"/>
                    <w:bidi w:val="0"/>
                    <w:adjustRightInd/>
                    <w:snapToGrid w:val="0"/>
                    <w:spacing w:line="290" w:lineRule="exact"/>
                    <w:jc w:val="center"/>
                    <w:textAlignment w:val="auto"/>
                    <w:rPr>
                      <w:rFonts w:hint="default" w:ascii="Times New Roman" w:hAnsi="Times New Roman" w:eastAsia="宋体"/>
                      <w:b w:val="0"/>
                      <w:smallCaps w:val="0"/>
                      <w:color w:val="auto"/>
                      <w:szCs w:val="21"/>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依托现有，位于</w:t>
                  </w:r>
                  <w:r>
                    <w:rPr>
                      <w:rFonts w:hint="eastAsia" w:cs="Times New Roman"/>
                      <w:b w:val="0"/>
                      <w:smallCaps w:val="0"/>
                      <w:snapToGrid w:val="0"/>
                      <w:color w:val="auto"/>
                      <w:highlight w:val="none"/>
                      <w:lang w:val="en-US" w:eastAsia="zh-CN"/>
                    </w:rPr>
                    <w:t>2</w:t>
                  </w:r>
                  <w:r>
                    <w:rPr>
                      <w:rFonts w:hint="eastAsia" w:ascii="Times New Roman" w:hAnsi="Times New Roman" w:eastAsia="宋体" w:cs="Times New Roman"/>
                      <w:b w:val="0"/>
                      <w:smallCaps w:val="0"/>
                      <w:snapToGrid w:val="0"/>
                      <w:color w:val="auto"/>
                      <w:highlight w:val="none"/>
                      <w:lang w:val="en-US" w:eastAsia="zh-CN"/>
                    </w:rPr>
                    <w:t>#生产车间内</w:t>
                  </w:r>
                </w:p>
              </w:tc>
            </w:tr>
            <w:tr w14:paraId="12BD7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6DF5A584">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780" w:type="pct"/>
                  <w:gridSpan w:val="2"/>
                  <w:vAlign w:val="center"/>
                </w:tcPr>
                <w:p w14:paraId="7E2F2E01">
                  <w:pPr>
                    <w:keepNext w:val="0"/>
                    <w:keepLines w:val="0"/>
                    <w:pageBreakBefore w:val="0"/>
                    <w:widowControl w:val="0"/>
                    <w:kinsoku/>
                    <w:wordWrap/>
                    <w:overflowPunct/>
                    <w:topLinePunct w:val="0"/>
                    <w:bidi w:val="0"/>
                    <w:adjustRightInd/>
                    <w:snapToGrid w:val="0"/>
                    <w:spacing w:line="290" w:lineRule="exact"/>
                    <w:jc w:val="center"/>
                    <w:textAlignment w:val="auto"/>
                    <w:rPr>
                      <w:rFonts w:hint="eastAsia" w:ascii="Times New Roman" w:hAnsi="Times New Roman" w:eastAsia="宋体"/>
                      <w:b w:val="0"/>
                      <w:smallCaps w:val="0"/>
                      <w:color w:val="auto"/>
                      <w:szCs w:val="21"/>
                      <w:highlight w:val="none"/>
                      <w:lang w:val="en-US" w:eastAsia="zh-CN"/>
                    </w:rPr>
                  </w:pPr>
                  <w:r>
                    <w:rPr>
                      <w:rFonts w:hint="eastAsia" w:ascii="Times New Roman" w:hAnsi="Times New Roman" w:eastAsia="宋体"/>
                      <w:b w:val="0"/>
                      <w:smallCaps w:val="0"/>
                      <w:color w:val="auto"/>
                      <w:szCs w:val="21"/>
                      <w:highlight w:val="none"/>
                      <w:lang w:val="en-US" w:eastAsia="zh-CN"/>
                    </w:rPr>
                    <w:t>辅料库</w:t>
                  </w:r>
                </w:p>
              </w:tc>
              <w:tc>
                <w:tcPr>
                  <w:tcW w:w="993" w:type="pct"/>
                  <w:vAlign w:val="center"/>
                </w:tcPr>
                <w:p w14:paraId="205F8C20">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w:t>
                  </w:r>
                  <w:r>
                    <w:rPr>
                      <w:rFonts w:hint="eastAsia" w:ascii="Times New Roman" w:hAnsi="Times New Roman" w:eastAsia="宋体" w:cs="Times New Roman"/>
                      <w:b w:val="0"/>
                      <w:smallCaps w:val="0"/>
                      <w:snapToGrid w:val="0"/>
                      <w:color w:val="auto"/>
                      <w:highlight w:val="none"/>
                      <w:lang w:val="en-US" w:eastAsia="zh-CN"/>
                    </w:rPr>
                    <w:t>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1116" w:type="pct"/>
                  <w:vAlign w:val="center"/>
                </w:tcPr>
                <w:p w14:paraId="63DBEA03">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w:t>
                  </w:r>
                  <w:r>
                    <w:rPr>
                      <w:rFonts w:hint="eastAsia" w:ascii="Times New Roman" w:hAnsi="Times New Roman" w:eastAsia="宋体" w:cs="Times New Roman"/>
                      <w:b w:val="0"/>
                      <w:smallCaps w:val="0"/>
                      <w:snapToGrid w:val="0"/>
                      <w:color w:val="auto"/>
                      <w:highlight w:val="none"/>
                      <w:lang w:val="en-US" w:eastAsia="zh-CN"/>
                    </w:rPr>
                    <w:t>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817" w:type="pct"/>
                  <w:vAlign w:val="center"/>
                </w:tcPr>
                <w:p w14:paraId="3938FBEE">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cs="宋体"/>
                      <w:b w:val="0"/>
                      <w:smallCaps w:val="0"/>
                      <w:color w:val="auto"/>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4ED320E4">
                  <w:pPr>
                    <w:keepNext w:val="0"/>
                    <w:keepLines w:val="0"/>
                    <w:pageBreakBefore w:val="0"/>
                    <w:widowControl w:val="0"/>
                    <w:kinsoku/>
                    <w:wordWrap/>
                    <w:overflowPunct/>
                    <w:topLinePunct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依托现有，位于</w:t>
                  </w:r>
                  <w:r>
                    <w:rPr>
                      <w:rFonts w:hint="eastAsia" w:cs="Times New Roman"/>
                      <w:b w:val="0"/>
                      <w:smallCaps w:val="0"/>
                      <w:snapToGrid w:val="0"/>
                      <w:color w:val="auto"/>
                      <w:highlight w:val="none"/>
                      <w:lang w:val="en-US" w:eastAsia="zh-CN"/>
                    </w:rPr>
                    <w:t>2</w:t>
                  </w:r>
                  <w:r>
                    <w:rPr>
                      <w:rFonts w:hint="eastAsia" w:ascii="Times New Roman" w:hAnsi="Times New Roman" w:eastAsia="宋体" w:cs="Times New Roman"/>
                      <w:b w:val="0"/>
                      <w:smallCaps w:val="0"/>
                      <w:snapToGrid w:val="0"/>
                      <w:color w:val="auto"/>
                      <w:highlight w:val="none"/>
                      <w:lang w:val="en-US" w:eastAsia="zh-CN"/>
                    </w:rPr>
                    <w:t>#生产车间内</w:t>
                  </w:r>
                </w:p>
              </w:tc>
            </w:tr>
            <w:tr w14:paraId="399831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Merge w:val="continue"/>
                  <w:vAlign w:val="center"/>
                </w:tcPr>
                <w:p w14:paraId="3B05B166">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p>
              </w:tc>
              <w:tc>
                <w:tcPr>
                  <w:tcW w:w="780" w:type="pct"/>
                  <w:gridSpan w:val="2"/>
                  <w:vAlign w:val="center"/>
                </w:tcPr>
                <w:p w14:paraId="7F41CEFC">
                  <w:pPr>
                    <w:keepNext w:val="0"/>
                    <w:keepLines w:val="0"/>
                    <w:pageBreakBefore w:val="0"/>
                    <w:widowControl w:val="0"/>
                    <w:kinsoku/>
                    <w:wordWrap/>
                    <w:overflowPunct/>
                    <w:topLinePunct w:val="0"/>
                    <w:bidi w:val="0"/>
                    <w:adjustRightInd/>
                    <w:snapToGrid w:val="0"/>
                    <w:spacing w:line="290" w:lineRule="exact"/>
                    <w:jc w:val="center"/>
                    <w:textAlignment w:val="auto"/>
                    <w:rPr>
                      <w:rFonts w:hint="default" w:ascii="Times New Roman" w:hAnsi="Times New Roman" w:eastAsia="宋体"/>
                      <w:b w:val="0"/>
                      <w:smallCaps w:val="0"/>
                      <w:color w:val="auto"/>
                      <w:szCs w:val="21"/>
                      <w:highlight w:val="none"/>
                      <w:lang w:val="en-US" w:eastAsia="zh-CN"/>
                    </w:rPr>
                  </w:pPr>
                  <w:r>
                    <w:rPr>
                      <w:rFonts w:hint="eastAsia" w:ascii="Times New Roman" w:hAnsi="Times New Roman" w:eastAsia="宋体"/>
                      <w:b w:val="0"/>
                      <w:smallCaps w:val="0"/>
                      <w:color w:val="auto"/>
                      <w:szCs w:val="21"/>
                      <w:highlight w:val="none"/>
                      <w:lang w:val="en-US" w:eastAsia="zh-CN"/>
                    </w:rPr>
                    <w:t>成品库</w:t>
                  </w:r>
                </w:p>
              </w:tc>
              <w:tc>
                <w:tcPr>
                  <w:tcW w:w="993" w:type="pct"/>
                  <w:vAlign w:val="center"/>
                </w:tcPr>
                <w:p w14:paraId="29648ACD">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240</w:t>
                  </w:r>
                  <w:r>
                    <w:rPr>
                      <w:rFonts w:hint="eastAsia" w:ascii="Times New Roman" w:hAnsi="Times New Roman" w:eastAsia="宋体" w:cs="Times New Roman"/>
                      <w:b w:val="0"/>
                      <w:smallCaps w:val="0"/>
                      <w:snapToGrid w:val="0"/>
                      <w:color w:val="auto"/>
                      <w:highlight w:val="none"/>
                      <w:lang w:val="en-US" w:eastAsia="zh-CN"/>
                    </w:rPr>
                    <w:t>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1116" w:type="pct"/>
                  <w:vAlign w:val="center"/>
                </w:tcPr>
                <w:p w14:paraId="1BD0D424">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Times New Roman"/>
                      <w:b w:val="0"/>
                      <w:smallCaps w:val="0"/>
                      <w:snapToGrid w:val="0"/>
                      <w:color w:val="auto"/>
                      <w:highlight w:val="none"/>
                      <w:lang w:val="en-US" w:eastAsia="zh-CN"/>
                    </w:rPr>
                    <w:t>240</w:t>
                  </w:r>
                  <w:r>
                    <w:rPr>
                      <w:rFonts w:hint="eastAsia" w:ascii="Times New Roman" w:hAnsi="Times New Roman" w:eastAsia="宋体" w:cs="Times New Roman"/>
                      <w:b w:val="0"/>
                      <w:smallCaps w:val="0"/>
                      <w:snapToGrid w:val="0"/>
                      <w:color w:val="auto"/>
                      <w:highlight w:val="none"/>
                      <w:lang w:val="en-US" w:eastAsia="zh-CN"/>
                    </w:rPr>
                    <w:t>0</w:t>
                  </w:r>
                  <w:r>
                    <w:rPr>
                      <w:rFonts w:ascii="Times New Roman" w:hAnsi="Times New Roman" w:eastAsia="宋体" w:cs="Times New Roman"/>
                      <w:b w:val="0"/>
                      <w:smallCaps w:val="0"/>
                      <w:snapToGrid w:val="0"/>
                      <w:color w:val="auto"/>
                      <w:highlight w:val="none"/>
                    </w:rPr>
                    <w:t>m</w:t>
                  </w:r>
                  <w:r>
                    <w:rPr>
                      <w:rFonts w:ascii="Times New Roman" w:hAnsi="Times New Roman" w:eastAsia="宋体" w:cs="Times New Roman"/>
                      <w:b w:val="0"/>
                      <w:smallCaps w:val="0"/>
                      <w:snapToGrid w:val="0"/>
                      <w:color w:val="auto"/>
                      <w:highlight w:val="none"/>
                      <w:vertAlign w:val="superscript"/>
                    </w:rPr>
                    <w:t>2</w:t>
                  </w:r>
                </w:p>
              </w:tc>
              <w:tc>
                <w:tcPr>
                  <w:tcW w:w="817" w:type="pct"/>
                  <w:vAlign w:val="center"/>
                </w:tcPr>
                <w:p w14:paraId="3B71A6CD">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cs="宋体"/>
                      <w:b w:val="0"/>
                      <w:smallCaps w:val="0"/>
                      <w:color w:val="auto"/>
                      <w:lang w:val="en-US" w:eastAsia="zh-CN"/>
                    </w:rPr>
                    <w:t>不变</w:t>
                  </w:r>
                </w:p>
              </w:tc>
              <w:tc>
                <w:tcPr>
                  <w:tcW w:w="1123" w:type="pct"/>
                  <w:vAlign w:val="center"/>
                </w:tcPr>
                <w:p w14:paraId="6C96FDAE">
                  <w:pPr>
                    <w:keepNext w:val="0"/>
                    <w:keepLines w:val="0"/>
                    <w:pageBreakBefore w:val="0"/>
                    <w:widowControl w:val="0"/>
                    <w:kinsoku/>
                    <w:wordWrap/>
                    <w:overflowPunct/>
                    <w:topLinePunct w:val="0"/>
                    <w:bidi w:val="0"/>
                    <w:adjustRightInd/>
                    <w:snapToGrid w:val="0"/>
                    <w:spacing w:line="290" w:lineRule="exact"/>
                    <w:jc w:val="center"/>
                    <w:textAlignment w:val="auto"/>
                    <w:rPr>
                      <w:rFonts w:hint="eastAsia" w:ascii="Times New Roman" w:hAnsi="Times New Roman" w:eastAsia="宋体" w:cs="Times New Roman"/>
                      <w:b w:val="0"/>
                      <w:smallCaps w:val="0"/>
                      <w:snapToGrid w:val="0"/>
                      <w:color w:val="auto"/>
                      <w:highlight w:val="none"/>
                      <w:lang w:val="en-US" w:eastAsia="zh-CN"/>
                    </w:rPr>
                  </w:pPr>
                  <w:r>
                    <w:rPr>
                      <w:rFonts w:hint="eastAsia" w:ascii="Times New Roman" w:hAnsi="Times New Roman" w:eastAsia="宋体" w:cs="Times New Roman"/>
                      <w:b w:val="0"/>
                      <w:smallCaps w:val="0"/>
                      <w:snapToGrid w:val="0"/>
                      <w:color w:val="auto"/>
                      <w:highlight w:val="none"/>
                      <w:lang w:val="en-US" w:eastAsia="zh-CN"/>
                    </w:rPr>
                    <w:t>依托现有，位于</w:t>
                  </w:r>
                  <w:r>
                    <w:rPr>
                      <w:rFonts w:hint="eastAsia" w:cs="Times New Roman"/>
                      <w:b w:val="0"/>
                      <w:smallCaps w:val="0"/>
                      <w:snapToGrid w:val="0"/>
                      <w:color w:val="auto"/>
                      <w:highlight w:val="none"/>
                      <w:lang w:val="en-US" w:eastAsia="zh-CN"/>
                    </w:rPr>
                    <w:t>2</w:t>
                  </w:r>
                  <w:r>
                    <w:rPr>
                      <w:rFonts w:hint="eastAsia" w:ascii="Times New Roman" w:hAnsi="Times New Roman" w:eastAsia="宋体" w:cs="Times New Roman"/>
                      <w:b w:val="0"/>
                      <w:smallCaps w:val="0"/>
                      <w:snapToGrid w:val="0"/>
                      <w:color w:val="auto"/>
                      <w:highlight w:val="none"/>
                      <w:lang w:val="en-US" w:eastAsia="zh-CN"/>
                    </w:rPr>
                    <w:t>#生产车间内</w:t>
                  </w:r>
                </w:p>
              </w:tc>
            </w:tr>
            <w:tr w14:paraId="4D2DF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 w:type="pct"/>
                  <w:vAlign w:val="center"/>
                </w:tcPr>
                <w:p w14:paraId="5E98FC3C">
                  <w:pPr>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snapToGrid w:val="0"/>
                      <w:color w:val="auto"/>
                      <w:szCs w:val="21"/>
                      <w:highlight w:val="none"/>
                    </w:rPr>
                  </w:pPr>
                  <w:r>
                    <w:rPr>
                      <w:rFonts w:ascii="Times New Roman" w:hAnsi="Times New Roman" w:eastAsia="宋体"/>
                      <w:b w:val="0"/>
                      <w:smallCaps w:val="0"/>
                      <w:snapToGrid w:val="0"/>
                      <w:color w:val="auto"/>
                      <w:szCs w:val="21"/>
                      <w:highlight w:val="none"/>
                    </w:rPr>
                    <w:t>依托工程</w:t>
                  </w:r>
                </w:p>
              </w:tc>
              <w:tc>
                <w:tcPr>
                  <w:tcW w:w="4830" w:type="pct"/>
                  <w:gridSpan w:val="6"/>
                  <w:vAlign w:val="center"/>
                </w:tcPr>
                <w:p w14:paraId="15A99014">
                  <w:pPr>
                    <w:pStyle w:val="59"/>
                    <w:keepNext w:val="0"/>
                    <w:keepLines w:val="0"/>
                    <w:pageBreakBefore w:val="0"/>
                    <w:widowControl w:val="0"/>
                    <w:kinsoku/>
                    <w:wordWrap/>
                    <w:overflowPunct/>
                    <w:topLinePunct w:val="0"/>
                    <w:autoSpaceDE w:val="0"/>
                    <w:autoSpaceDN w:val="0"/>
                    <w:bidi w:val="0"/>
                    <w:adjustRightInd/>
                    <w:snapToGrid w:val="0"/>
                    <w:spacing w:line="290" w:lineRule="exact"/>
                    <w:jc w:val="center"/>
                    <w:textAlignment w:val="auto"/>
                    <w:rPr>
                      <w:rFonts w:ascii="Times New Roman" w:hAnsi="Times New Roman" w:eastAsia="宋体"/>
                      <w:b w:val="0"/>
                      <w:smallCaps w:val="0"/>
                      <w:color w:val="auto"/>
                      <w:highlight w:val="none"/>
                    </w:rPr>
                  </w:pPr>
                  <w:r>
                    <w:rPr>
                      <w:rFonts w:ascii="Times New Roman" w:hAnsi="Times New Roman" w:eastAsia="宋体"/>
                      <w:b w:val="0"/>
                      <w:smallCaps w:val="0"/>
                      <w:color w:val="auto"/>
                      <w:highlight w:val="none"/>
                    </w:rPr>
                    <w:t>厂区内已实施雨污分流体制，依托现有管网、雨污水排放口，不新设排污口</w:t>
                  </w:r>
                </w:p>
              </w:tc>
            </w:tr>
          </w:tbl>
          <w:p w14:paraId="34DB8745">
            <w:pPr>
              <w:spacing w:line="360" w:lineRule="auto"/>
              <w:ind w:firstLine="480" w:firstLineChars="200"/>
              <w:rPr>
                <w:rFonts w:ascii="Times New Roman" w:hAnsi="Times New Roman" w:eastAsia="宋体" w:cs="宋体"/>
                <w:b w:val="0"/>
                <w:bCs/>
                <w:color w:val="auto"/>
                <w:spacing w:val="-4"/>
                <w:sz w:val="24"/>
                <w:highlight w:val="none"/>
              </w:rPr>
            </w:pPr>
            <w:r>
              <w:rPr>
                <w:rFonts w:hint="eastAsia" w:ascii="Times New Roman" w:hAnsi="Times New Roman" w:eastAsia="宋体" w:cs="宋体"/>
                <w:b w:val="0"/>
                <w:bCs/>
                <w:color w:val="auto"/>
                <w:sz w:val="24"/>
                <w:highlight w:val="none"/>
              </w:rPr>
              <w:t>4</w:t>
            </w:r>
            <w:r>
              <w:rPr>
                <w:rFonts w:ascii="Times New Roman" w:hAnsi="Times New Roman" w:eastAsia="宋体" w:cs="宋体"/>
                <w:b w:val="0"/>
                <w:bCs/>
                <w:color w:val="auto"/>
                <w:sz w:val="24"/>
                <w:highlight w:val="none"/>
              </w:rPr>
              <w:t>、</w:t>
            </w:r>
            <w:r>
              <w:rPr>
                <w:rFonts w:hint="eastAsia" w:ascii="Times New Roman" w:hAnsi="Times New Roman" w:eastAsia="宋体" w:cs="宋体"/>
                <w:b w:val="0"/>
                <w:bCs/>
                <w:color w:val="auto"/>
                <w:sz w:val="24"/>
                <w:highlight w:val="none"/>
              </w:rPr>
              <w:t>产品</w:t>
            </w:r>
            <w:r>
              <w:rPr>
                <w:rFonts w:ascii="Times New Roman" w:hAnsi="Times New Roman" w:eastAsia="宋体" w:cs="宋体"/>
                <w:b w:val="0"/>
                <w:bCs/>
                <w:color w:val="auto"/>
                <w:sz w:val="24"/>
                <w:highlight w:val="none"/>
              </w:rPr>
              <w:t>方案</w:t>
            </w:r>
          </w:p>
          <w:p w14:paraId="1E062836">
            <w:pPr>
              <w:tabs>
                <w:tab w:val="left" w:pos="960"/>
              </w:tabs>
              <w:spacing w:beforeLines="50"/>
              <w:jc w:val="center"/>
              <w:rPr>
                <w:rFonts w:ascii="Times New Roman" w:hAnsi="Times New Roman" w:eastAsia="宋体" w:cs="宋体"/>
                <w:b/>
                <w:bCs w:val="0"/>
                <w:color w:val="auto"/>
                <w:spacing w:val="-4"/>
                <w:szCs w:val="21"/>
                <w:highlight w:val="none"/>
              </w:rPr>
            </w:pPr>
          </w:p>
          <w:p w14:paraId="7E116A25">
            <w:pPr>
              <w:tabs>
                <w:tab w:val="left" w:pos="960"/>
              </w:tabs>
              <w:spacing w:beforeLines="50"/>
              <w:jc w:val="center"/>
              <w:rPr>
                <w:rFonts w:ascii="Times New Roman" w:hAnsi="Times New Roman" w:eastAsia="宋体" w:cs="宋体"/>
                <w:b/>
                <w:bCs w:val="0"/>
                <w:color w:val="auto"/>
                <w:spacing w:val="-4"/>
                <w:szCs w:val="21"/>
                <w:highlight w:val="none"/>
              </w:rPr>
            </w:pPr>
          </w:p>
          <w:p w14:paraId="6719B5A9">
            <w:pPr>
              <w:tabs>
                <w:tab w:val="left" w:pos="960"/>
              </w:tabs>
              <w:spacing w:beforeLines="50"/>
              <w:jc w:val="center"/>
              <w:rPr>
                <w:rFonts w:ascii="Times New Roman" w:hAnsi="Times New Roman" w:eastAsia="宋体" w:cs="宋体"/>
                <w:b/>
                <w:bCs w:val="0"/>
                <w:color w:val="auto"/>
                <w:spacing w:val="-4"/>
                <w:szCs w:val="21"/>
                <w:highlight w:val="none"/>
              </w:rPr>
            </w:pPr>
          </w:p>
          <w:p w14:paraId="7DF3F4A1">
            <w:pPr>
              <w:tabs>
                <w:tab w:val="left" w:pos="960"/>
              </w:tabs>
              <w:spacing w:beforeLines="50"/>
              <w:jc w:val="center"/>
              <w:rPr>
                <w:rFonts w:ascii="Times New Roman" w:hAnsi="Times New Roman" w:eastAsia="宋体" w:cs="宋体"/>
                <w:b/>
                <w:bCs w:val="0"/>
                <w:color w:val="auto"/>
                <w:spacing w:val="-4"/>
                <w:szCs w:val="21"/>
                <w:highlight w:val="none"/>
              </w:rPr>
            </w:pPr>
          </w:p>
          <w:p w14:paraId="56BC06A4">
            <w:pPr>
              <w:tabs>
                <w:tab w:val="left" w:pos="960"/>
              </w:tabs>
              <w:spacing w:beforeLines="50"/>
              <w:jc w:val="center"/>
              <w:rPr>
                <w:rFonts w:ascii="Times New Roman" w:hAnsi="Times New Roman" w:eastAsia="宋体" w:cs="宋体"/>
                <w:b/>
                <w:bCs w:val="0"/>
                <w:color w:val="auto"/>
                <w:spacing w:val="-4"/>
                <w:szCs w:val="21"/>
                <w:highlight w:val="none"/>
              </w:rPr>
            </w:pPr>
          </w:p>
          <w:p w14:paraId="1621606A">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 xml:space="preserve">2.1-3  </w:t>
            </w:r>
            <w:r>
              <w:rPr>
                <w:rFonts w:ascii="Times New Roman" w:hAnsi="Times New Roman" w:eastAsia="宋体" w:cs="宋体"/>
                <w:b/>
                <w:bCs w:val="0"/>
                <w:color w:val="auto"/>
                <w:spacing w:val="-4"/>
                <w:szCs w:val="21"/>
                <w:highlight w:val="none"/>
              </w:rPr>
              <w:t>产品方案</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8"/>
              <w:gridCol w:w="634"/>
              <w:gridCol w:w="1039"/>
              <w:gridCol w:w="976"/>
              <w:gridCol w:w="2396"/>
              <w:gridCol w:w="789"/>
              <w:gridCol w:w="789"/>
              <w:gridCol w:w="812"/>
              <w:gridCol w:w="582"/>
            </w:tblGrid>
            <w:tr w14:paraId="4240D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restart"/>
                  <w:noWrap w:val="0"/>
                  <w:vAlign w:val="center"/>
                </w:tcPr>
                <w:p w14:paraId="2DB30E5D">
                  <w:pPr>
                    <w:snapToGrid w:val="0"/>
                    <w:jc w:val="center"/>
                    <w:rPr>
                      <w:rFonts w:ascii="Times New Roman" w:hAnsi="Times New Roman" w:eastAsia="宋体"/>
                      <w:b/>
                      <w:bCs w:val="0"/>
                      <w:smallCaps w:val="0"/>
                      <w:color w:val="auto"/>
                      <w:szCs w:val="21"/>
                      <w:highlight w:val="none"/>
                    </w:rPr>
                  </w:pPr>
                  <w:r>
                    <w:rPr>
                      <w:rFonts w:ascii="Times New Roman" w:hAnsi="Times New Roman" w:eastAsia="宋体"/>
                      <w:b/>
                      <w:bCs w:val="0"/>
                      <w:smallCaps w:val="0"/>
                      <w:color w:val="auto"/>
                      <w:szCs w:val="21"/>
                      <w:highlight w:val="none"/>
                    </w:rPr>
                    <w:t>序号</w:t>
                  </w:r>
                </w:p>
              </w:tc>
              <w:tc>
                <w:tcPr>
                  <w:tcW w:w="380" w:type="pct"/>
                  <w:vMerge w:val="restart"/>
                  <w:noWrap w:val="0"/>
                  <w:vAlign w:val="center"/>
                </w:tcPr>
                <w:p w14:paraId="027480E3">
                  <w:pPr>
                    <w:snapToGrid w:val="0"/>
                    <w:jc w:val="center"/>
                    <w:rPr>
                      <w:rFonts w:ascii="Times New Roman" w:hAnsi="Times New Roman" w:eastAsia="宋体"/>
                      <w:b/>
                      <w:bCs w:val="0"/>
                      <w:smallCaps w:val="0"/>
                      <w:color w:val="auto"/>
                      <w:szCs w:val="21"/>
                      <w:highlight w:val="none"/>
                    </w:rPr>
                  </w:pPr>
                  <w:r>
                    <w:rPr>
                      <w:rFonts w:hint="eastAsia" w:ascii="Times New Roman" w:hAnsi="Times New Roman" w:eastAsia="宋体"/>
                      <w:b/>
                      <w:bCs w:val="0"/>
                      <w:smallCaps w:val="0"/>
                      <w:color w:val="auto"/>
                      <w:szCs w:val="21"/>
                      <w:highlight w:val="none"/>
                    </w:rPr>
                    <w:t>工程名称</w:t>
                  </w:r>
                </w:p>
              </w:tc>
              <w:tc>
                <w:tcPr>
                  <w:tcW w:w="623" w:type="pct"/>
                  <w:vMerge w:val="restart"/>
                  <w:noWrap w:val="0"/>
                  <w:vAlign w:val="center"/>
                </w:tcPr>
                <w:p w14:paraId="5E58A584">
                  <w:pPr>
                    <w:snapToGrid w:val="0"/>
                    <w:jc w:val="center"/>
                    <w:rPr>
                      <w:rFonts w:ascii="Times New Roman" w:hAnsi="Times New Roman" w:eastAsia="宋体"/>
                      <w:b/>
                      <w:bCs w:val="0"/>
                      <w:smallCaps w:val="0"/>
                      <w:color w:val="auto"/>
                      <w:szCs w:val="21"/>
                      <w:highlight w:val="none"/>
                    </w:rPr>
                  </w:pPr>
                  <w:r>
                    <w:rPr>
                      <w:rFonts w:ascii="Times New Roman" w:hAnsi="Times New Roman" w:eastAsia="宋体"/>
                      <w:b/>
                      <w:bCs w:val="0"/>
                      <w:smallCaps w:val="0"/>
                      <w:color w:val="auto"/>
                      <w:szCs w:val="21"/>
                      <w:highlight w:val="none"/>
                    </w:rPr>
                    <w:t>产品名称</w:t>
                  </w:r>
                </w:p>
              </w:tc>
              <w:tc>
                <w:tcPr>
                  <w:tcW w:w="2022" w:type="pct"/>
                  <w:gridSpan w:val="2"/>
                  <w:vMerge w:val="restart"/>
                  <w:noWrap w:val="0"/>
                  <w:vAlign w:val="center"/>
                </w:tcPr>
                <w:p w14:paraId="2C5C9380">
                  <w:pPr>
                    <w:snapToGrid w:val="0"/>
                    <w:jc w:val="center"/>
                    <w:rPr>
                      <w:rFonts w:hint="eastAsia" w:ascii="Times New Roman" w:hAnsi="Times New Roman" w:eastAsia="宋体"/>
                      <w:b/>
                      <w:bCs w:val="0"/>
                      <w:smallCaps w:val="0"/>
                      <w:color w:val="auto"/>
                      <w:szCs w:val="21"/>
                      <w:highlight w:val="none"/>
                      <w:lang w:val="en-US" w:eastAsia="zh-CN"/>
                    </w:rPr>
                  </w:pPr>
                  <w:r>
                    <w:rPr>
                      <w:rFonts w:hint="eastAsia" w:ascii="Times New Roman" w:hAnsi="Times New Roman" w:eastAsia="宋体"/>
                      <w:b/>
                      <w:bCs w:val="0"/>
                      <w:smallCaps w:val="0"/>
                      <w:color w:val="auto"/>
                      <w:szCs w:val="21"/>
                      <w:highlight w:val="none"/>
                      <w:lang w:val="en-US" w:eastAsia="zh-CN"/>
                    </w:rPr>
                    <w:t>产品</w:t>
                  </w:r>
                  <w:r>
                    <w:rPr>
                      <w:rFonts w:hint="eastAsia"/>
                      <w:b/>
                      <w:bCs w:val="0"/>
                      <w:smallCaps w:val="0"/>
                      <w:color w:val="auto"/>
                      <w:szCs w:val="21"/>
                      <w:highlight w:val="none"/>
                      <w:lang w:val="en-US" w:eastAsia="zh-CN"/>
                    </w:rPr>
                    <w:t>类型</w:t>
                  </w:r>
                </w:p>
              </w:tc>
              <w:tc>
                <w:tcPr>
                  <w:tcW w:w="1433" w:type="pct"/>
                  <w:gridSpan w:val="3"/>
                  <w:noWrap w:val="0"/>
                  <w:vAlign w:val="center"/>
                </w:tcPr>
                <w:p w14:paraId="7E00B224">
                  <w:pPr>
                    <w:snapToGrid w:val="0"/>
                    <w:jc w:val="center"/>
                    <w:rPr>
                      <w:rFonts w:hint="eastAsia" w:ascii="Times New Roman" w:hAnsi="Times New Roman" w:eastAsia="宋体"/>
                      <w:b/>
                      <w:bCs w:val="0"/>
                      <w:smallCaps w:val="0"/>
                      <w:color w:val="auto"/>
                      <w:szCs w:val="21"/>
                      <w:highlight w:val="none"/>
                    </w:rPr>
                  </w:pPr>
                  <w:r>
                    <w:rPr>
                      <w:rFonts w:hint="eastAsia" w:ascii="Times New Roman" w:hAnsi="Times New Roman" w:eastAsia="宋体"/>
                      <w:b/>
                      <w:bCs w:val="0"/>
                      <w:smallCaps w:val="0"/>
                      <w:color w:val="auto"/>
                      <w:szCs w:val="21"/>
                      <w:highlight w:val="none"/>
                    </w:rPr>
                    <w:t>设计能力</w:t>
                  </w:r>
                </w:p>
              </w:tc>
              <w:tc>
                <w:tcPr>
                  <w:tcW w:w="349" w:type="pct"/>
                  <w:vMerge w:val="restart"/>
                  <w:noWrap w:val="0"/>
                  <w:vAlign w:val="center"/>
                </w:tcPr>
                <w:p w14:paraId="427CA5E2">
                  <w:pPr>
                    <w:snapToGrid w:val="0"/>
                    <w:jc w:val="center"/>
                    <w:rPr>
                      <w:rFonts w:ascii="Times New Roman" w:hAnsi="Times New Roman" w:eastAsia="宋体"/>
                      <w:b/>
                      <w:bCs w:val="0"/>
                      <w:smallCaps w:val="0"/>
                      <w:color w:val="auto"/>
                      <w:szCs w:val="21"/>
                      <w:highlight w:val="none"/>
                    </w:rPr>
                  </w:pPr>
                  <w:r>
                    <w:rPr>
                      <w:rFonts w:hint="eastAsia" w:ascii="Times New Roman" w:hAnsi="Times New Roman" w:eastAsia="宋体"/>
                      <w:b/>
                      <w:bCs w:val="0"/>
                      <w:smallCaps w:val="0"/>
                      <w:color w:val="auto"/>
                      <w:szCs w:val="21"/>
                      <w:highlight w:val="none"/>
                    </w:rPr>
                    <w:t>年运行时数</w:t>
                  </w:r>
                </w:p>
              </w:tc>
            </w:tr>
            <w:tr w14:paraId="22499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0154AA90">
                  <w:pPr>
                    <w:snapToGrid w:val="0"/>
                    <w:jc w:val="center"/>
                    <w:rPr>
                      <w:rFonts w:ascii="Times New Roman" w:hAnsi="Times New Roman" w:eastAsia="宋体"/>
                      <w:b/>
                      <w:bCs w:val="0"/>
                      <w:smallCaps w:val="0"/>
                      <w:color w:val="auto"/>
                      <w:szCs w:val="21"/>
                      <w:highlight w:val="none"/>
                    </w:rPr>
                  </w:pPr>
                </w:p>
              </w:tc>
              <w:tc>
                <w:tcPr>
                  <w:tcW w:w="380" w:type="pct"/>
                  <w:vMerge w:val="continue"/>
                  <w:noWrap w:val="0"/>
                  <w:vAlign w:val="center"/>
                </w:tcPr>
                <w:p w14:paraId="20FC46C4">
                  <w:pPr>
                    <w:snapToGrid w:val="0"/>
                    <w:jc w:val="center"/>
                    <w:rPr>
                      <w:rFonts w:hint="eastAsia" w:ascii="Times New Roman" w:hAnsi="Times New Roman" w:eastAsia="宋体"/>
                      <w:b/>
                      <w:bCs w:val="0"/>
                      <w:smallCaps w:val="0"/>
                      <w:color w:val="auto"/>
                      <w:szCs w:val="21"/>
                      <w:highlight w:val="none"/>
                    </w:rPr>
                  </w:pPr>
                </w:p>
              </w:tc>
              <w:tc>
                <w:tcPr>
                  <w:tcW w:w="623" w:type="pct"/>
                  <w:vMerge w:val="continue"/>
                  <w:noWrap w:val="0"/>
                  <w:vAlign w:val="center"/>
                </w:tcPr>
                <w:p w14:paraId="4B4E2E03">
                  <w:pPr>
                    <w:snapToGrid w:val="0"/>
                    <w:jc w:val="center"/>
                    <w:rPr>
                      <w:rFonts w:ascii="Times New Roman" w:hAnsi="Times New Roman" w:eastAsia="宋体"/>
                      <w:b/>
                      <w:bCs w:val="0"/>
                      <w:smallCaps w:val="0"/>
                      <w:color w:val="auto"/>
                      <w:szCs w:val="21"/>
                      <w:highlight w:val="none"/>
                    </w:rPr>
                  </w:pPr>
                </w:p>
              </w:tc>
              <w:tc>
                <w:tcPr>
                  <w:tcW w:w="2022" w:type="pct"/>
                  <w:gridSpan w:val="2"/>
                  <w:vMerge w:val="continue"/>
                  <w:noWrap w:val="0"/>
                  <w:vAlign w:val="center"/>
                </w:tcPr>
                <w:p w14:paraId="194CDAC4">
                  <w:pPr>
                    <w:snapToGrid w:val="0"/>
                    <w:jc w:val="center"/>
                    <w:rPr>
                      <w:rFonts w:hint="eastAsia" w:ascii="Times New Roman" w:hAnsi="Times New Roman" w:eastAsia="宋体"/>
                      <w:b/>
                      <w:bCs w:val="0"/>
                      <w:smallCaps w:val="0"/>
                      <w:color w:val="auto"/>
                      <w:szCs w:val="21"/>
                      <w:highlight w:val="none"/>
                      <w:lang w:val="en-US" w:eastAsia="zh-CN"/>
                    </w:rPr>
                  </w:pPr>
                </w:p>
              </w:tc>
              <w:tc>
                <w:tcPr>
                  <w:tcW w:w="473" w:type="pct"/>
                  <w:noWrap w:val="0"/>
                  <w:vAlign w:val="center"/>
                </w:tcPr>
                <w:p w14:paraId="76C82A14">
                  <w:pPr>
                    <w:snapToGrid w:val="0"/>
                    <w:jc w:val="center"/>
                    <w:rPr>
                      <w:rFonts w:hint="eastAsia" w:ascii="Times New Roman" w:hAnsi="Times New Roman" w:eastAsia="宋体"/>
                      <w:b/>
                      <w:bCs w:val="0"/>
                      <w:smallCaps w:val="0"/>
                      <w:color w:val="auto"/>
                      <w:szCs w:val="21"/>
                      <w:highlight w:val="none"/>
                      <w:lang w:val="en-US" w:eastAsia="zh-CN"/>
                    </w:rPr>
                  </w:pPr>
                  <w:r>
                    <w:rPr>
                      <w:rFonts w:hint="eastAsia"/>
                      <w:b/>
                      <w:bCs w:val="0"/>
                      <w:smallCaps w:val="0"/>
                      <w:color w:val="auto"/>
                      <w:szCs w:val="21"/>
                      <w:highlight w:val="none"/>
                      <w:lang w:val="en-US" w:eastAsia="zh-CN"/>
                    </w:rPr>
                    <w:t>技改前</w:t>
                  </w:r>
                </w:p>
              </w:tc>
              <w:tc>
                <w:tcPr>
                  <w:tcW w:w="473" w:type="pct"/>
                  <w:noWrap w:val="0"/>
                  <w:vAlign w:val="center"/>
                </w:tcPr>
                <w:p w14:paraId="74D04BF9">
                  <w:pPr>
                    <w:snapToGrid w:val="0"/>
                    <w:jc w:val="center"/>
                    <w:rPr>
                      <w:rFonts w:hint="eastAsia" w:ascii="Times New Roman" w:hAnsi="Times New Roman" w:eastAsia="宋体"/>
                      <w:b/>
                      <w:bCs w:val="0"/>
                      <w:smallCaps w:val="0"/>
                      <w:color w:val="auto"/>
                      <w:szCs w:val="21"/>
                      <w:highlight w:val="none"/>
                      <w:lang w:val="en-US" w:eastAsia="zh-CN"/>
                    </w:rPr>
                  </w:pPr>
                  <w:r>
                    <w:rPr>
                      <w:rFonts w:hint="eastAsia"/>
                      <w:b/>
                      <w:bCs w:val="0"/>
                      <w:smallCaps w:val="0"/>
                      <w:color w:val="auto"/>
                      <w:szCs w:val="21"/>
                      <w:highlight w:val="none"/>
                      <w:lang w:val="en-US" w:eastAsia="zh-CN"/>
                    </w:rPr>
                    <w:t>技改后</w:t>
                  </w:r>
                </w:p>
              </w:tc>
              <w:tc>
                <w:tcPr>
                  <w:tcW w:w="487" w:type="pct"/>
                  <w:noWrap w:val="0"/>
                  <w:vAlign w:val="center"/>
                </w:tcPr>
                <w:p w14:paraId="5BD4FE6D">
                  <w:pPr>
                    <w:snapToGrid w:val="0"/>
                    <w:jc w:val="center"/>
                    <w:rPr>
                      <w:rFonts w:hint="default" w:ascii="Times New Roman" w:hAnsi="Times New Roman" w:eastAsia="宋体"/>
                      <w:b/>
                      <w:bCs w:val="0"/>
                      <w:smallCaps w:val="0"/>
                      <w:color w:val="auto"/>
                      <w:szCs w:val="21"/>
                      <w:highlight w:val="none"/>
                      <w:lang w:val="en-US" w:eastAsia="zh-CN"/>
                    </w:rPr>
                  </w:pPr>
                  <w:r>
                    <w:rPr>
                      <w:rFonts w:hint="eastAsia"/>
                      <w:b/>
                      <w:bCs w:val="0"/>
                      <w:smallCaps w:val="0"/>
                      <w:color w:val="auto"/>
                      <w:szCs w:val="21"/>
                      <w:highlight w:val="none"/>
                      <w:lang w:val="en-US" w:eastAsia="zh-CN"/>
                    </w:rPr>
                    <w:t>变化量</w:t>
                  </w:r>
                </w:p>
              </w:tc>
              <w:tc>
                <w:tcPr>
                  <w:tcW w:w="349" w:type="pct"/>
                  <w:vMerge w:val="continue"/>
                  <w:noWrap w:val="0"/>
                  <w:vAlign w:val="center"/>
                </w:tcPr>
                <w:p w14:paraId="02518239">
                  <w:pPr>
                    <w:snapToGrid w:val="0"/>
                    <w:jc w:val="center"/>
                    <w:rPr>
                      <w:rFonts w:hint="eastAsia" w:ascii="Times New Roman" w:hAnsi="Times New Roman" w:eastAsia="宋体"/>
                      <w:b/>
                      <w:bCs w:val="0"/>
                      <w:smallCaps w:val="0"/>
                      <w:color w:val="auto"/>
                      <w:szCs w:val="21"/>
                      <w:highlight w:val="none"/>
                    </w:rPr>
                  </w:pPr>
                </w:p>
              </w:tc>
            </w:tr>
            <w:tr w14:paraId="3093C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restart"/>
                  <w:noWrap w:val="0"/>
                  <w:vAlign w:val="center"/>
                </w:tcPr>
                <w:p w14:paraId="0109D60E">
                  <w:pPr>
                    <w:snapToGrid w:val="0"/>
                    <w:jc w:val="center"/>
                    <w:rPr>
                      <w:rFonts w:ascii="Times New Roman" w:hAnsi="Times New Roman" w:eastAsia="宋体"/>
                      <w:b w:val="0"/>
                      <w:smallCaps w:val="0"/>
                      <w:color w:val="auto"/>
                      <w:szCs w:val="21"/>
                      <w:highlight w:val="none"/>
                    </w:rPr>
                  </w:pPr>
                  <w:r>
                    <w:rPr>
                      <w:rFonts w:hint="eastAsia" w:ascii="Times New Roman" w:hAnsi="Times New Roman" w:eastAsia="宋体"/>
                      <w:b w:val="0"/>
                      <w:smallCaps w:val="0"/>
                      <w:color w:val="auto"/>
                      <w:szCs w:val="21"/>
                      <w:highlight w:val="none"/>
                    </w:rPr>
                    <w:t>1</w:t>
                  </w:r>
                </w:p>
              </w:tc>
              <w:tc>
                <w:tcPr>
                  <w:tcW w:w="380" w:type="pct"/>
                  <w:vMerge w:val="restart"/>
                  <w:noWrap w:val="0"/>
                  <w:vAlign w:val="center"/>
                </w:tcPr>
                <w:p w14:paraId="70F7CC9F">
                  <w:pPr>
                    <w:pStyle w:val="59"/>
                    <w:autoSpaceDE w:val="0"/>
                    <w:autoSpaceDN w:val="0"/>
                    <w:snapToGrid w:val="0"/>
                    <w:jc w:val="center"/>
                    <w:rPr>
                      <w:rFonts w:hint="default" w:ascii="Times New Roman" w:hAnsi="Times New Roman" w:eastAsia="宋体"/>
                      <w:b w:val="0"/>
                      <w:smallCaps w:val="0"/>
                      <w:color w:val="auto"/>
                      <w:szCs w:val="21"/>
                      <w:highlight w:val="none"/>
                      <w:lang w:val="en-US"/>
                    </w:rPr>
                  </w:pPr>
                  <w:r>
                    <w:rPr>
                      <w:rFonts w:hint="eastAsia" w:ascii="Times New Roman" w:hAnsi="Times New Roman" w:eastAsia="宋体" w:cs="宋体"/>
                      <w:b w:val="0"/>
                      <w:smallCaps w:val="0"/>
                      <w:color w:val="auto"/>
                      <w:szCs w:val="21"/>
                      <w:highlight w:val="none"/>
                      <w:lang w:val="en-US" w:eastAsia="zh-CN"/>
                    </w:rPr>
                    <w:t>生产车间</w:t>
                  </w:r>
                </w:p>
              </w:tc>
              <w:tc>
                <w:tcPr>
                  <w:tcW w:w="623" w:type="pct"/>
                  <w:vMerge w:val="restart"/>
                  <w:noWrap w:val="0"/>
                  <w:vAlign w:val="center"/>
                </w:tcPr>
                <w:p w14:paraId="76CF000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铝</w:t>
                  </w:r>
                  <w:r>
                    <w:rPr>
                      <w:rFonts w:hint="default" w:ascii="Times New Roman" w:hAnsi="Times New Roman" w:eastAsia="宋体" w:cs="Times New Roman"/>
                      <w:b w:val="0"/>
                      <w:smallCaps w:val="0"/>
                      <w:color w:val="auto"/>
                      <w:kern w:val="2"/>
                      <w:sz w:val="21"/>
                      <w:szCs w:val="21"/>
                      <w:highlight w:val="none"/>
                      <w:lang w:val="en-US" w:eastAsia="zh-CN" w:bidi="ar-SA"/>
                    </w:rPr>
                    <w:t>压铸件</w:t>
                  </w:r>
                </w:p>
                <w:p w14:paraId="19278DB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（铸造能力600t/a）</w:t>
                  </w:r>
                </w:p>
              </w:tc>
              <w:tc>
                <w:tcPr>
                  <w:tcW w:w="585" w:type="pct"/>
                  <w:vMerge w:val="restart"/>
                  <w:noWrap w:val="0"/>
                  <w:vAlign w:val="center"/>
                </w:tcPr>
                <w:p w14:paraId="24B40E46">
                  <w:pPr>
                    <w:snapToGrid w:val="0"/>
                    <w:jc w:val="center"/>
                    <w:rPr>
                      <w:rFonts w:hint="default" w:ascii="Times New Roman" w:hAnsi="Times New Roman" w:eastAsia="宋体" w:cs="宋体"/>
                      <w:b w:val="0"/>
                      <w:smallCaps w:val="0"/>
                      <w:color w:val="auto"/>
                      <w:szCs w:val="21"/>
                      <w:highlight w:val="none"/>
                      <w:lang w:val="en-US" w:eastAsia="zh-CN"/>
                    </w:rPr>
                  </w:pPr>
                  <w:r>
                    <w:rPr>
                      <w:rFonts w:hint="default" w:ascii="Times New Roman" w:hAnsi="Times New Roman" w:eastAsia="宋体" w:cs="宋体"/>
                      <w:b w:val="0"/>
                      <w:smallCaps w:val="0"/>
                      <w:color w:val="auto"/>
                      <w:szCs w:val="21"/>
                      <w:highlight w:val="none"/>
                      <w:lang w:val="en-US" w:eastAsia="zh-CN"/>
                    </w:rPr>
                    <w:t>电机壳体配套</w:t>
                  </w:r>
                </w:p>
                <w:p w14:paraId="7FB503CB">
                  <w:pPr>
                    <w:snapToGrid w:val="0"/>
                    <w:jc w:val="center"/>
                    <w:rPr>
                      <w:rFonts w:hint="default" w:ascii="Times New Roman" w:hAnsi="Times New Roman" w:eastAsia="宋体" w:cs="宋体"/>
                      <w:b w:val="0"/>
                      <w:smallCaps w:val="0"/>
                      <w:color w:val="auto"/>
                      <w:szCs w:val="21"/>
                      <w:highlight w:val="none"/>
                      <w:lang w:val="en-US" w:eastAsia="zh-CN"/>
                    </w:rPr>
                  </w:pPr>
                  <w:r>
                    <w:rPr>
                      <w:rFonts w:hint="default" w:ascii="Times New Roman" w:hAnsi="Times New Roman" w:eastAsia="宋体" w:cs="宋体"/>
                      <w:b w:val="0"/>
                      <w:smallCaps w:val="0"/>
                      <w:color w:val="auto"/>
                      <w:szCs w:val="21"/>
                      <w:highlight w:val="none"/>
                      <w:lang w:val="en-US" w:eastAsia="zh-CN"/>
                    </w:rPr>
                    <w:t>压铸件</w:t>
                  </w:r>
                </w:p>
              </w:tc>
              <w:tc>
                <w:tcPr>
                  <w:tcW w:w="1436" w:type="pct"/>
                  <w:noWrap w:val="0"/>
                  <w:vAlign w:val="center"/>
                </w:tcPr>
                <w:p w14:paraId="747E234E">
                  <w:pPr>
                    <w:snapToGrid w:val="0"/>
                    <w:jc w:val="center"/>
                    <w:rPr>
                      <w:rFonts w:hint="default"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数量（</w:t>
                  </w:r>
                  <w:r>
                    <w:rPr>
                      <w:rFonts w:hint="eastAsia" w:ascii="Times New Roman" w:hAnsi="Times New Roman" w:eastAsia="宋体"/>
                      <w:b w:val="0"/>
                      <w:smallCaps w:val="0"/>
                      <w:color w:val="auto"/>
                      <w:szCs w:val="21"/>
                      <w:highlight w:val="none"/>
                      <w:lang w:val="en-US" w:eastAsia="zh-CN"/>
                    </w:rPr>
                    <w:t>万件/年</w:t>
                  </w:r>
                  <w:r>
                    <w:rPr>
                      <w:rFonts w:hint="eastAsia" w:cs="宋体"/>
                      <w:b w:val="0"/>
                      <w:smallCaps w:val="0"/>
                      <w:color w:val="auto"/>
                      <w:szCs w:val="21"/>
                      <w:highlight w:val="none"/>
                      <w:lang w:val="en-US" w:eastAsia="zh-CN"/>
                    </w:rPr>
                    <w:t>）</w:t>
                  </w:r>
                </w:p>
              </w:tc>
              <w:tc>
                <w:tcPr>
                  <w:tcW w:w="473" w:type="pct"/>
                  <w:noWrap w:val="0"/>
                  <w:vAlign w:val="center"/>
                </w:tcPr>
                <w:p w14:paraId="47A310D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zCs w:val="21"/>
                      <w:highlight w:val="none"/>
                      <w:lang w:val="en-US" w:eastAsia="zh-CN"/>
                    </w:rPr>
                    <w:t>7</w:t>
                  </w:r>
                  <w:r>
                    <w:rPr>
                      <w:rFonts w:hint="eastAsia" w:ascii="Times New Roman" w:hAnsi="Times New Roman" w:eastAsia="宋体"/>
                      <w:b w:val="0"/>
                      <w:smallCaps w:val="0"/>
                      <w:color w:val="auto"/>
                      <w:szCs w:val="21"/>
                      <w:highlight w:val="none"/>
                      <w:lang w:val="en-US" w:eastAsia="zh-CN"/>
                    </w:rPr>
                    <w:t>00</w:t>
                  </w:r>
                </w:p>
              </w:tc>
              <w:tc>
                <w:tcPr>
                  <w:tcW w:w="473" w:type="pct"/>
                  <w:noWrap w:val="0"/>
                  <w:vAlign w:val="center"/>
                </w:tcPr>
                <w:p w14:paraId="220CB072">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500</w:t>
                  </w:r>
                </w:p>
              </w:tc>
              <w:tc>
                <w:tcPr>
                  <w:tcW w:w="487" w:type="pct"/>
                  <w:vMerge w:val="restart"/>
                  <w:noWrap w:val="0"/>
                  <w:vAlign w:val="center"/>
                </w:tcPr>
                <w:p w14:paraId="568E03FB">
                  <w:pPr>
                    <w:snapToGrid w:val="0"/>
                    <w:jc w:val="center"/>
                    <w:rPr>
                      <w:rFonts w:hint="eastAsia"/>
                      <w:b w:val="0"/>
                      <w:smallCaps w:val="0"/>
                      <w:color w:val="auto"/>
                      <w:szCs w:val="21"/>
                      <w:highlight w:val="none"/>
                      <w:lang w:val="en-US" w:eastAsia="zh-CN"/>
                    </w:rPr>
                  </w:pPr>
                  <w:r>
                    <w:rPr>
                      <w:rFonts w:hint="eastAsia"/>
                      <w:b w:val="0"/>
                      <w:smallCaps w:val="0"/>
                      <w:color w:val="auto"/>
                      <w:szCs w:val="21"/>
                      <w:highlight w:val="none"/>
                      <w:lang w:val="en-US" w:eastAsia="zh-CN"/>
                    </w:rPr>
                    <w:t>总重</w:t>
                  </w:r>
                </w:p>
                <w:p w14:paraId="68B38863">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不变</w:t>
                  </w:r>
                </w:p>
              </w:tc>
              <w:tc>
                <w:tcPr>
                  <w:tcW w:w="349" w:type="pct"/>
                  <w:vMerge w:val="restart"/>
                  <w:noWrap w:val="0"/>
                  <w:vAlign w:val="center"/>
                </w:tcPr>
                <w:p w14:paraId="025AC61E">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zCs w:val="21"/>
                      <w:highlight w:val="none"/>
                      <w:lang w:val="en-US" w:eastAsia="zh-CN"/>
                    </w:rPr>
                    <w:t>48</w:t>
                  </w:r>
                  <w:r>
                    <w:rPr>
                      <w:rFonts w:hint="eastAsia" w:ascii="Times New Roman" w:hAnsi="Times New Roman" w:eastAsia="宋体"/>
                      <w:b w:val="0"/>
                      <w:smallCaps w:val="0"/>
                      <w:color w:val="auto"/>
                      <w:szCs w:val="21"/>
                      <w:highlight w:val="none"/>
                    </w:rPr>
                    <w:t>00h</w:t>
                  </w:r>
                </w:p>
              </w:tc>
            </w:tr>
            <w:tr w14:paraId="264FA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348C7827">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3A351023">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6AE36AEF">
                  <w:pPr>
                    <w:snapToGrid w:val="0"/>
                    <w:jc w:val="center"/>
                    <w:rPr>
                      <w:rFonts w:hint="eastAsia" w:cs="Times New Roman"/>
                      <w:b w:val="0"/>
                      <w:smallCaps w:val="0"/>
                      <w:color w:val="auto"/>
                      <w:kern w:val="2"/>
                      <w:sz w:val="21"/>
                      <w:szCs w:val="21"/>
                      <w:highlight w:val="none"/>
                      <w:lang w:val="en-US" w:eastAsia="zh-CN" w:bidi="ar-SA"/>
                    </w:rPr>
                  </w:pPr>
                </w:p>
              </w:tc>
              <w:tc>
                <w:tcPr>
                  <w:tcW w:w="585" w:type="pct"/>
                  <w:vMerge w:val="continue"/>
                  <w:noWrap w:val="0"/>
                  <w:vAlign w:val="center"/>
                </w:tcPr>
                <w:p w14:paraId="037278A9">
                  <w:pPr>
                    <w:snapToGrid w:val="0"/>
                    <w:jc w:val="center"/>
                    <w:rPr>
                      <w:rFonts w:hint="default" w:ascii="Times New Roman" w:hAnsi="Times New Roman" w:eastAsia="宋体" w:cs="宋体"/>
                      <w:b w:val="0"/>
                      <w:smallCaps w:val="0"/>
                      <w:color w:val="auto"/>
                      <w:szCs w:val="21"/>
                      <w:highlight w:val="none"/>
                      <w:lang w:val="en-US" w:eastAsia="zh-CN"/>
                    </w:rPr>
                  </w:pPr>
                </w:p>
              </w:tc>
              <w:tc>
                <w:tcPr>
                  <w:tcW w:w="1436" w:type="pct"/>
                  <w:noWrap w:val="0"/>
                  <w:vAlign w:val="center"/>
                </w:tcPr>
                <w:p w14:paraId="60E93DF5">
                  <w:pPr>
                    <w:snapToGrid w:val="0"/>
                    <w:jc w:val="center"/>
                    <w:rPr>
                      <w:rFonts w:hint="default"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单位产品重量（t/万件）</w:t>
                  </w:r>
                </w:p>
              </w:tc>
              <w:tc>
                <w:tcPr>
                  <w:tcW w:w="473" w:type="pct"/>
                  <w:noWrap w:val="0"/>
                  <w:vAlign w:val="center"/>
                </w:tcPr>
                <w:p w14:paraId="4E45E3F8">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0.5</w:t>
                  </w:r>
                </w:p>
              </w:tc>
              <w:tc>
                <w:tcPr>
                  <w:tcW w:w="473" w:type="pct"/>
                  <w:noWrap w:val="0"/>
                  <w:vAlign w:val="center"/>
                </w:tcPr>
                <w:p w14:paraId="577B79EE">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0.7</w:t>
                  </w:r>
                </w:p>
              </w:tc>
              <w:tc>
                <w:tcPr>
                  <w:tcW w:w="487" w:type="pct"/>
                  <w:vMerge w:val="continue"/>
                  <w:noWrap w:val="0"/>
                  <w:vAlign w:val="center"/>
                </w:tcPr>
                <w:p w14:paraId="524C4423">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18B18156">
                  <w:pPr>
                    <w:snapToGrid w:val="0"/>
                    <w:jc w:val="center"/>
                    <w:rPr>
                      <w:rFonts w:hint="eastAsia"/>
                      <w:b w:val="0"/>
                      <w:smallCaps w:val="0"/>
                      <w:color w:val="auto"/>
                      <w:szCs w:val="21"/>
                      <w:highlight w:val="none"/>
                      <w:lang w:val="en-US" w:eastAsia="zh-CN"/>
                    </w:rPr>
                  </w:pPr>
                </w:p>
              </w:tc>
            </w:tr>
            <w:tr w14:paraId="6C3C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23754821">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5DF484CF">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7802D10C">
                  <w:pPr>
                    <w:snapToGrid w:val="0"/>
                    <w:jc w:val="center"/>
                    <w:rPr>
                      <w:rFonts w:hint="eastAsia" w:cs="Times New Roman"/>
                      <w:b w:val="0"/>
                      <w:smallCaps w:val="0"/>
                      <w:color w:val="auto"/>
                      <w:kern w:val="2"/>
                      <w:sz w:val="21"/>
                      <w:szCs w:val="21"/>
                      <w:highlight w:val="none"/>
                      <w:lang w:val="en-US" w:eastAsia="zh-CN" w:bidi="ar-SA"/>
                    </w:rPr>
                  </w:pPr>
                </w:p>
              </w:tc>
              <w:tc>
                <w:tcPr>
                  <w:tcW w:w="585" w:type="pct"/>
                  <w:vMerge w:val="continue"/>
                  <w:noWrap w:val="0"/>
                  <w:vAlign w:val="center"/>
                </w:tcPr>
                <w:p w14:paraId="42BB915B">
                  <w:pPr>
                    <w:snapToGrid w:val="0"/>
                    <w:jc w:val="center"/>
                    <w:rPr>
                      <w:rFonts w:hint="default" w:ascii="Times New Roman" w:hAnsi="Times New Roman" w:eastAsia="宋体" w:cs="宋体"/>
                      <w:b w:val="0"/>
                      <w:smallCaps w:val="0"/>
                      <w:color w:val="auto"/>
                      <w:szCs w:val="21"/>
                      <w:highlight w:val="none"/>
                      <w:lang w:val="en-US" w:eastAsia="zh-CN"/>
                    </w:rPr>
                  </w:pPr>
                </w:p>
              </w:tc>
              <w:tc>
                <w:tcPr>
                  <w:tcW w:w="1436" w:type="pct"/>
                  <w:noWrap w:val="0"/>
                  <w:vAlign w:val="center"/>
                </w:tcPr>
                <w:p w14:paraId="364A575A">
                  <w:pPr>
                    <w:snapToGrid w:val="0"/>
                    <w:jc w:val="center"/>
                    <w:rPr>
                      <w:rFonts w:hint="default" w:cs="宋体"/>
                      <w:b w:val="0"/>
                      <w:smallCaps w:val="0"/>
                      <w:color w:val="auto"/>
                      <w:szCs w:val="21"/>
                      <w:highlight w:val="none"/>
                      <w:lang w:val="en-US" w:eastAsia="zh-CN"/>
                    </w:rPr>
                  </w:pPr>
                  <w:r>
                    <w:rPr>
                      <w:rFonts w:hint="eastAsia" w:cs="宋体"/>
                      <w:b w:val="0"/>
                      <w:smallCaps w:val="0"/>
                      <w:color w:val="auto"/>
                      <w:szCs w:val="21"/>
                      <w:highlight w:val="none"/>
                      <w:lang w:val="en-US" w:eastAsia="zh-CN"/>
                    </w:rPr>
                    <w:t>总重量（t/a）</w:t>
                  </w:r>
                </w:p>
              </w:tc>
              <w:tc>
                <w:tcPr>
                  <w:tcW w:w="473" w:type="pct"/>
                  <w:noWrap w:val="0"/>
                  <w:vAlign w:val="center"/>
                </w:tcPr>
                <w:p w14:paraId="2C472AD6">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350</w:t>
                  </w:r>
                </w:p>
              </w:tc>
              <w:tc>
                <w:tcPr>
                  <w:tcW w:w="473" w:type="pct"/>
                  <w:noWrap w:val="0"/>
                  <w:vAlign w:val="center"/>
                </w:tcPr>
                <w:p w14:paraId="2BE8B2B4">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350</w:t>
                  </w:r>
                </w:p>
              </w:tc>
              <w:tc>
                <w:tcPr>
                  <w:tcW w:w="487" w:type="pct"/>
                  <w:vMerge w:val="continue"/>
                  <w:noWrap w:val="0"/>
                  <w:vAlign w:val="center"/>
                </w:tcPr>
                <w:p w14:paraId="199C0304">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6F520431">
                  <w:pPr>
                    <w:snapToGrid w:val="0"/>
                    <w:jc w:val="center"/>
                    <w:rPr>
                      <w:rFonts w:hint="eastAsia"/>
                      <w:b w:val="0"/>
                      <w:smallCaps w:val="0"/>
                      <w:color w:val="auto"/>
                      <w:szCs w:val="21"/>
                      <w:highlight w:val="none"/>
                      <w:lang w:val="en-US" w:eastAsia="zh-CN"/>
                    </w:rPr>
                  </w:pPr>
                </w:p>
              </w:tc>
            </w:tr>
            <w:tr w14:paraId="0D184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3C3A1800">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5409C18C">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4B3B09D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restart"/>
                  <w:noWrap w:val="0"/>
                  <w:vAlign w:val="center"/>
                </w:tcPr>
                <w:p w14:paraId="570371A2">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新能源光伏配套压铸件</w:t>
                  </w:r>
                </w:p>
              </w:tc>
              <w:tc>
                <w:tcPr>
                  <w:tcW w:w="1436" w:type="pct"/>
                  <w:noWrap w:val="0"/>
                  <w:vAlign w:val="center"/>
                </w:tcPr>
                <w:p w14:paraId="0E2B08AA">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数量（</w:t>
                  </w:r>
                  <w:r>
                    <w:rPr>
                      <w:rFonts w:hint="eastAsia" w:ascii="Times New Roman" w:hAnsi="Times New Roman" w:eastAsia="宋体"/>
                      <w:b w:val="0"/>
                      <w:smallCaps w:val="0"/>
                      <w:color w:val="auto"/>
                      <w:szCs w:val="21"/>
                      <w:highlight w:val="none"/>
                      <w:lang w:val="en-US" w:eastAsia="zh-CN"/>
                    </w:rPr>
                    <w:t>万件/年</w:t>
                  </w:r>
                  <w:r>
                    <w:rPr>
                      <w:rFonts w:hint="eastAsia" w:cs="宋体"/>
                      <w:b w:val="0"/>
                      <w:smallCaps w:val="0"/>
                      <w:color w:val="auto"/>
                      <w:szCs w:val="21"/>
                      <w:highlight w:val="none"/>
                      <w:lang w:val="en-US" w:eastAsia="zh-CN"/>
                    </w:rPr>
                    <w:t>）</w:t>
                  </w:r>
                </w:p>
              </w:tc>
              <w:tc>
                <w:tcPr>
                  <w:tcW w:w="473" w:type="pct"/>
                  <w:noWrap w:val="0"/>
                  <w:vAlign w:val="center"/>
                </w:tcPr>
                <w:p w14:paraId="5D14D002">
                  <w:pPr>
                    <w:snapToGrid w:val="0"/>
                    <w:jc w:val="center"/>
                    <w:rPr>
                      <w:rFonts w:hint="eastAsia" w:ascii="Times New Roman" w:hAnsi="Times New Roman" w:eastAsia="宋体"/>
                      <w:b w:val="0"/>
                      <w:smallCaps w:val="0"/>
                      <w:color w:val="auto"/>
                      <w:szCs w:val="21"/>
                      <w:highlight w:val="none"/>
                      <w:lang w:val="en-US" w:eastAsia="zh-CN"/>
                    </w:rPr>
                  </w:pPr>
                  <w:r>
                    <w:rPr>
                      <w:rFonts w:hint="eastAsia"/>
                      <w:b w:val="0"/>
                      <w:smallCaps w:val="0"/>
                      <w:color w:val="auto"/>
                      <w:szCs w:val="21"/>
                      <w:highlight w:val="none"/>
                      <w:lang w:val="en-US" w:eastAsia="zh-CN"/>
                    </w:rPr>
                    <w:t>15</w:t>
                  </w:r>
                  <w:r>
                    <w:rPr>
                      <w:rFonts w:hint="eastAsia" w:ascii="Times New Roman" w:hAnsi="Times New Roman" w:eastAsia="宋体"/>
                      <w:b w:val="0"/>
                      <w:smallCaps w:val="0"/>
                      <w:color w:val="auto"/>
                      <w:szCs w:val="21"/>
                      <w:highlight w:val="none"/>
                      <w:lang w:val="en-US" w:eastAsia="zh-CN"/>
                    </w:rPr>
                    <w:t>0</w:t>
                  </w:r>
                </w:p>
              </w:tc>
              <w:tc>
                <w:tcPr>
                  <w:tcW w:w="473" w:type="pct"/>
                  <w:noWrap w:val="0"/>
                  <w:vAlign w:val="center"/>
                </w:tcPr>
                <w:p w14:paraId="05852AA5">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100</w:t>
                  </w:r>
                </w:p>
              </w:tc>
              <w:tc>
                <w:tcPr>
                  <w:tcW w:w="487" w:type="pct"/>
                  <w:vMerge w:val="restart"/>
                  <w:noWrap w:val="0"/>
                  <w:vAlign w:val="center"/>
                </w:tcPr>
                <w:p w14:paraId="0DE8E50F">
                  <w:pPr>
                    <w:snapToGrid w:val="0"/>
                    <w:jc w:val="center"/>
                    <w:rPr>
                      <w:rFonts w:hint="eastAsia"/>
                      <w:b w:val="0"/>
                      <w:smallCaps w:val="0"/>
                      <w:color w:val="auto"/>
                      <w:szCs w:val="21"/>
                      <w:highlight w:val="none"/>
                      <w:lang w:val="en-US" w:eastAsia="zh-CN"/>
                    </w:rPr>
                  </w:pPr>
                  <w:r>
                    <w:rPr>
                      <w:rFonts w:hint="eastAsia"/>
                      <w:b w:val="0"/>
                      <w:smallCaps w:val="0"/>
                      <w:color w:val="auto"/>
                      <w:szCs w:val="21"/>
                      <w:highlight w:val="none"/>
                      <w:lang w:val="en-US" w:eastAsia="zh-CN"/>
                    </w:rPr>
                    <w:t>总重</w:t>
                  </w:r>
                </w:p>
                <w:p w14:paraId="60DD6507">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不变</w:t>
                  </w:r>
                </w:p>
              </w:tc>
              <w:tc>
                <w:tcPr>
                  <w:tcW w:w="349" w:type="pct"/>
                  <w:vMerge w:val="continue"/>
                  <w:noWrap w:val="0"/>
                  <w:vAlign w:val="center"/>
                </w:tcPr>
                <w:p w14:paraId="6FDC04C7">
                  <w:pPr>
                    <w:snapToGrid w:val="0"/>
                    <w:jc w:val="center"/>
                    <w:rPr>
                      <w:rFonts w:hint="eastAsia"/>
                      <w:b w:val="0"/>
                      <w:smallCaps w:val="0"/>
                      <w:color w:val="auto"/>
                      <w:szCs w:val="21"/>
                      <w:highlight w:val="none"/>
                      <w:lang w:val="en-US" w:eastAsia="zh-CN"/>
                    </w:rPr>
                  </w:pPr>
                </w:p>
              </w:tc>
            </w:tr>
            <w:tr w14:paraId="64E69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63897371">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3C52205D">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2E718F7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0C1B20D3">
                  <w:pPr>
                    <w:snapToGrid w:val="0"/>
                    <w:jc w:val="center"/>
                    <w:rPr>
                      <w:rFonts w:hint="eastAsia" w:cs="宋体"/>
                      <w:b w:val="0"/>
                      <w:smallCaps w:val="0"/>
                      <w:color w:val="auto"/>
                      <w:szCs w:val="21"/>
                      <w:highlight w:val="none"/>
                      <w:lang w:val="en-US" w:eastAsia="zh-CN"/>
                    </w:rPr>
                  </w:pPr>
                </w:p>
              </w:tc>
              <w:tc>
                <w:tcPr>
                  <w:tcW w:w="1436" w:type="pct"/>
                  <w:noWrap w:val="0"/>
                  <w:vAlign w:val="center"/>
                </w:tcPr>
                <w:p w14:paraId="52B6C3A3">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单位产品重量（t/万件）</w:t>
                  </w:r>
                </w:p>
              </w:tc>
              <w:tc>
                <w:tcPr>
                  <w:tcW w:w="473" w:type="pct"/>
                  <w:noWrap w:val="0"/>
                  <w:vAlign w:val="center"/>
                </w:tcPr>
                <w:p w14:paraId="0F8053D2">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w:t>
                  </w:r>
                </w:p>
              </w:tc>
              <w:tc>
                <w:tcPr>
                  <w:tcW w:w="473" w:type="pct"/>
                  <w:noWrap w:val="0"/>
                  <w:vAlign w:val="center"/>
                </w:tcPr>
                <w:p w14:paraId="6B40A06D">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1.5</w:t>
                  </w:r>
                </w:p>
              </w:tc>
              <w:tc>
                <w:tcPr>
                  <w:tcW w:w="487" w:type="pct"/>
                  <w:vMerge w:val="continue"/>
                  <w:noWrap w:val="0"/>
                  <w:vAlign w:val="center"/>
                </w:tcPr>
                <w:p w14:paraId="24F6EFE0">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6E75F036">
                  <w:pPr>
                    <w:snapToGrid w:val="0"/>
                    <w:jc w:val="center"/>
                    <w:rPr>
                      <w:rFonts w:hint="eastAsia"/>
                      <w:b w:val="0"/>
                      <w:smallCaps w:val="0"/>
                      <w:color w:val="auto"/>
                      <w:szCs w:val="21"/>
                      <w:highlight w:val="none"/>
                      <w:lang w:val="en-US" w:eastAsia="zh-CN"/>
                    </w:rPr>
                  </w:pPr>
                </w:p>
              </w:tc>
            </w:tr>
            <w:tr w14:paraId="40B13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3CC4255F">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240F1E61">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4245182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6B0E6C6E">
                  <w:pPr>
                    <w:snapToGrid w:val="0"/>
                    <w:jc w:val="center"/>
                    <w:rPr>
                      <w:rFonts w:hint="eastAsia" w:cs="宋体"/>
                      <w:b w:val="0"/>
                      <w:smallCaps w:val="0"/>
                      <w:color w:val="auto"/>
                      <w:szCs w:val="21"/>
                      <w:highlight w:val="none"/>
                      <w:lang w:val="en-US" w:eastAsia="zh-CN"/>
                    </w:rPr>
                  </w:pPr>
                </w:p>
              </w:tc>
              <w:tc>
                <w:tcPr>
                  <w:tcW w:w="1436" w:type="pct"/>
                  <w:noWrap w:val="0"/>
                  <w:vAlign w:val="center"/>
                </w:tcPr>
                <w:p w14:paraId="22F89AFB">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总重量（t/a）</w:t>
                  </w:r>
                </w:p>
              </w:tc>
              <w:tc>
                <w:tcPr>
                  <w:tcW w:w="473" w:type="pct"/>
                  <w:noWrap w:val="0"/>
                  <w:vAlign w:val="center"/>
                </w:tcPr>
                <w:p w14:paraId="76B6F587">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150</w:t>
                  </w:r>
                </w:p>
              </w:tc>
              <w:tc>
                <w:tcPr>
                  <w:tcW w:w="473" w:type="pct"/>
                  <w:noWrap w:val="0"/>
                  <w:vAlign w:val="center"/>
                </w:tcPr>
                <w:p w14:paraId="276119CA">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150</w:t>
                  </w:r>
                </w:p>
              </w:tc>
              <w:tc>
                <w:tcPr>
                  <w:tcW w:w="487" w:type="pct"/>
                  <w:vMerge w:val="continue"/>
                  <w:noWrap w:val="0"/>
                  <w:vAlign w:val="center"/>
                </w:tcPr>
                <w:p w14:paraId="6034B8F1">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3E8D198F">
                  <w:pPr>
                    <w:snapToGrid w:val="0"/>
                    <w:jc w:val="center"/>
                    <w:rPr>
                      <w:rFonts w:hint="eastAsia"/>
                      <w:b w:val="0"/>
                      <w:smallCaps w:val="0"/>
                      <w:color w:val="auto"/>
                      <w:szCs w:val="21"/>
                      <w:highlight w:val="none"/>
                      <w:lang w:val="en-US" w:eastAsia="zh-CN"/>
                    </w:rPr>
                  </w:pPr>
                </w:p>
              </w:tc>
            </w:tr>
            <w:tr w14:paraId="1022B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1FF069DC">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17B2A767">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06E9D25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restart"/>
                  <w:noWrap w:val="0"/>
                  <w:vAlign w:val="center"/>
                </w:tcPr>
                <w:p w14:paraId="099394D8">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氢能源汽车配套压铸件</w:t>
                  </w:r>
                </w:p>
              </w:tc>
              <w:tc>
                <w:tcPr>
                  <w:tcW w:w="1436" w:type="pct"/>
                  <w:noWrap w:val="0"/>
                  <w:vAlign w:val="center"/>
                </w:tcPr>
                <w:p w14:paraId="74F05289">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数量（</w:t>
                  </w:r>
                  <w:r>
                    <w:rPr>
                      <w:rFonts w:hint="eastAsia" w:ascii="Times New Roman" w:hAnsi="Times New Roman" w:eastAsia="宋体"/>
                      <w:b w:val="0"/>
                      <w:smallCaps w:val="0"/>
                      <w:color w:val="auto"/>
                      <w:szCs w:val="21"/>
                      <w:highlight w:val="none"/>
                      <w:lang w:val="en-US" w:eastAsia="zh-CN"/>
                    </w:rPr>
                    <w:t>万件/年</w:t>
                  </w:r>
                  <w:r>
                    <w:rPr>
                      <w:rFonts w:hint="eastAsia" w:cs="宋体"/>
                      <w:b w:val="0"/>
                      <w:smallCaps w:val="0"/>
                      <w:color w:val="auto"/>
                      <w:szCs w:val="21"/>
                      <w:highlight w:val="none"/>
                      <w:lang w:val="en-US" w:eastAsia="zh-CN"/>
                    </w:rPr>
                    <w:t>）</w:t>
                  </w:r>
                </w:p>
              </w:tc>
              <w:tc>
                <w:tcPr>
                  <w:tcW w:w="473" w:type="pct"/>
                  <w:noWrap w:val="0"/>
                  <w:vAlign w:val="center"/>
                </w:tcPr>
                <w:p w14:paraId="2C13A4AC">
                  <w:pPr>
                    <w:snapToGrid w:val="0"/>
                    <w:jc w:val="center"/>
                    <w:rPr>
                      <w:rFonts w:hint="eastAsia" w:ascii="Times New Roman" w:hAnsi="Times New Roman" w:eastAsia="宋体"/>
                      <w:b w:val="0"/>
                      <w:smallCaps w:val="0"/>
                      <w:color w:val="auto"/>
                      <w:szCs w:val="21"/>
                      <w:highlight w:val="none"/>
                      <w:lang w:val="en-US" w:eastAsia="zh-CN"/>
                    </w:rPr>
                  </w:pPr>
                  <w:r>
                    <w:rPr>
                      <w:rFonts w:hint="eastAsia"/>
                      <w:b w:val="0"/>
                      <w:smallCaps w:val="0"/>
                      <w:color w:val="auto"/>
                      <w:szCs w:val="21"/>
                      <w:highlight w:val="none"/>
                      <w:lang w:val="en-US" w:eastAsia="zh-CN"/>
                    </w:rPr>
                    <w:t>10</w:t>
                  </w:r>
                  <w:r>
                    <w:rPr>
                      <w:rFonts w:hint="eastAsia" w:ascii="Times New Roman" w:hAnsi="Times New Roman" w:eastAsia="宋体"/>
                      <w:b w:val="0"/>
                      <w:smallCaps w:val="0"/>
                      <w:color w:val="auto"/>
                      <w:szCs w:val="21"/>
                      <w:highlight w:val="none"/>
                      <w:lang w:val="en-US" w:eastAsia="zh-CN"/>
                    </w:rPr>
                    <w:t>0</w:t>
                  </w:r>
                </w:p>
              </w:tc>
              <w:tc>
                <w:tcPr>
                  <w:tcW w:w="473" w:type="pct"/>
                  <w:noWrap w:val="0"/>
                  <w:vAlign w:val="center"/>
                </w:tcPr>
                <w:p w14:paraId="628AB707">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90</w:t>
                  </w:r>
                </w:p>
              </w:tc>
              <w:tc>
                <w:tcPr>
                  <w:tcW w:w="487" w:type="pct"/>
                  <w:vMerge w:val="restart"/>
                  <w:noWrap w:val="0"/>
                  <w:vAlign w:val="center"/>
                </w:tcPr>
                <w:p w14:paraId="625E40D0">
                  <w:pPr>
                    <w:snapToGrid w:val="0"/>
                    <w:jc w:val="center"/>
                    <w:rPr>
                      <w:rFonts w:hint="eastAsia"/>
                      <w:b w:val="0"/>
                      <w:smallCaps w:val="0"/>
                      <w:color w:val="auto"/>
                      <w:szCs w:val="21"/>
                      <w:highlight w:val="none"/>
                      <w:lang w:val="en-US" w:eastAsia="zh-CN"/>
                    </w:rPr>
                  </w:pPr>
                  <w:r>
                    <w:rPr>
                      <w:rFonts w:hint="eastAsia"/>
                      <w:b w:val="0"/>
                      <w:smallCaps w:val="0"/>
                      <w:color w:val="auto"/>
                      <w:szCs w:val="21"/>
                      <w:highlight w:val="none"/>
                      <w:lang w:val="en-US" w:eastAsia="zh-CN"/>
                    </w:rPr>
                    <w:t>总重</w:t>
                  </w:r>
                </w:p>
                <w:p w14:paraId="6426903A">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不变</w:t>
                  </w:r>
                </w:p>
              </w:tc>
              <w:tc>
                <w:tcPr>
                  <w:tcW w:w="349" w:type="pct"/>
                  <w:vMerge w:val="continue"/>
                  <w:noWrap w:val="0"/>
                  <w:vAlign w:val="center"/>
                </w:tcPr>
                <w:p w14:paraId="569FA6B7">
                  <w:pPr>
                    <w:snapToGrid w:val="0"/>
                    <w:jc w:val="center"/>
                    <w:rPr>
                      <w:rFonts w:hint="eastAsia"/>
                      <w:b w:val="0"/>
                      <w:smallCaps w:val="0"/>
                      <w:color w:val="auto"/>
                      <w:szCs w:val="21"/>
                      <w:highlight w:val="none"/>
                      <w:lang w:val="en-US" w:eastAsia="zh-CN"/>
                    </w:rPr>
                  </w:pPr>
                </w:p>
              </w:tc>
            </w:tr>
            <w:tr w14:paraId="5DE05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7D450508">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5A1201C5">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20C09D0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33221964">
                  <w:pPr>
                    <w:snapToGrid w:val="0"/>
                    <w:jc w:val="center"/>
                    <w:rPr>
                      <w:rFonts w:hint="eastAsia" w:cs="宋体"/>
                      <w:b w:val="0"/>
                      <w:smallCaps w:val="0"/>
                      <w:color w:val="auto"/>
                      <w:szCs w:val="21"/>
                      <w:highlight w:val="none"/>
                      <w:lang w:val="en-US" w:eastAsia="zh-CN"/>
                    </w:rPr>
                  </w:pPr>
                </w:p>
              </w:tc>
              <w:tc>
                <w:tcPr>
                  <w:tcW w:w="1436" w:type="pct"/>
                  <w:noWrap w:val="0"/>
                  <w:vAlign w:val="center"/>
                </w:tcPr>
                <w:p w14:paraId="23BF710D">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单位产品重量（t/万件）</w:t>
                  </w:r>
                </w:p>
              </w:tc>
              <w:tc>
                <w:tcPr>
                  <w:tcW w:w="473" w:type="pct"/>
                  <w:noWrap w:val="0"/>
                  <w:vAlign w:val="center"/>
                </w:tcPr>
                <w:p w14:paraId="23133CF4">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0.9</w:t>
                  </w:r>
                </w:p>
              </w:tc>
              <w:tc>
                <w:tcPr>
                  <w:tcW w:w="473" w:type="pct"/>
                  <w:noWrap w:val="0"/>
                  <w:vAlign w:val="center"/>
                </w:tcPr>
                <w:p w14:paraId="0C6042E9">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w:t>
                  </w:r>
                </w:p>
              </w:tc>
              <w:tc>
                <w:tcPr>
                  <w:tcW w:w="487" w:type="pct"/>
                  <w:vMerge w:val="continue"/>
                  <w:noWrap w:val="0"/>
                  <w:vAlign w:val="center"/>
                </w:tcPr>
                <w:p w14:paraId="736C09B2">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40CAF0CE">
                  <w:pPr>
                    <w:snapToGrid w:val="0"/>
                    <w:jc w:val="center"/>
                    <w:rPr>
                      <w:rFonts w:hint="eastAsia"/>
                      <w:b w:val="0"/>
                      <w:smallCaps w:val="0"/>
                      <w:color w:val="auto"/>
                      <w:szCs w:val="21"/>
                      <w:highlight w:val="none"/>
                      <w:lang w:val="en-US" w:eastAsia="zh-CN"/>
                    </w:rPr>
                  </w:pPr>
                </w:p>
              </w:tc>
            </w:tr>
            <w:tr w14:paraId="5A17D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7B5EB1F2">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6C904B09">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08C62E7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2F645F77">
                  <w:pPr>
                    <w:snapToGrid w:val="0"/>
                    <w:jc w:val="center"/>
                    <w:rPr>
                      <w:rFonts w:hint="eastAsia" w:cs="宋体"/>
                      <w:b w:val="0"/>
                      <w:smallCaps w:val="0"/>
                      <w:color w:val="auto"/>
                      <w:szCs w:val="21"/>
                      <w:highlight w:val="none"/>
                      <w:lang w:val="en-US" w:eastAsia="zh-CN"/>
                    </w:rPr>
                  </w:pPr>
                </w:p>
              </w:tc>
              <w:tc>
                <w:tcPr>
                  <w:tcW w:w="1436" w:type="pct"/>
                  <w:noWrap w:val="0"/>
                  <w:vAlign w:val="center"/>
                </w:tcPr>
                <w:p w14:paraId="00FD7733">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总重量（t/a）</w:t>
                  </w:r>
                </w:p>
              </w:tc>
              <w:tc>
                <w:tcPr>
                  <w:tcW w:w="473" w:type="pct"/>
                  <w:noWrap w:val="0"/>
                  <w:vAlign w:val="center"/>
                </w:tcPr>
                <w:p w14:paraId="23A7CF10">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90</w:t>
                  </w:r>
                </w:p>
              </w:tc>
              <w:tc>
                <w:tcPr>
                  <w:tcW w:w="473" w:type="pct"/>
                  <w:noWrap w:val="0"/>
                  <w:vAlign w:val="center"/>
                </w:tcPr>
                <w:p w14:paraId="38F153D8">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90</w:t>
                  </w:r>
                </w:p>
              </w:tc>
              <w:tc>
                <w:tcPr>
                  <w:tcW w:w="487" w:type="pct"/>
                  <w:vMerge w:val="continue"/>
                  <w:noWrap w:val="0"/>
                  <w:vAlign w:val="center"/>
                </w:tcPr>
                <w:p w14:paraId="7F828C24">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46EF824F">
                  <w:pPr>
                    <w:snapToGrid w:val="0"/>
                    <w:jc w:val="center"/>
                    <w:rPr>
                      <w:rFonts w:hint="eastAsia"/>
                      <w:b w:val="0"/>
                      <w:smallCaps w:val="0"/>
                      <w:color w:val="auto"/>
                      <w:szCs w:val="21"/>
                      <w:highlight w:val="none"/>
                      <w:lang w:val="en-US" w:eastAsia="zh-CN"/>
                    </w:rPr>
                  </w:pPr>
                </w:p>
              </w:tc>
            </w:tr>
            <w:tr w14:paraId="7A0E9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1D47E796">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3CC37ECD">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3E12FEC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restart"/>
                  <w:noWrap w:val="0"/>
                  <w:vAlign w:val="center"/>
                </w:tcPr>
                <w:p w14:paraId="743C7E78">
                  <w:pPr>
                    <w:tabs>
                      <w:tab w:val="left" w:pos="566"/>
                    </w:tabs>
                    <w:snapToGrid w:val="0"/>
                    <w:jc w:val="center"/>
                    <w:rPr>
                      <w:rFonts w:hint="eastAsia" w:cs="宋体"/>
                      <w:b w:val="0"/>
                      <w:smallCaps w:val="0"/>
                      <w:color w:val="auto"/>
                      <w:szCs w:val="21"/>
                      <w:highlight w:val="none"/>
                      <w:lang w:val="en-US" w:eastAsia="zh-CN"/>
                    </w:rPr>
                  </w:pPr>
                  <w:r>
                    <w:rPr>
                      <w:rFonts w:hint="eastAsia" w:ascii="Times New Roman" w:hAnsi="Times New Roman" w:eastAsia="宋体" w:cs="宋体"/>
                      <w:b w:val="0"/>
                      <w:smallCaps w:val="0"/>
                      <w:color w:val="auto"/>
                      <w:szCs w:val="21"/>
                      <w:highlight w:val="none"/>
                      <w:lang w:val="en-US" w:eastAsia="zh-CN"/>
                    </w:rPr>
                    <w:t>医疗器械配套压铸件</w:t>
                  </w:r>
                </w:p>
              </w:tc>
              <w:tc>
                <w:tcPr>
                  <w:tcW w:w="1436" w:type="pct"/>
                  <w:noWrap w:val="0"/>
                  <w:vAlign w:val="center"/>
                </w:tcPr>
                <w:p w14:paraId="317EC5A9">
                  <w:pPr>
                    <w:snapToGrid w:val="0"/>
                    <w:jc w:val="center"/>
                    <w:rPr>
                      <w:rFonts w:hint="eastAsia"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数量（</w:t>
                  </w:r>
                  <w:r>
                    <w:rPr>
                      <w:rFonts w:hint="eastAsia" w:ascii="Times New Roman" w:hAnsi="Times New Roman" w:eastAsia="宋体"/>
                      <w:b w:val="0"/>
                      <w:smallCaps w:val="0"/>
                      <w:color w:val="auto"/>
                      <w:szCs w:val="21"/>
                      <w:highlight w:val="none"/>
                      <w:lang w:val="en-US" w:eastAsia="zh-CN"/>
                    </w:rPr>
                    <w:t>万件/年</w:t>
                  </w:r>
                  <w:r>
                    <w:rPr>
                      <w:rFonts w:hint="eastAsia" w:cs="宋体"/>
                      <w:b w:val="0"/>
                      <w:smallCaps w:val="0"/>
                      <w:color w:val="auto"/>
                      <w:szCs w:val="21"/>
                      <w:highlight w:val="none"/>
                      <w:lang w:val="en-US" w:eastAsia="zh-CN"/>
                    </w:rPr>
                    <w:t>）</w:t>
                  </w:r>
                </w:p>
              </w:tc>
              <w:tc>
                <w:tcPr>
                  <w:tcW w:w="473" w:type="pct"/>
                  <w:noWrap w:val="0"/>
                  <w:vAlign w:val="center"/>
                </w:tcPr>
                <w:p w14:paraId="5CCE627F">
                  <w:pPr>
                    <w:snapToGrid w:val="0"/>
                    <w:jc w:val="center"/>
                    <w:rPr>
                      <w:rFonts w:hint="eastAsia" w:ascii="Times New Roman" w:hAnsi="Times New Roman" w:eastAsia="宋体"/>
                      <w:b w:val="0"/>
                      <w:smallCaps w:val="0"/>
                      <w:color w:val="auto"/>
                      <w:szCs w:val="21"/>
                      <w:highlight w:val="none"/>
                      <w:lang w:val="en-US" w:eastAsia="zh-CN"/>
                    </w:rPr>
                  </w:pPr>
                  <w:r>
                    <w:rPr>
                      <w:rFonts w:hint="eastAsia"/>
                      <w:b w:val="0"/>
                      <w:smallCaps w:val="0"/>
                      <w:color w:val="auto"/>
                      <w:szCs w:val="21"/>
                      <w:highlight w:val="none"/>
                      <w:lang w:val="en-US" w:eastAsia="zh-CN"/>
                    </w:rPr>
                    <w:t>5</w:t>
                  </w:r>
                  <w:r>
                    <w:rPr>
                      <w:rFonts w:hint="eastAsia" w:ascii="Times New Roman" w:hAnsi="Times New Roman" w:eastAsia="宋体"/>
                      <w:b w:val="0"/>
                      <w:smallCaps w:val="0"/>
                      <w:color w:val="auto"/>
                      <w:szCs w:val="21"/>
                      <w:highlight w:val="none"/>
                      <w:lang w:val="en-US" w:eastAsia="zh-CN"/>
                    </w:rPr>
                    <w:t>0</w:t>
                  </w:r>
                </w:p>
              </w:tc>
              <w:tc>
                <w:tcPr>
                  <w:tcW w:w="473" w:type="pct"/>
                  <w:noWrap w:val="0"/>
                  <w:vAlign w:val="center"/>
                </w:tcPr>
                <w:p w14:paraId="24DE571D">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25</w:t>
                  </w:r>
                </w:p>
              </w:tc>
              <w:tc>
                <w:tcPr>
                  <w:tcW w:w="487" w:type="pct"/>
                  <w:vMerge w:val="restart"/>
                  <w:noWrap w:val="0"/>
                  <w:vAlign w:val="center"/>
                </w:tcPr>
                <w:p w14:paraId="010BC33D">
                  <w:pPr>
                    <w:snapToGrid w:val="0"/>
                    <w:jc w:val="center"/>
                    <w:rPr>
                      <w:rFonts w:hint="eastAsia"/>
                      <w:b w:val="0"/>
                      <w:smallCaps w:val="0"/>
                      <w:color w:val="auto"/>
                      <w:szCs w:val="21"/>
                      <w:highlight w:val="none"/>
                      <w:lang w:val="en-US" w:eastAsia="zh-CN"/>
                    </w:rPr>
                  </w:pPr>
                  <w:r>
                    <w:rPr>
                      <w:rFonts w:hint="eastAsia"/>
                      <w:b w:val="0"/>
                      <w:smallCaps w:val="0"/>
                      <w:color w:val="auto"/>
                      <w:szCs w:val="21"/>
                      <w:highlight w:val="none"/>
                      <w:lang w:val="en-US" w:eastAsia="zh-CN"/>
                    </w:rPr>
                    <w:t>总重</w:t>
                  </w:r>
                </w:p>
                <w:p w14:paraId="04386C3A">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不变</w:t>
                  </w:r>
                </w:p>
              </w:tc>
              <w:tc>
                <w:tcPr>
                  <w:tcW w:w="349" w:type="pct"/>
                  <w:vMerge w:val="continue"/>
                  <w:noWrap w:val="0"/>
                  <w:vAlign w:val="center"/>
                </w:tcPr>
                <w:p w14:paraId="01C70CEE">
                  <w:pPr>
                    <w:snapToGrid w:val="0"/>
                    <w:jc w:val="center"/>
                    <w:rPr>
                      <w:rFonts w:hint="eastAsia"/>
                      <w:b w:val="0"/>
                      <w:smallCaps w:val="0"/>
                      <w:color w:val="auto"/>
                      <w:szCs w:val="21"/>
                      <w:highlight w:val="none"/>
                      <w:lang w:val="en-US" w:eastAsia="zh-CN"/>
                    </w:rPr>
                  </w:pPr>
                </w:p>
              </w:tc>
            </w:tr>
            <w:tr w14:paraId="11E4D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056F5C0D">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2EEDC97D">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39B3EC7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66DBD883">
                  <w:pPr>
                    <w:tabs>
                      <w:tab w:val="left" w:pos="566"/>
                    </w:tabs>
                    <w:snapToGrid w:val="0"/>
                    <w:jc w:val="center"/>
                    <w:rPr>
                      <w:rFonts w:hint="eastAsia" w:ascii="Times New Roman" w:hAnsi="Times New Roman" w:eastAsia="宋体" w:cs="宋体"/>
                      <w:b w:val="0"/>
                      <w:smallCaps w:val="0"/>
                      <w:color w:val="auto"/>
                      <w:szCs w:val="21"/>
                      <w:highlight w:val="none"/>
                      <w:lang w:val="en-US" w:eastAsia="zh-CN"/>
                    </w:rPr>
                  </w:pPr>
                </w:p>
              </w:tc>
              <w:tc>
                <w:tcPr>
                  <w:tcW w:w="1436" w:type="pct"/>
                  <w:noWrap w:val="0"/>
                  <w:vAlign w:val="center"/>
                </w:tcPr>
                <w:p w14:paraId="27D5FD62">
                  <w:pPr>
                    <w:snapToGrid w:val="0"/>
                    <w:jc w:val="center"/>
                    <w:rPr>
                      <w:rFonts w:hint="eastAsia"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单位产品重量（t/万件）</w:t>
                  </w:r>
                </w:p>
              </w:tc>
              <w:tc>
                <w:tcPr>
                  <w:tcW w:w="473" w:type="pct"/>
                  <w:noWrap w:val="0"/>
                  <w:vAlign w:val="center"/>
                </w:tcPr>
                <w:p w14:paraId="2BBD3993">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0.2</w:t>
                  </w:r>
                </w:p>
              </w:tc>
              <w:tc>
                <w:tcPr>
                  <w:tcW w:w="473" w:type="pct"/>
                  <w:noWrap w:val="0"/>
                  <w:vAlign w:val="center"/>
                </w:tcPr>
                <w:p w14:paraId="158E6B00">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0.4</w:t>
                  </w:r>
                </w:p>
              </w:tc>
              <w:tc>
                <w:tcPr>
                  <w:tcW w:w="487" w:type="pct"/>
                  <w:vMerge w:val="continue"/>
                  <w:noWrap w:val="0"/>
                  <w:vAlign w:val="center"/>
                </w:tcPr>
                <w:p w14:paraId="423A6A96">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6A2E759F">
                  <w:pPr>
                    <w:snapToGrid w:val="0"/>
                    <w:jc w:val="center"/>
                    <w:rPr>
                      <w:rFonts w:hint="eastAsia"/>
                      <w:b w:val="0"/>
                      <w:smallCaps w:val="0"/>
                      <w:color w:val="auto"/>
                      <w:szCs w:val="21"/>
                      <w:highlight w:val="none"/>
                      <w:lang w:val="en-US" w:eastAsia="zh-CN"/>
                    </w:rPr>
                  </w:pPr>
                </w:p>
              </w:tc>
            </w:tr>
            <w:tr w14:paraId="31B62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56F1178D">
                  <w:pPr>
                    <w:snapToGrid w:val="0"/>
                    <w:jc w:val="center"/>
                    <w:rPr>
                      <w:rFonts w:hint="eastAsia" w:ascii="Times New Roman" w:hAnsi="Times New Roman" w:eastAsia="宋体"/>
                      <w:b w:val="0"/>
                      <w:smallCaps w:val="0"/>
                      <w:color w:val="auto"/>
                      <w:szCs w:val="21"/>
                      <w:highlight w:val="none"/>
                    </w:rPr>
                  </w:pPr>
                </w:p>
              </w:tc>
              <w:tc>
                <w:tcPr>
                  <w:tcW w:w="380" w:type="pct"/>
                  <w:vMerge w:val="continue"/>
                  <w:noWrap w:val="0"/>
                  <w:vAlign w:val="center"/>
                </w:tcPr>
                <w:p w14:paraId="6CC8FE60">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vMerge w:val="continue"/>
                  <w:noWrap w:val="0"/>
                  <w:vAlign w:val="center"/>
                </w:tcPr>
                <w:p w14:paraId="7AF81A8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p>
              </w:tc>
              <w:tc>
                <w:tcPr>
                  <w:tcW w:w="585" w:type="pct"/>
                  <w:vMerge w:val="continue"/>
                  <w:noWrap w:val="0"/>
                  <w:vAlign w:val="center"/>
                </w:tcPr>
                <w:p w14:paraId="4D4AE4B5">
                  <w:pPr>
                    <w:tabs>
                      <w:tab w:val="left" w:pos="566"/>
                    </w:tabs>
                    <w:snapToGrid w:val="0"/>
                    <w:jc w:val="center"/>
                    <w:rPr>
                      <w:rFonts w:hint="eastAsia" w:ascii="Times New Roman" w:hAnsi="Times New Roman" w:eastAsia="宋体" w:cs="宋体"/>
                      <w:b w:val="0"/>
                      <w:smallCaps w:val="0"/>
                      <w:color w:val="auto"/>
                      <w:szCs w:val="21"/>
                      <w:highlight w:val="none"/>
                      <w:lang w:val="en-US" w:eastAsia="zh-CN"/>
                    </w:rPr>
                  </w:pPr>
                </w:p>
              </w:tc>
              <w:tc>
                <w:tcPr>
                  <w:tcW w:w="1436" w:type="pct"/>
                  <w:noWrap w:val="0"/>
                  <w:vAlign w:val="center"/>
                </w:tcPr>
                <w:p w14:paraId="71C5BE55">
                  <w:pPr>
                    <w:snapToGrid w:val="0"/>
                    <w:jc w:val="center"/>
                    <w:rPr>
                      <w:rFonts w:hint="eastAsia"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总重量（t/a）</w:t>
                  </w:r>
                </w:p>
              </w:tc>
              <w:tc>
                <w:tcPr>
                  <w:tcW w:w="473" w:type="pct"/>
                  <w:noWrap w:val="0"/>
                  <w:vAlign w:val="center"/>
                </w:tcPr>
                <w:p w14:paraId="20C4FE00">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10</w:t>
                  </w:r>
                </w:p>
              </w:tc>
              <w:tc>
                <w:tcPr>
                  <w:tcW w:w="473" w:type="pct"/>
                  <w:noWrap w:val="0"/>
                  <w:vAlign w:val="center"/>
                </w:tcPr>
                <w:p w14:paraId="4E55CF61">
                  <w:pPr>
                    <w:snapToGrid w:val="0"/>
                    <w:jc w:val="center"/>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10</w:t>
                  </w:r>
                </w:p>
              </w:tc>
              <w:tc>
                <w:tcPr>
                  <w:tcW w:w="487" w:type="pct"/>
                  <w:vMerge w:val="continue"/>
                  <w:noWrap w:val="0"/>
                  <w:vAlign w:val="center"/>
                </w:tcPr>
                <w:p w14:paraId="2D6ADA3D">
                  <w:pPr>
                    <w:snapToGrid w:val="0"/>
                    <w:jc w:val="center"/>
                    <w:rPr>
                      <w:rFonts w:hint="eastAsia"/>
                      <w:b w:val="0"/>
                      <w:smallCaps w:val="0"/>
                      <w:color w:val="auto"/>
                      <w:szCs w:val="21"/>
                      <w:highlight w:val="none"/>
                      <w:lang w:val="en-US" w:eastAsia="zh-CN"/>
                    </w:rPr>
                  </w:pPr>
                </w:p>
              </w:tc>
              <w:tc>
                <w:tcPr>
                  <w:tcW w:w="349" w:type="pct"/>
                  <w:vMerge w:val="continue"/>
                  <w:noWrap w:val="0"/>
                  <w:vAlign w:val="center"/>
                </w:tcPr>
                <w:p w14:paraId="79036121">
                  <w:pPr>
                    <w:snapToGrid w:val="0"/>
                    <w:jc w:val="center"/>
                    <w:rPr>
                      <w:rFonts w:hint="eastAsia"/>
                      <w:b w:val="0"/>
                      <w:smallCaps w:val="0"/>
                      <w:color w:val="auto"/>
                      <w:szCs w:val="21"/>
                      <w:highlight w:val="none"/>
                      <w:lang w:val="en-US" w:eastAsia="zh-CN"/>
                    </w:rPr>
                  </w:pPr>
                </w:p>
              </w:tc>
            </w:tr>
            <w:tr w14:paraId="06FEE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1" w:type="pct"/>
                  <w:vMerge w:val="continue"/>
                  <w:noWrap w:val="0"/>
                  <w:vAlign w:val="center"/>
                </w:tcPr>
                <w:p w14:paraId="04FE3055">
                  <w:pPr>
                    <w:snapToGrid w:val="0"/>
                    <w:jc w:val="center"/>
                    <w:rPr>
                      <w:rFonts w:hint="eastAsia" w:ascii="Times New Roman" w:hAnsi="Times New Roman" w:eastAsia="宋体"/>
                      <w:b w:val="0"/>
                      <w:smallCaps w:val="0"/>
                      <w:color w:val="auto"/>
                      <w:szCs w:val="21"/>
                      <w:highlight w:val="none"/>
                      <w:lang w:val="en-US" w:eastAsia="zh-CN"/>
                    </w:rPr>
                  </w:pPr>
                </w:p>
              </w:tc>
              <w:tc>
                <w:tcPr>
                  <w:tcW w:w="380" w:type="pct"/>
                  <w:vMerge w:val="continue"/>
                  <w:noWrap w:val="0"/>
                  <w:vAlign w:val="center"/>
                </w:tcPr>
                <w:p w14:paraId="74262042">
                  <w:pPr>
                    <w:pStyle w:val="59"/>
                    <w:autoSpaceDE w:val="0"/>
                    <w:autoSpaceDN w:val="0"/>
                    <w:snapToGrid w:val="0"/>
                    <w:jc w:val="center"/>
                    <w:rPr>
                      <w:rFonts w:hint="eastAsia" w:ascii="Times New Roman" w:hAnsi="Times New Roman" w:eastAsia="宋体" w:cs="宋体"/>
                      <w:b w:val="0"/>
                      <w:smallCaps w:val="0"/>
                      <w:color w:val="auto"/>
                      <w:szCs w:val="21"/>
                      <w:highlight w:val="none"/>
                      <w:lang w:val="en-US" w:eastAsia="zh-CN"/>
                    </w:rPr>
                  </w:pPr>
                </w:p>
              </w:tc>
              <w:tc>
                <w:tcPr>
                  <w:tcW w:w="623" w:type="pct"/>
                  <w:noWrap w:val="0"/>
                  <w:vAlign w:val="center"/>
                </w:tcPr>
                <w:p w14:paraId="2F717032">
                  <w:pPr>
                    <w:snapToGrid w:val="0"/>
                    <w:jc w:val="center"/>
                    <w:rPr>
                      <w:rFonts w:hint="default" w:ascii="Times New Roman" w:hAnsi="Times New Roman" w:eastAsia="宋体"/>
                      <w:b w:val="0"/>
                      <w:snapToGrid w:val="0"/>
                      <w:color w:val="auto"/>
                      <w:kern w:val="0"/>
                      <w:highlight w:val="none"/>
                      <w:lang w:val="en-US" w:eastAsia="zh-CN"/>
                    </w:rPr>
                  </w:pPr>
                  <w:r>
                    <w:rPr>
                      <w:rFonts w:hint="eastAsia"/>
                      <w:b w:val="0"/>
                      <w:snapToGrid w:val="0"/>
                      <w:color w:val="auto"/>
                      <w:kern w:val="0"/>
                      <w:highlight w:val="none"/>
                      <w:lang w:val="en-US" w:eastAsia="zh-CN"/>
                    </w:rPr>
                    <w:t>注塑件</w:t>
                  </w:r>
                </w:p>
              </w:tc>
              <w:tc>
                <w:tcPr>
                  <w:tcW w:w="585" w:type="pct"/>
                  <w:noWrap w:val="0"/>
                  <w:vAlign w:val="center"/>
                </w:tcPr>
                <w:p w14:paraId="4B67A5A8">
                  <w:pPr>
                    <w:snapToGrid w:val="0"/>
                    <w:jc w:val="center"/>
                    <w:rPr>
                      <w:rFonts w:hint="eastAsia" w:ascii="Times New Roman" w:hAnsi="Times New Roman" w:eastAsia="宋体" w:cs="宋体"/>
                      <w:b w:val="0"/>
                      <w:smallCaps w:val="0"/>
                      <w:color w:val="auto"/>
                      <w:szCs w:val="21"/>
                      <w:highlight w:val="none"/>
                      <w:lang w:val="en-US" w:eastAsia="zh-CN"/>
                    </w:rPr>
                  </w:pPr>
                  <w:r>
                    <w:rPr>
                      <w:rFonts w:hint="eastAsia" w:cs="宋体"/>
                      <w:b w:val="0"/>
                      <w:smallCaps w:val="0"/>
                      <w:color w:val="auto"/>
                      <w:szCs w:val="21"/>
                      <w:highlight w:val="none"/>
                      <w:lang w:val="en-US" w:eastAsia="zh-CN"/>
                    </w:rPr>
                    <w:t>定制</w:t>
                  </w:r>
                </w:p>
              </w:tc>
              <w:tc>
                <w:tcPr>
                  <w:tcW w:w="1436" w:type="pct"/>
                  <w:noWrap w:val="0"/>
                  <w:vAlign w:val="center"/>
                </w:tcPr>
                <w:p w14:paraId="7BC07ECF">
                  <w:pPr>
                    <w:snapToGrid w:val="0"/>
                    <w:jc w:val="center"/>
                    <w:rPr>
                      <w:rFonts w:hint="eastAsia" w:cs="宋体"/>
                      <w:b w:val="0"/>
                      <w:smallCaps w:val="0"/>
                      <w:color w:val="auto"/>
                      <w:szCs w:val="21"/>
                      <w:highlight w:val="none"/>
                      <w:lang w:val="en-US" w:eastAsia="zh-CN"/>
                    </w:rPr>
                  </w:pPr>
                  <w:r>
                    <w:rPr>
                      <w:rFonts w:hint="eastAsia" w:cs="宋体"/>
                      <w:b w:val="0"/>
                      <w:smallCaps w:val="0"/>
                      <w:color w:val="auto"/>
                      <w:szCs w:val="21"/>
                      <w:highlight w:val="none"/>
                      <w:lang w:val="en-US" w:eastAsia="zh-CN"/>
                    </w:rPr>
                    <w:t>数量（</w:t>
                  </w:r>
                  <w:r>
                    <w:rPr>
                      <w:rFonts w:hint="eastAsia" w:ascii="Times New Roman" w:hAnsi="Times New Roman" w:eastAsia="宋体"/>
                      <w:b w:val="0"/>
                      <w:smallCaps w:val="0"/>
                      <w:color w:val="auto"/>
                      <w:szCs w:val="21"/>
                      <w:highlight w:val="none"/>
                      <w:lang w:val="en-US" w:eastAsia="zh-CN"/>
                    </w:rPr>
                    <w:t>万件/年</w:t>
                  </w:r>
                  <w:r>
                    <w:rPr>
                      <w:rFonts w:hint="eastAsia" w:cs="宋体"/>
                      <w:b w:val="0"/>
                      <w:smallCaps w:val="0"/>
                      <w:color w:val="auto"/>
                      <w:szCs w:val="21"/>
                      <w:highlight w:val="none"/>
                      <w:lang w:val="en-US" w:eastAsia="zh-CN"/>
                    </w:rPr>
                    <w:t>）</w:t>
                  </w:r>
                </w:p>
              </w:tc>
              <w:tc>
                <w:tcPr>
                  <w:tcW w:w="473" w:type="pct"/>
                  <w:noWrap w:val="0"/>
                  <w:vAlign w:val="center"/>
                </w:tcPr>
                <w:p w14:paraId="4397065D">
                  <w:pPr>
                    <w:snapToGrid w:val="0"/>
                    <w:jc w:val="center"/>
                    <w:rPr>
                      <w:rFonts w:hint="eastAsia" w:ascii="Times New Roman" w:hAnsi="Times New Roman" w:eastAsia="宋体"/>
                      <w:b w:val="0"/>
                      <w:smallCaps w:val="0"/>
                      <w:color w:val="auto"/>
                      <w:spacing w:val="-6"/>
                      <w:sz w:val="21"/>
                      <w:szCs w:val="21"/>
                      <w:highlight w:val="none"/>
                      <w:lang w:val="en-US" w:eastAsia="zh-CN"/>
                    </w:rPr>
                  </w:pPr>
                  <w:r>
                    <w:rPr>
                      <w:rFonts w:hint="eastAsia" w:ascii="Times New Roman" w:hAnsi="Times New Roman" w:eastAsia="宋体"/>
                      <w:b w:val="0"/>
                      <w:smallCaps w:val="0"/>
                      <w:color w:val="auto"/>
                      <w:spacing w:val="-6"/>
                      <w:sz w:val="21"/>
                      <w:szCs w:val="21"/>
                      <w:highlight w:val="none"/>
                      <w:lang w:val="en-US" w:eastAsia="zh-CN"/>
                    </w:rPr>
                    <w:t>1000</w:t>
                  </w:r>
                </w:p>
              </w:tc>
              <w:tc>
                <w:tcPr>
                  <w:tcW w:w="473" w:type="pct"/>
                  <w:noWrap w:val="0"/>
                  <w:vAlign w:val="center"/>
                </w:tcPr>
                <w:p w14:paraId="0B5921A8">
                  <w:pPr>
                    <w:snapToGrid w:val="0"/>
                    <w:jc w:val="center"/>
                    <w:rPr>
                      <w:rFonts w:hint="eastAsia" w:ascii="Times New Roman" w:hAnsi="Times New Roman" w:eastAsia="宋体"/>
                      <w:b w:val="0"/>
                      <w:smallCaps w:val="0"/>
                      <w:color w:val="auto"/>
                      <w:spacing w:val="-6"/>
                      <w:sz w:val="21"/>
                      <w:szCs w:val="21"/>
                      <w:highlight w:val="none"/>
                      <w:lang w:val="en-US" w:eastAsia="zh-CN"/>
                    </w:rPr>
                  </w:pPr>
                  <w:r>
                    <w:rPr>
                      <w:rFonts w:hint="eastAsia" w:ascii="Times New Roman" w:hAnsi="Times New Roman" w:eastAsia="宋体"/>
                      <w:b w:val="0"/>
                      <w:smallCaps w:val="0"/>
                      <w:color w:val="auto"/>
                      <w:spacing w:val="-6"/>
                      <w:sz w:val="21"/>
                      <w:szCs w:val="21"/>
                      <w:highlight w:val="none"/>
                      <w:lang w:val="en-US" w:eastAsia="zh-CN"/>
                    </w:rPr>
                    <w:t>1000</w:t>
                  </w:r>
                </w:p>
              </w:tc>
              <w:tc>
                <w:tcPr>
                  <w:tcW w:w="487" w:type="pct"/>
                  <w:noWrap w:val="0"/>
                  <w:vAlign w:val="center"/>
                </w:tcPr>
                <w:p w14:paraId="50CF42B5">
                  <w:pPr>
                    <w:snapToGrid w:val="0"/>
                    <w:jc w:val="center"/>
                    <w:rPr>
                      <w:rFonts w:hint="default" w:ascii="Times New Roman" w:hAnsi="Times New Roman" w:eastAsia="宋体"/>
                      <w:b w:val="0"/>
                      <w:smallCaps w:val="0"/>
                      <w:color w:val="auto"/>
                      <w:szCs w:val="21"/>
                      <w:highlight w:val="none"/>
                      <w:lang w:val="en-US" w:eastAsia="zh-CN"/>
                    </w:rPr>
                  </w:pPr>
                  <w:r>
                    <w:rPr>
                      <w:rFonts w:hint="eastAsia"/>
                      <w:b w:val="0"/>
                      <w:smallCaps w:val="0"/>
                      <w:color w:val="auto"/>
                      <w:szCs w:val="21"/>
                      <w:highlight w:val="none"/>
                      <w:lang w:val="en-US" w:eastAsia="zh-CN"/>
                    </w:rPr>
                    <w:t>0</w:t>
                  </w:r>
                </w:p>
              </w:tc>
              <w:tc>
                <w:tcPr>
                  <w:tcW w:w="349" w:type="pct"/>
                  <w:noWrap w:val="0"/>
                  <w:vAlign w:val="center"/>
                </w:tcPr>
                <w:p w14:paraId="3D1D326D">
                  <w:pPr>
                    <w:snapToGrid w:val="0"/>
                    <w:jc w:val="center"/>
                    <w:rPr>
                      <w:rFonts w:hint="eastAsia" w:ascii="Times New Roman" w:hAnsi="Times New Roman" w:eastAsia="宋体"/>
                      <w:b w:val="0"/>
                      <w:smallCaps w:val="0"/>
                      <w:color w:val="auto"/>
                      <w:szCs w:val="21"/>
                      <w:highlight w:val="none"/>
                      <w:lang w:val="en-US" w:eastAsia="zh-CN"/>
                    </w:rPr>
                  </w:pPr>
                  <w:r>
                    <w:rPr>
                      <w:rFonts w:hint="eastAsia"/>
                      <w:b w:val="0"/>
                      <w:smallCaps w:val="0"/>
                      <w:color w:val="auto"/>
                      <w:szCs w:val="21"/>
                      <w:highlight w:val="none"/>
                      <w:lang w:val="en-US" w:eastAsia="zh-CN"/>
                    </w:rPr>
                    <w:t>48</w:t>
                  </w:r>
                  <w:r>
                    <w:rPr>
                      <w:rFonts w:hint="eastAsia" w:ascii="Times New Roman" w:hAnsi="Times New Roman" w:eastAsia="宋体"/>
                      <w:b w:val="0"/>
                      <w:smallCaps w:val="0"/>
                      <w:color w:val="auto"/>
                      <w:szCs w:val="21"/>
                      <w:highlight w:val="none"/>
                    </w:rPr>
                    <w:t>00h</w:t>
                  </w:r>
                </w:p>
              </w:tc>
            </w:tr>
          </w:tbl>
          <w:p w14:paraId="0F98AC81">
            <w:pPr>
              <w:spacing w:line="360" w:lineRule="auto"/>
              <w:ind w:firstLine="480" w:firstLineChars="200"/>
              <w:rPr>
                <w:rFonts w:ascii="Times New Roman" w:hAnsi="Times New Roman" w:eastAsia="宋体" w:cs="宋体"/>
                <w:b w:val="0"/>
                <w:bCs/>
                <w:color w:val="auto"/>
                <w:sz w:val="24"/>
                <w:highlight w:val="none"/>
              </w:rPr>
            </w:pPr>
            <w:r>
              <w:rPr>
                <w:rFonts w:hint="eastAsia" w:ascii="Times New Roman" w:hAnsi="Times New Roman" w:eastAsia="宋体" w:cs="宋体"/>
                <w:b w:val="0"/>
                <w:bCs/>
                <w:color w:val="auto"/>
                <w:sz w:val="24"/>
                <w:highlight w:val="none"/>
              </w:rPr>
              <w:t>5</w:t>
            </w:r>
            <w:r>
              <w:rPr>
                <w:rFonts w:ascii="Times New Roman" w:hAnsi="Times New Roman" w:eastAsia="宋体" w:cs="宋体"/>
                <w:b w:val="0"/>
                <w:bCs/>
                <w:color w:val="auto"/>
                <w:sz w:val="24"/>
                <w:highlight w:val="none"/>
              </w:rPr>
              <w:t>、</w:t>
            </w:r>
            <w:r>
              <w:rPr>
                <w:rFonts w:hint="eastAsia" w:ascii="Times New Roman" w:hAnsi="Times New Roman" w:eastAsia="宋体" w:cs="宋体"/>
                <w:b w:val="0"/>
                <w:bCs/>
                <w:color w:val="auto"/>
                <w:sz w:val="24"/>
                <w:highlight w:val="none"/>
              </w:rPr>
              <w:t>原辅材料</w:t>
            </w:r>
          </w:p>
          <w:p w14:paraId="51ABB5E9">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 xml:space="preserve">2.1-4  </w:t>
            </w:r>
            <w:r>
              <w:rPr>
                <w:rFonts w:ascii="Times New Roman" w:hAnsi="Times New Roman" w:eastAsia="宋体" w:cs="宋体"/>
                <w:b/>
                <w:bCs w:val="0"/>
                <w:color w:val="auto"/>
                <w:spacing w:val="-4"/>
                <w:szCs w:val="21"/>
                <w:highlight w:val="none"/>
              </w:rPr>
              <w:t>主要原辅材料一览表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5"/>
              <w:gridCol w:w="1030"/>
              <w:gridCol w:w="2021"/>
              <w:gridCol w:w="932"/>
              <w:gridCol w:w="495"/>
              <w:gridCol w:w="652"/>
              <w:gridCol w:w="705"/>
              <w:gridCol w:w="694"/>
              <w:gridCol w:w="652"/>
              <w:gridCol w:w="736"/>
            </w:tblGrid>
            <w:tr w14:paraId="2A574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249" w:type="pct"/>
                  <w:vMerge w:val="restart"/>
                  <w:noWrap w:val="0"/>
                  <w:vAlign w:val="center"/>
                </w:tcPr>
                <w:p w14:paraId="554FE0BC">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序号</w:t>
                  </w:r>
                </w:p>
              </w:tc>
              <w:tc>
                <w:tcPr>
                  <w:tcW w:w="618" w:type="pct"/>
                  <w:vMerge w:val="restart"/>
                  <w:noWrap w:val="0"/>
                  <w:vAlign w:val="center"/>
                </w:tcPr>
                <w:p w14:paraId="1A88624E">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物料名称</w:t>
                  </w:r>
                </w:p>
              </w:tc>
              <w:tc>
                <w:tcPr>
                  <w:tcW w:w="1212" w:type="pct"/>
                  <w:vMerge w:val="restart"/>
                  <w:noWrap w:val="0"/>
                  <w:vAlign w:val="center"/>
                </w:tcPr>
                <w:p w14:paraId="5D14D580">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规格型号，主要组分</w:t>
                  </w:r>
                </w:p>
              </w:tc>
              <w:tc>
                <w:tcPr>
                  <w:tcW w:w="559" w:type="pct"/>
                  <w:vMerge w:val="restart"/>
                  <w:noWrap w:val="0"/>
                  <w:vAlign w:val="center"/>
                </w:tcPr>
                <w:p w14:paraId="2B31498C">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bCs w:val="0"/>
                      <w:smallCaps w:val="0"/>
                      <w:color w:val="auto"/>
                      <w:spacing w:val="-4"/>
                      <w:sz w:val="21"/>
                      <w:szCs w:val="21"/>
                      <w:highlight w:val="none"/>
                      <w:lang w:val="en-US" w:eastAsia="zh-CN"/>
                    </w:rPr>
                  </w:pPr>
                  <w:r>
                    <w:rPr>
                      <w:rFonts w:hint="eastAsia"/>
                      <w:b/>
                      <w:bCs w:val="0"/>
                      <w:smallCaps w:val="0"/>
                      <w:color w:val="auto"/>
                      <w:spacing w:val="-4"/>
                      <w:sz w:val="21"/>
                      <w:szCs w:val="21"/>
                      <w:highlight w:val="none"/>
                      <w:lang w:val="en-US" w:eastAsia="zh-CN"/>
                    </w:rPr>
                    <w:t>包装规格</w:t>
                  </w:r>
                </w:p>
              </w:tc>
              <w:tc>
                <w:tcPr>
                  <w:tcW w:w="297" w:type="pct"/>
                  <w:vMerge w:val="restart"/>
                  <w:noWrap w:val="0"/>
                  <w:vAlign w:val="center"/>
                </w:tcPr>
                <w:p w14:paraId="0F20020D">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单位</w:t>
                  </w:r>
                </w:p>
              </w:tc>
              <w:tc>
                <w:tcPr>
                  <w:tcW w:w="1230" w:type="pct"/>
                  <w:gridSpan w:val="3"/>
                  <w:noWrap w:val="0"/>
                  <w:vAlign w:val="center"/>
                </w:tcPr>
                <w:p w14:paraId="0CA55173">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r>
                    <w:rPr>
                      <w:rFonts w:ascii="Times New Roman" w:hAnsi="Times New Roman" w:eastAsia="宋体"/>
                      <w:b/>
                      <w:bCs w:val="0"/>
                      <w:smallCaps w:val="0"/>
                      <w:color w:val="auto"/>
                      <w:spacing w:val="-4"/>
                      <w:sz w:val="21"/>
                      <w:szCs w:val="21"/>
                      <w:highlight w:val="none"/>
                    </w:rPr>
                    <w:t>年耗量</w:t>
                  </w:r>
                </w:p>
              </w:tc>
              <w:tc>
                <w:tcPr>
                  <w:tcW w:w="391" w:type="pct"/>
                  <w:vMerge w:val="restart"/>
                  <w:noWrap w:val="0"/>
                  <w:vAlign w:val="center"/>
                </w:tcPr>
                <w:p w14:paraId="26052AA3">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r>
                    <w:rPr>
                      <w:rFonts w:ascii="Times New Roman" w:hAnsi="Times New Roman" w:eastAsia="宋体"/>
                      <w:b/>
                      <w:bCs w:val="0"/>
                      <w:smallCaps w:val="0"/>
                      <w:color w:val="auto"/>
                      <w:spacing w:val="-4"/>
                      <w:sz w:val="21"/>
                      <w:szCs w:val="21"/>
                      <w:highlight w:val="none"/>
                    </w:rPr>
                    <w:t>最大</w:t>
                  </w:r>
                </w:p>
                <w:p w14:paraId="382F4404">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存储量</w:t>
                  </w:r>
                </w:p>
              </w:tc>
              <w:tc>
                <w:tcPr>
                  <w:tcW w:w="441" w:type="pct"/>
                  <w:vMerge w:val="restart"/>
                  <w:noWrap w:val="0"/>
                  <w:vAlign w:val="center"/>
                </w:tcPr>
                <w:p w14:paraId="690BBBAE">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pacing w:val="-4"/>
                      <w:sz w:val="21"/>
                      <w:szCs w:val="21"/>
                      <w:highlight w:val="none"/>
                    </w:rPr>
                    <w:t>来源及运输</w:t>
                  </w:r>
                </w:p>
              </w:tc>
            </w:tr>
            <w:tr w14:paraId="13E23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vMerge w:val="continue"/>
                  <w:noWrap w:val="0"/>
                  <w:vAlign w:val="center"/>
                </w:tcPr>
                <w:p w14:paraId="1F20C69A">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c>
                <w:tcPr>
                  <w:tcW w:w="618" w:type="pct"/>
                  <w:vMerge w:val="continue"/>
                  <w:noWrap w:val="0"/>
                  <w:vAlign w:val="center"/>
                </w:tcPr>
                <w:p w14:paraId="13FDE19F">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c>
                <w:tcPr>
                  <w:tcW w:w="1212" w:type="pct"/>
                  <w:vMerge w:val="continue"/>
                  <w:noWrap w:val="0"/>
                  <w:vAlign w:val="center"/>
                </w:tcPr>
                <w:p w14:paraId="144257A3">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c>
                <w:tcPr>
                  <w:tcW w:w="559" w:type="pct"/>
                  <w:vMerge w:val="continue"/>
                  <w:noWrap w:val="0"/>
                  <w:vAlign w:val="center"/>
                </w:tcPr>
                <w:p w14:paraId="2516FFD9">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b/>
                      <w:bCs w:val="0"/>
                      <w:smallCaps w:val="0"/>
                      <w:color w:val="auto"/>
                      <w:spacing w:val="-4"/>
                      <w:sz w:val="21"/>
                      <w:szCs w:val="21"/>
                      <w:highlight w:val="none"/>
                      <w:lang w:val="en-US" w:eastAsia="zh-CN"/>
                    </w:rPr>
                  </w:pPr>
                </w:p>
              </w:tc>
              <w:tc>
                <w:tcPr>
                  <w:tcW w:w="297" w:type="pct"/>
                  <w:vMerge w:val="continue"/>
                  <w:noWrap w:val="0"/>
                  <w:vAlign w:val="center"/>
                </w:tcPr>
                <w:p w14:paraId="41D7D588">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c>
                <w:tcPr>
                  <w:tcW w:w="391" w:type="pct"/>
                  <w:noWrap w:val="0"/>
                  <w:vAlign w:val="center"/>
                </w:tcPr>
                <w:p w14:paraId="465E7BC6">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bCs w:val="0"/>
                      <w:smallCaps w:val="0"/>
                      <w:color w:val="auto"/>
                      <w:spacing w:val="-4"/>
                      <w:sz w:val="21"/>
                      <w:szCs w:val="21"/>
                      <w:highlight w:val="none"/>
                      <w:lang w:val="en-US" w:eastAsia="zh-CN"/>
                    </w:rPr>
                  </w:pPr>
                  <w:r>
                    <w:rPr>
                      <w:rFonts w:hint="eastAsia"/>
                      <w:b/>
                      <w:bCs w:val="0"/>
                      <w:smallCaps w:val="0"/>
                      <w:color w:val="auto"/>
                      <w:spacing w:val="-4"/>
                      <w:sz w:val="21"/>
                      <w:szCs w:val="21"/>
                      <w:highlight w:val="none"/>
                      <w:lang w:val="en-US" w:eastAsia="zh-CN"/>
                    </w:rPr>
                    <w:t>技改前</w:t>
                  </w:r>
                </w:p>
              </w:tc>
              <w:tc>
                <w:tcPr>
                  <w:tcW w:w="423" w:type="pct"/>
                  <w:noWrap w:val="0"/>
                  <w:vAlign w:val="center"/>
                </w:tcPr>
                <w:p w14:paraId="228D7915">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bCs w:val="0"/>
                      <w:smallCaps w:val="0"/>
                      <w:color w:val="auto"/>
                      <w:spacing w:val="-4"/>
                      <w:sz w:val="21"/>
                      <w:szCs w:val="21"/>
                      <w:highlight w:val="none"/>
                      <w:lang w:val="en-US" w:eastAsia="zh-CN"/>
                    </w:rPr>
                  </w:pPr>
                  <w:r>
                    <w:rPr>
                      <w:rFonts w:hint="eastAsia"/>
                      <w:b/>
                      <w:bCs w:val="0"/>
                      <w:smallCaps w:val="0"/>
                      <w:color w:val="auto"/>
                      <w:spacing w:val="-4"/>
                      <w:sz w:val="21"/>
                      <w:szCs w:val="21"/>
                      <w:highlight w:val="none"/>
                      <w:lang w:val="en-US" w:eastAsia="zh-CN"/>
                    </w:rPr>
                    <w:t>技改后</w:t>
                  </w:r>
                </w:p>
              </w:tc>
              <w:tc>
                <w:tcPr>
                  <w:tcW w:w="416" w:type="pct"/>
                  <w:noWrap w:val="0"/>
                  <w:vAlign w:val="center"/>
                </w:tcPr>
                <w:p w14:paraId="1CB65B6D">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bCs w:val="0"/>
                      <w:smallCaps w:val="0"/>
                      <w:color w:val="auto"/>
                      <w:spacing w:val="-4"/>
                      <w:sz w:val="21"/>
                      <w:szCs w:val="21"/>
                      <w:highlight w:val="none"/>
                      <w:lang w:val="en-US" w:eastAsia="zh-CN"/>
                    </w:rPr>
                  </w:pPr>
                  <w:r>
                    <w:rPr>
                      <w:rFonts w:hint="eastAsia"/>
                      <w:b/>
                      <w:bCs w:val="0"/>
                      <w:smallCaps w:val="0"/>
                      <w:color w:val="auto"/>
                      <w:spacing w:val="-4"/>
                      <w:sz w:val="21"/>
                      <w:szCs w:val="21"/>
                      <w:highlight w:val="none"/>
                      <w:lang w:val="en-US" w:eastAsia="zh-CN"/>
                    </w:rPr>
                    <w:t>变化量</w:t>
                  </w:r>
                </w:p>
              </w:tc>
              <w:tc>
                <w:tcPr>
                  <w:tcW w:w="391" w:type="pct"/>
                  <w:vMerge w:val="continue"/>
                  <w:noWrap w:val="0"/>
                  <w:vAlign w:val="center"/>
                </w:tcPr>
                <w:p w14:paraId="6B90F430">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c>
                <w:tcPr>
                  <w:tcW w:w="441" w:type="pct"/>
                  <w:vMerge w:val="continue"/>
                  <w:noWrap w:val="0"/>
                  <w:vAlign w:val="center"/>
                </w:tcPr>
                <w:p w14:paraId="5D39F8F4">
                  <w:pPr>
                    <w:keepNext w:val="0"/>
                    <w:keepLines w:val="0"/>
                    <w:pageBreakBefore w:val="0"/>
                    <w:widowControl w:val="0"/>
                    <w:tabs>
                      <w:tab w:val="left" w:pos="960"/>
                    </w:tabs>
                    <w:kinsoku/>
                    <w:wordWrap/>
                    <w:overflowPunct/>
                    <w:topLinePunct w:val="0"/>
                    <w:autoSpaceDE/>
                    <w:autoSpaceDN/>
                    <w:bidi w:val="0"/>
                    <w:adjustRightInd/>
                    <w:snapToGrid w:val="0"/>
                    <w:spacing w:line="260" w:lineRule="exact"/>
                    <w:jc w:val="center"/>
                    <w:textAlignment w:val="auto"/>
                    <w:rPr>
                      <w:rFonts w:ascii="Times New Roman" w:hAnsi="Times New Roman" w:eastAsia="宋体"/>
                      <w:b/>
                      <w:bCs w:val="0"/>
                      <w:smallCaps w:val="0"/>
                      <w:color w:val="auto"/>
                      <w:spacing w:val="-4"/>
                      <w:sz w:val="21"/>
                      <w:szCs w:val="21"/>
                      <w:highlight w:val="none"/>
                    </w:rPr>
                  </w:pPr>
                </w:p>
              </w:tc>
            </w:tr>
            <w:tr w14:paraId="14D1A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0E10F96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rPr>
                    <w:t>1</w:t>
                  </w:r>
                </w:p>
              </w:tc>
              <w:tc>
                <w:tcPr>
                  <w:tcW w:w="618" w:type="pct"/>
                  <w:noWrap w:val="0"/>
                  <w:vAlign w:val="center"/>
                </w:tcPr>
                <w:p w14:paraId="552E0BC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 w:val="21"/>
                      <w:szCs w:val="21"/>
                      <w:lang w:val="en-US" w:eastAsia="zh-CN"/>
                    </w:rPr>
                    <w:t>铝锭</w:t>
                  </w:r>
                </w:p>
              </w:tc>
              <w:tc>
                <w:tcPr>
                  <w:tcW w:w="1212" w:type="pct"/>
                  <w:noWrap w:val="0"/>
                  <w:vAlign w:val="center"/>
                </w:tcPr>
                <w:p w14:paraId="45C8EA9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z w:val="21"/>
                      <w:szCs w:val="21"/>
                      <w:highlight w:val="none"/>
                      <w:lang w:val="en-US" w:eastAsia="zh-CN"/>
                    </w:rPr>
                  </w:pPr>
                  <w:r>
                    <w:rPr>
                      <w:rFonts w:hint="eastAsia" w:cs="Times New Roman"/>
                      <w:b w:val="0"/>
                      <w:smallCaps w:val="0"/>
                      <w:color w:val="auto"/>
                      <w:sz w:val="21"/>
                      <w:szCs w:val="21"/>
                      <w:highlight w:val="none"/>
                      <w:lang w:val="en-US" w:eastAsia="zh-CN"/>
                    </w:rPr>
                    <w:t>Si10.82、Fe0.919、Cu1.59、Mn0.153、Mg0.163、Zn0.956，其余为Al，不含F</w:t>
                  </w:r>
                </w:p>
              </w:tc>
              <w:tc>
                <w:tcPr>
                  <w:tcW w:w="559" w:type="pct"/>
                  <w:noWrap w:val="0"/>
                  <w:vAlign w:val="center"/>
                </w:tcPr>
                <w:p w14:paraId="267BF0A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val="0"/>
                      <w:color w:val="auto"/>
                      <w:spacing w:val="-4"/>
                      <w:kern w:val="2"/>
                      <w:sz w:val="21"/>
                      <w:szCs w:val="21"/>
                      <w:lang w:val="en-US" w:eastAsia="zh-CN"/>
                    </w:rPr>
                  </w:pPr>
                  <w:r>
                    <w:rPr>
                      <w:rFonts w:hint="eastAsia"/>
                      <w:b w:val="0"/>
                      <w:color w:val="auto"/>
                      <w:spacing w:val="-4"/>
                      <w:kern w:val="2"/>
                      <w:sz w:val="21"/>
                      <w:szCs w:val="21"/>
                      <w:lang w:val="en-US" w:eastAsia="zh-CN"/>
                    </w:rPr>
                    <w:t>堆存</w:t>
                  </w:r>
                </w:p>
              </w:tc>
              <w:tc>
                <w:tcPr>
                  <w:tcW w:w="297" w:type="pct"/>
                  <w:noWrap w:val="0"/>
                  <w:vAlign w:val="center"/>
                </w:tcPr>
                <w:p w14:paraId="69B2890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z w:val="21"/>
                      <w:szCs w:val="21"/>
                      <w:highlight w:val="none"/>
                    </w:rPr>
                  </w:pPr>
                  <w:r>
                    <w:rPr>
                      <w:rFonts w:hint="eastAsia" w:ascii="Times New Roman" w:hAnsi="Times New Roman" w:eastAsia="宋体"/>
                      <w:b w:val="0"/>
                      <w:smallCaps w:val="0"/>
                      <w:color w:val="auto"/>
                      <w:spacing w:val="-4"/>
                      <w:sz w:val="21"/>
                      <w:szCs w:val="21"/>
                      <w:highlight w:val="none"/>
                      <w:lang w:val="en-US" w:eastAsia="zh-CN"/>
                    </w:rPr>
                    <w:t>t</w:t>
                  </w:r>
                </w:p>
              </w:tc>
              <w:tc>
                <w:tcPr>
                  <w:tcW w:w="391" w:type="pct"/>
                  <w:noWrap w:val="0"/>
                  <w:vAlign w:val="center"/>
                </w:tcPr>
                <w:p w14:paraId="11C3AA7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z w:val="21"/>
                      <w:szCs w:val="21"/>
                      <w:highlight w:val="none"/>
                      <w:lang w:val="en-US"/>
                    </w:rPr>
                  </w:pPr>
                  <w:r>
                    <w:rPr>
                      <w:rFonts w:hint="eastAsia"/>
                      <w:b w:val="0"/>
                      <w:smallCaps w:val="0"/>
                      <w:color w:val="auto"/>
                      <w:spacing w:val="-4"/>
                      <w:sz w:val="21"/>
                      <w:szCs w:val="21"/>
                      <w:highlight w:val="none"/>
                      <w:lang w:val="en-US" w:eastAsia="zh-CN"/>
                    </w:rPr>
                    <w:t>600</w:t>
                  </w:r>
                </w:p>
              </w:tc>
              <w:tc>
                <w:tcPr>
                  <w:tcW w:w="423" w:type="pct"/>
                  <w:noWrap w:val="0"/>
                  <w:vAlign w:val="center"/>
                </w:tcPr>
                <w:p w14:paraId="778F0BB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b w:val="0"/>
                      <w:smallCaps w:val="0"/>
                      <w:color w:val="auto"/>
                      <w:spacing w:val="-4"/>
                      <w:sz w:val="21"/>
                      <w:szCs w:val="21"/>
                      <w:highlight w:val="none"/>
                      <w:lang w:val="en-US" w:eastAsia="zh-CN"/>
                    </w:rPr>
                  </w:pPr>
                  <w:r>
                    <w:rPr>
                      <w:rFonts w:hint="eastAsia"/>
                      <w:b w:val="0"/>
                      <w:smallCaps w:val="0"/>
                      <w:color w:val="auto"/>
                      <w:spacing w:val="-4"/>
                      <w:sz w:val="21"/>
                      <w:szCs w:val="21"/>
                      <w:highlight w:val="none"/>
                      <w:lang w:val="en-US" w:eastAsia="zh-CN"/>
                    </w:rPr>
                    <w:t>600</w:t>
                  </w:r>
                </w:p>
              </w:tc>
              <w:tc>
                <w:tcPr>
                  <w:tcW w:w="416" w:type="pct"/>
                  <w:noWrap w:val="0"/>
                  <w:vAlign w:val="center"/>
                </w:tcPr>
                <w:p w14:paraId="556EE4C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b w:val="0"/>
                      <w:smallCaps w:val="0"/>
                      <w:color w:val="auto"/>
                      <w:spacing w:val="-4"/>
                      <w:sz w:val="21"/>
                      <w:szCs w:val="21"/>
                      <w:highlight w:val="none"/>
                      <w:lang w:val="en-US" w:eastAsia="zh-CN"/>
                    </w:rPr>
                  </w:pPr>
                  <w:r>
                    <w:rPr>
                      <w:rFonts w:hint="eastAsia"/>
                      <w:b w:val="0"/>
                      <w:smallCaps w:val="0"/>
                      <w:color w:val="auto"/>
                      <w:spacing w:val="-4"/>
                      <w:sz w:val="21"/>
                      <w:szCs w:val="21"/>
                      <w:highlight w:val="none"/>
                      <w:lang w:val="en-US" w:eastAsia="zh-CN"/>
                    </w:rPr>
                    <w:t>0</w:t>
                  </w:r>
                </w:p>
              </w:tc>
              <w:tc>
                <w:tcPr>
                  <w:tcW w:w="391" w:type="pct"/>
                  <w:noWrap w:val="0"/>
                  <w:vAlign w:val="center"/>
                </w:tcPr>
                <w:p w14:paraId="0B64639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z w:val="21"/>
                      <w:szCs w:val="21"/>
                      <w:highlight w:val="none"/>
                      <w:lang w:val="en-US" w:eastAsia="zh-CN"/>
                    </w:rPr>
                  </w:pPr>
                  <w:r>
                    <w:rPr>
                      <w:rFonts w:hint="eastAsia" w:cs="Times New Roman"/>
                      <w:b w:val="0"/>
                      <w:smallCaps w:val="0"/>
                      <w:color w:val="auto"/>
                      <w:sz w:val="21"/>
                      <w:szCs w:val="21"/>
                      <w:highlight w:val="none"/>
                      <w:lang w:val="en-US" w:eastAsia="zh-CN"/>
                    </w:rPr>
                    <w:t>30</w:t>
                  </w:r>
                </w:p>
              </w:tc>
              <w:tc>
                <w:tcPr>
                  <w:tcW w:w="441" w:type="pct"/>
                  <w:noWrap w:val="0"/>
                  <w:vAlign w:val="center"/>
                </w:tcPr>
                <w:p w14:paraId="46D8AA3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z w:val="21"/>
                      <w:szCs w:val="21"/>
                      <w:highlight w:val="none"/>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45517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53F9E33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rPr>
                    <w:t>2</w:t>
                  </w:r>
                </w:p>
              </w:tc>
              <w:tc>
                <w:tcPr>
                  <w:tcW w:w="618" w:type="pct"/>
                  <w:shd w:val="clear" w:color="auto" w:fill="auto"/>
                  <w:noWrap w:val="0"/>
                  <w:vAlign w:val="center"/>
                </w:tcPr>
                <w:p w14:paraId="56971DD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cs="宋体"/>
                      <w:b w:val="0"/>
                      <w:color w:val="auto"/>
                      <w:spacing w:val="-4"/>
                      <w:kern w:val="2"/>
                      <w:sz w:val="21"/>
                      <w:szCs w:val="21"/>
                      <w:lang w:val="en-US" w:eastAsia="zh-CN" w:bidi="ar-SA"/>
                    </w:rPr>
                    <w:t>除渣剂</w:t>
                  </w:r>
                </w:p>
              </w:tc>
              <w:tc>
                <w:tcPr>
                  <w:tcW w:w="1212" w:type="pct"/>
                  <w:shd w:val="clear" w:color="auto" w:fill="auto"/>
                  <w:noWrap w:val="0"/>
                  <w:vAlign w:val="center"/>
                </w:tcPr>
                <w:p w14:paraId="610872D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SiO</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：68%；Al</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O</w:t>
                  </w:r>
                  <w:r>
                    <w:rPr>
                      <w:rFonts w:hint="eastAsia" w:ascii="Times New Roman" w:hAnsi="Times New Roman" w:eastAsia="宋体" w:cs="宋体"/>
                      <w:b w:val="0"/>
                      <w:color w:val="auto"/>
                      <w:kern w:val="2"/>
                      <w:sz w:val="21"/>
                      <w:szCs w:val="21"/>
                      <w:vertAlign w:val="subscript"/>
                      <w:lang w:val="en-US" w:eastAsia="zh-CN" w:bidi="ar-SA"/>
                    </w:rPr>
                    <w:t>3</w:t>
                  </w:r>
                  <w:r>
                    <w:rPr>
                      <w:rFonts w:hint="eastAsia" w:ascii="Times New Roman" w:hAnsi="Times New Roman" w:eastAsia="宋体" w:cs="宋体"/>
                      <w:b w:val="0"/>
                      <w:color w:val="auto"/>
                      <w:kern w:val="2"/>
                      <w:sz w:val="21"/>
                      <w:szCs w:val="21"/>
                      <w:lang w:val="en-US" w:eastAsia="zh-CN" w:bidi="ar-SA"/>
                    </w:rPr>
                    <w:t>：12.9%；MgO：19.1%</w:t>
                  </w:r>
                </w:p>
              </w:tc>
              <w:tc>
                <w:tcPr>
                  <w:tcW w:w="559" w:type="pct"/>
                  <w:shd w:val="clear" w:color="auto" w:fill="auto"/>
                  <w:noWrap w:val="0"/>
                  <w:vAlign w:val="center"/>
                </w:tcPr>
                <w:p w14:paraId="7E6B8ED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b w:val="0"/>
                      <w:smallCaps w:val="0"/>
                      <w:color w:val="auto"/>
                      <w:spacing w:val="-4"/>
                      <w:szCs w:val="21"/>
                      <w:highlight w:val="none"/>
                    </w:rPr>
                    <w:t>2</w:t>
                  </w:r>
                  <w:r>
                    <w:rPr>
                      <w:rFonts w:hint="eastAsia" w:ascii="Times New Roman" w:hAnsi="Times New Roman" w:eastAsia="宋体"/>
                      <w:b w:val="0"/>
                      <w:smallCaps w:val="0"/>
                      <w:color w:val="auto"/>
                      <w:spacing w:val="-4"/>
                      <w:szCs w:val="21"/>
                      <w:highlight w:val="none"/>
                      <w:lang w:val="en-US" w:eastAsia="zh-CN"/>
                    </w:rPr>
                    <w:t>0</w:t>
                  </w:r>
                  <w:r>
                    <w:rPr>
                      <w:rFonts w:hint="eastAsia" w:ascii="Times New Roman" w:hAnsi="Times New Roman" w:eastAsia="宋体"/>
                      <w:b w:val="0"/>
                      <w:smallCaps w:val="0"/>
                      <w:color w:val="auto"/>
                      <w:spacing w:val="-4"/>
                      <w:szCs w:val="21"/>
                      <w:highlight w:val="none"/>
                    </w:rPr>
                    <w:t>kg/</w:t>
                  </w:r>
                  <w:r>
                    <w:rPr>
                      <w:rFonts w:hint="eastAsia"/>
                      <w:b w:val="0"/>
                      <w:smallCaps w:val="0"/>
                      <w:color w:val="auto"/>
                      <w:spacing w:val="-4"/>
                      <w:szCs w:val="21"/>
                      <w:highlight w:val="none"/>
                      <w:lang w:val="en-US" w:eastAsia="zh-CN"/>
                    </w:rPr>
                    <w:t>袋</w:t>
                  </w:r>
                </w:p>
              </w:tc>
              <w:tc>
                <w:tcPr>
                  <w:tcW w:w="297" w:type="pct"/>
                  <w:shd w:val="clear" w:color="auto" w:fill="auto"/>
                  <w:noWrap w:val="0"/>
                  <w:vAlign w:val="center"/>
                </w:tcPr>
                <w:p w14:paraId="1746EA0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4480B22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2</w:t>
                  </w:r>
                </w:p>
              </w:tc>
              <w:tc>
                <w:tcPr>
                  <w:tcW w:w="423" w:type="pct"/>
                  <w:shd w:val="clear" w:color="auto" w:fill="auto"/>
                  <w:noWrap w:val="0"/>
                  <w:vAlign w:val="center"/>
                </w:tcPr>
                <w:p w14:paraId="1D4BA8C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2</w:t>
                  </w:r>
                </w:p>
              </w:tc>
              <w:tc>
                <w:tcPr>
                  <w:tcW w:w="416" w:type="pct"/>
                  <w:shd w:val="clear" w:color="auto" w:fill="auto"/>
                  <w:noWrap w:val="0"/>
                  <w:vAlign w:val="center"/>
                </w:tcPr>
                <w:p w14:paraId="598D21A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391" w:type="pct"/>
                  <w:shd w:val="clear" w:color="auto" w:fill="auto"/>
                  <w:noWrap w:val="0"/>
                  <w:vAlign w:val="center"/>
                </w:tcPr>
                <w:p w14:paraId="14FAC28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41" w:type="pct"/>
                  <w:shd w:val="clear" w:color="auto" w:fill="auto"/>
                  <w:noWrap w:val="0"/>
                  <w:vAlign w:val="center"/>
                </w:tcPr>
                <w:p w14:paraId="3FF6EF8C">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342FA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09F7A13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val="0"/>
                      <w:smallCaps w:val="0"/>
                      <w:color w:val="auto"/>
                      <w:spacing w:val="-4"/>
                      <w:sz w:val="21"/>
                      <w:szCs w:val="21"/>
                      <w:highlight w:val="none"/>
                      <w:lang w:val="en-US" w:eastAsia="zh-CN"/>
                    </w:rPr>
                  </w:pPr>
                  <w:r>
                    <w:rPr>
                      <w:rFonts w:hint="eastAsia"/>
                      <w:b w:val="0"/>
                      <w:smallCaps w:val="0"/>
                      <w:color w:val="auto"/>
                      <w:spacing w:val="-4"/>
                      <w:sz w:val="21"/>
                      <w:szCs w:val="21"/>
                      <w:highlight w:val="none"/>
                      <w:lang w:val="en-US" w:eastAsia="zh-CN"/>
                    </w:rPr>
                    <w:t>3</w:t>
                  </w:r>
                </w:p>
              </w:tc>
              <w:tc>
                <w:tcPr>
                  <w:tcW w:w="618" w:type="pct"/>
                  <w:shd w:val="clear" w:color="auto" w:fill="auto"/>
                  <w:noWrap w:val="0"/>
                  <w:vAlign w:val="center"/>
                </w:tcPr>
                <w:p w14:paraId="36BDEA0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cs="宋体"/>
                      <w:b w:val="0"/>
                      <w:color w:val="auto"/>
                      <w:spacing w:val="-4"/>
                      <w:kern w:val="2"/>
                      <w:sz w:val="21"/>
                      <w:szCs w:val="21"/>
                      <w:lang w:val="en-US" w:eastAsia="zh-CN" w:bidi="ar-SA"/>
                    </w:rPr>
                    <w:t>T800 脱模</w:t>
                  </w:r>
                </w:p>
                <w:p w14:paraId="3FD279F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cs="宋体"/>
                      <w:b w:val="0"/>
                      <w:color w:val="auto"/>
                      <w:spacing w:val="-4"/>
                      <w:kern w:val="2"/>
                      <w:sz w:val="21"/>
                      <w:szCs w:val="21"/>
                      <w:lang w:val="en-US" w:eastAsia="zh-CN" w:bidi="ar-SA"/>
                    </w:rPr>
                    <w:t>涂料粉末</w:t>
                  </w:r>
                </w:p>
              </w:tc>
              <w:tc>
                <w:tcPr>
                  <w:tcW w:w="1212" w:type="pct"/>
                  <w:shd w:val="clear" w:color="auto" w:fill="auto"/>
                  <w:noWrap w:val="0"/>
                  <w:vAlign w:val="center"/>
                </w:tcPr>
                <w:p w14:paraId="07F0DC3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高铝矾土30%、刚玉粉 30%、乙醇 30%、膨润土 3%、松香 2%、添加剂3%、酚醛树脂 2%</w:t>
                  </w:r>
                </w:p>
              </w:tc>
              <w:tc>
                <w:tcPr>
                  <w:tcW w:w="559" w:type="pct"/>
                  <w:shd w:val="clear" w:color="auto" w:fill="auto"/>
                  <w:noWrap w:val="0"/>
                  <w:vAlign w:val="center"/>
                </w:tcPr>
                <w:p w14:paraId="79AFBA5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5kg/</w:t>
                  </w:r>
                  <w:r>
                    <w:rPr>
                      <w:rFonts w:hint="eastAsia"/>
                      <w:b w:val="0"/>
                      <w:smallCaps w:val="0"/>
                      <w:color w:val="auto"/>
                      <w:spacing w:val="-4"/>
                      <w:szCs w:val="21"/>
                      <w:highlight w:val="none"/>
                      <w:lang w:val="en-US" w:eastAsia="zh-CN"/>
                    </w:rPr>
                    <w:t>袋</w:t>
                  </w:r>
                </w:p>
              </w:tc>
              <w:tc>
                <w:tcPr>
                  <w:tcW w:w="297" w:type="pct"/>
                  <w:shd w:val="clear" w:color="auto" w:fill="auto"/>
                  <w:noWrap w:val="0"/>
                  <w:vAlign w:val="center"/>
                </w:tcPr>
                <w:p w14:paraId="3F945A5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62C730A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0.01</w:t>
                  </w:r>
                </w:p>
              </w:tc>
              <w:tc>
                <w:tcPr>
                  <w:tcW w:w="423" w:type="pct"/>
                  <w:shd w:val="clear" w:color="auto" w:fill="auto"/>
                  <w:noWrap w:val="0"/>
                  <w:vAlign w:val="center"/>
                </w:tcPr>
                <w:p w14:paraId="0C6564C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416" w:type="pct"/>
                  <w:shd w:val="clear" w:color="auto" w:fill="auto"/>
                  <w:noWrap w:val="0"/>
                  <w:vAlign w:val="center"/>
                </w:tcPr>
                <w:p w14:paraId="449E352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-0.01</w:t>
                  </w:r>
                </w:p>
              </w:tc>
              <w:tc>
                <w:tcPr>
                  <w:tcW w:w="391" w:type="pct"/>
                  <w:shd w:val="clear" w:color="auto" w:fill="auto"/>
                  <w:noWrap w:val="0"/>
                  <w:vAlign w:val="center"/>
                </w:tcPr>
                <w:p w14:paraId="2E18189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41" w:type="pct"/>
                  <w:shd w:val="clear" w:color="auto" w:fill="auto"/>
                  <w:noWrap w:val="0"/>
                  <w:vAlign w:val="center"/>
                </w:tcPr>
                <w:p w14:paraId="7836861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72567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0AE9D5C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cs="Times New Roman"/>
                      <w:b w:val="0"/>
                      <w:smallCaps w:val="0"/>
                      <w:color w:val="auto"/>
                      <w:spacing w:val="-4"/>
                      <w:kern w:val="2"/>
                      <w:sz w:val="21"/>
                      <w:szCs w:val="21"/>
                      <w:highlight w:val="none"/>
                      <w:lang w:val="en-US" w:eastAsia="zh-CN" w:bidi="ar-SA"/>
                    </w:rPr>
                    <w:t>4</w:t>
                  </w:r>
                </w:p>
              </w:tc>
              <w:tc>
                <w:tcPr>
                  <w:tcW w:w="618" w:type="pct"/>
                  <w:shd w:val="clear" w:color="auto" w:fill="auto"/>
                  <w:noWrap w:val="0"/>
                  <w:vAlign w:val="center"/>
                </w:tcPr>
                <w:p w14:paraId="0262B36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spacing w:val="-4"/>
                      <w:kern w:val="2"/>
                      <w:sz w:val="21"/>
                      <w:szCs w:val="21"/>
                      <w:lang w:val="en-US" w:eastAsia="zh-CN" w:bidi="ar-SA"/>
                    </w:rPr>
                  </w:pPr>
                  <w:r>
                    <w:rPr>
                      <w:rFonts w:hint="eastAsia"/>
                      <w:b w:val="0"/>
                      <w:smallCaps w:val="0"/>
                      <w:color w:val="auto"/>
                      <w:spacing w:val="-4"/>
                      <w:szCs w:val="21"/>
                      <w:highlight w:val="none"/>
                      <w:lang w:val="en-US" w:eastAsia="zh-CN"/>
                    </w:rPr>
                    <w:t>脱模剂</w:t>
                  </w:r>
                </w:p>
              </w:tc>
              <w:tc>
                <w:tcPr>
                  <w:tcW w:w="1212" w:type="pct"/>
                  <w:shd w:val="clear" w:color="auto" w:fill="auto"/>
                  <w:noWrap w:val="0"/>
                  <w:vAlign w:val="center"/>
                </w:tcPr>
                <w:p w14:paraId="0E67214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kern w:val="2"/>
                      <w:sz w:val="21"/>
                      <w:szCs w:val="21"/>
                      <w:lang w:val="en-US" w:eastAsia="zh-CN" w:bidi="ar-SA"/>
                    </w:rPr>
                  </w:pPr>
                  <w:r>
                    <w:rPr>
                      <w:rFonts w:hint="eastAsia"/>
                      <w:b w:val="0"/>
                      <w:smallCaps w:val="0"/>
                      <w:color w:val="auto"/>
                      <w:spacing w:val="-4"/>
                      <w:szCs w:val="21"/>
                      <w:highlight w:val="none"/>
                      <w:lang w:val="en-US" w:eastAsia="zh-CN"/>
                    </w:rPr>
                    <w:t>硅油35%，</w:t>
                  </w:r>
                  <w:r>
                    <w:rPr>
                      <w:rFonts w:hint="eastAsia" w:ascii="Times New Roman" w:hAnsi="Times New Roman" w:eastAsia="宋体"/>
                      <w:b w:val="0"/>
                      <w:smallCaps w:val="0"/>
                      <w:color w:val="auto"/>
                      <w:spacing w:val="-4"/>
                      <w:szCs w:val="21"/>
                      <w:highlight w:val="none"/>
                      <w:lang w:val="en-US" w:eastAsia="zh-CN"/>
                    </w:rPr>
                    <w:t>合成脂23%，Pao150 19%，脂肪醇聚乙烯醚15%，α-异十三烷基-ω-羟基-聚(氧-1,2-亚乙基)</w:t>
                  </w:r>
                  <w:r>
                    <w:rPr>
                      <w:rFonts w:hint="eastAsia"/>
                      <w:b w:val="0"/>
                      <w:smallCaps w:val="0"/>
                      <w:color w:val="auto"/>
                      <w:spacing w:val="-4"/>
                      <w:szCs w:val="21"/>
                      <w:highlight w:val="none"/>
                      <w:lang w:val="en-US" w:eastAsia="zh-CN"/>
                    </w:rPr>
                    <w:t>8%</w:t>
                  </w:r>
                </w:p>
              </w:tc>
              <w:tc>
                <w:tcPr>
                  <w:tcW w:w="559" w:type="pct"/>
                  <w:shd w:val="clear" w:color="auto" w:fill="auto"/>
                  <w:noWrap w:val="0"/>
                  <w:vAlign w:val="center"/>
                </w:tcPr>
                <w:p w14:paraId="7611160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w:t>
                  </w:r>
                  <w:r>
                    <w:rPr>
                      <w:rFonts w:hint="eastAsia" w:ascii="Times New Roman" w:hAnsi="Times New Roman" w:eastAsia="宋体"/>
                      <w:b w:val="0"/>
                      <w:smallCaps w:val="0"/>
                      <w:color w:val="auto"/>
                      <w:spacing w:val="-4"/>
                      <w:szCs w:val="21"/>
                      <w:highlight w:val="none"/>
                    </w:rPr>
                    <w:t>kg/桶</w:t>
                  </w:r>
                </w:p>
              </w:tc>
              <w:tc>
                <w:tcPr>
                  <w:tcW w:w="297" w:type="pct"/>
                  <w:shd w:val="clear" w:color="auto" w:fill="auto"/>
                  <w:noWrap w:val="0"/>
                  <w:vAlign w:val="center"/>
                </w:tcPr>
                <w:p w14:paraId="6068E92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t</w:t>
                  </w:r>
                </w:p>
              </w:tc>
              <w:tc>
                <w:tcPr>
                  <w:tcW w:w="391" w:type="pct"/>
                  <w:shd w:val="clear" w:color="auto" w:fill="auto"/>
                  <w:noWrap w:val="0"/>
                  <w:vAlign w:val="center"/>
                </w:tcPr>
                <w:p w14:paraId="32A47C1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pacing w:val="-4"/>
                      <w:kern w:val="2"/>
                      <w:sz w:val="21"/>
                      <w:szCs w:val="21"/>
                      <w:highlight w:val="none"/>
                      <w:lang w:val="en-US" w:eastAsia="zh-CN" w:bidi="ar-SA"/>
                    </w:rPr>
                    <w:t>0</w:t>
                  </w:r>
                </w:p>
              </w:tc>
              <w:tc>
                <w:tcPr>
                  <w:tcW w:w="423" w:type="pct"/>
                  <w:shd w:val="clear" w:color="auto" w:fill="auto"/>
                  <w:noWrap w:val="0"/>
                  <w:vAlign w:val="center"/>
                </w:tcPr>
                <w:p w14:paraId="7369719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3</w:t>
                  </w:r>
                </w:p>
              </w:tc>
              <w:tc>
                <w:tcPr>
                  <w:tcW w:w="416" w:type="pct"/>
                  <w:shd w:val="clear" w:color="auto" w:fill="auto"/>
                  <w:noWrap w:val="0"/>
                  <w:vAlign w:val="center"/>
                </w:tcPr>
                <w:p w14:paraId="2D39658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+3</w:t>
                  </w:r>
                </w:p>
              </w:tc>
              <w:tc>
                <w:tcPr>
                  <w:tcW w:w="391" w:type="pct"/>
                  <w:shd w:val="clear" w:color="auto" w:fill="auto"/>
                  <w:noWrap w:val="0"/>
                  <w:vAlign w:val="center"/>
                </w:tcPr>
                <w:p w14:paraId="3F2BB2E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0.3</w:t>
                  </w:r>
                </w:p>
              </w:tc>
              <w:tc>
                <w:tcPr>
                  <w:tcW w:w="441" w:type="pct"/>
                  <w:shd w:val="clear" w:color="auto" w:fill="auto"/>
                  <w:noWrap w:val="0"/>
                  <w:vAlign w:val="center"/>
                </w:tcPr>
                <w:p w14:paraId="649BC8C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59058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20A949D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lang w:val="en-US" w:eastAsia="zh-CN"/>
                    </w:rPr>
                    <w:t>5</w:t>
                  </w:r>
                </w:p>
              </w:tc>
              <w:tc>
                <w:tcPr>
                  <w:tcW w:w="618" w:type="pct"/>
                  <w:shd w:val="clear" w:color="auto" w:fill="auto"/>
                  <w:noWrap w:val="0"/>
                  <w:vAlign w:val="center"/>
                </w:tcPr>
                <w:p w14:paraId="7F6C08B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b w:val="0"/>
                      <w:smallCaps w:val="0"/>
                      <w:color w:val="auto"/>
                      <w:spacing w:val="-4"/>
                      <w:szCs w:val="21"/>
                      <w:highlight w:val="none"/>
                      <w:lang w:val="en-US" w:eastAsia="zh-CN"/>
                    </w:rPr>
                    <w:t>乳化液</w:t>
                  </w:r>
                </w:p>
              </w:tc>
              <w:tc>
                <w:tcPr>
                  <w:tcW w:w="1212" w:type="pct"/>
                  <w:shd w:val="clear" w:color="auto" w:fill="auto"/>
                  <w:noWrap w:val="0"/>
                  <w:vAlign w:val="center"/>
                </w:tcPr>
                <w:p w14:paraId="6B87CCF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kern w:val="2"/>
                      <w:sz w:val="21"/>
                      <w:szCs w:val="21"/>
                      <w:lang w:val="en-US" w:eastAsia="zh-CN" w:bidi="ar-SA"/>
                    </w:rPr>
                  </w:pPr>
                  <w:r>
                    <w:rPr>
                      <w:rFonts w:ascii="Times New Roman" w:hAnsi="Times New Roman"/>
                      <w:b w:val="0"/>
                      <w:color w:val="auto"/>
                      <w:szCs w:val="21"/>
                    </w:rPr>
                    <w:t>矿油50-70%，羧酸5-10%，极压剂3-8%，pH值稳定剂1-2%，防腐剂1-3%，环保型缓蚀剂1-2%，非离子表面活性剂1-8%</w:t>
                  </w:r>
                </w:p>
              </w:tc>
              <w:tc>
                <w:tcPr>
                  <w:tcW w:w="559" w:type="pct"/>
                  <w:shd w:val="clear" w:color="auto" w:fill="auto"/>
                  <w:noWrap w:val="0"/>
                  <w:vAlign w:val="center"/>
                </w:tcPr>
                <w:p w14:paraId="7AE349B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00</w:t>
                  </w:r>
                  <w:r>
                    <w:rPr>
                      <w:rFonts w:hint="eastAsia" w:ascii="Times New Roman" w:hAnsi="Times New Roman" w:eastAsia="宋体"/>
                      <w:b w:val="0"/>
                      <w:smallCaps w:val="0"/>
                      <w:color w:val="auto"/>
                      <w:spacing w:val="-4"/>
                      <w:szCs w:val="21"/>
                      <w:highlight w:val="none"/>
                    </w:rPr>
                    <w:t>kg/桶</w:t>
                  </w:r>
                </w:p>
              </w:tc>
              <w:tc>
                <w:tcPr>
                  <w:tcW w:w="297" w:type="pct"/>
                  <w:shd w:val="clear" w:color="auto" w:fill="auto"/>
                  <w:noWrap w:val="0"/>
                  <w:vAlign w:val="center"/>
                </w:tcPr>
                <w:p w14:paraId="7147C52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t</w:t>
                  </w:r>
                </w:p>
              </w:tc>
              <w:tc>
                <w:tcPr>
                  <w:tcW w:w="391" w:type="pct"/>
                  <w:shd w:val="clear" w:color="auto" w:fill="auto"/>
                  <w:noWrap w:val="0"/>
                  <w:vAlign w:val="center"/>
                </w:tcPr>
                <w:p w14:paraId="7885750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0.5</w:t>
                  </w:r>
                </w:p>
              </w:tc>
              <w:tc>
                <w:tcPr>
                  <w:tcW w:w="423" w:type="pct"/>
                  <w:shd w:val="clear" w:color="auto" w:fill="auto"/>
                  <w:noWrap w:val="0"/>
                  <w:vAlign w:val="center"/>
                </w:tcPr>
                <w:p w14:paraId="14CEC6D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0.5</w:t>
                  </w:r>
                </w:p>
              </w:tc>
              <w:tc>
                <w:tcPr>
                  <w:tcW w:w="416" w:type="pct"/>
                  <w:shd w:val="clear" w:color="auto" w:fill="auto"/>
                  <w:noWrap w:val="0"/>
                  <w:vAlign w:val="center"/>
                </w:tcPr>
                <w:p w14:paraId="1A09DA7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w:t>
                  </w:r>
                </w:p>
              </w:tc>
              <w:tc>
                <w:tcPr>
                  <w:tcW w:w="391" w:type="pct"/>
                  <w:shd w:val="clear" w:color="auto" w:fill="auto"/>
                  <w:noWrap w:val="0"/>
                  <w:vAlign w:val="center"/>
                </w:tcPr>
                <w:p w14:paraId="68D8D65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0.2</w:t>
                  </w:r>
                </w:p>
              </w:tc>
              <w:tc>
                <w:tcPr>
                  <w:tcW w:w="441" w:type="pct"/>
                  <w:shd w:val="clear" w:color="auto" w:fill="auto"/>
                  <w:noWrap w:val="0"/>
                  <w:vAlign w:val="center"/>
                </w:tcPr>
                <w:p w14:paraId="008DF0B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35725E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05207B1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b w:val="0"/>
                      <w:smallCaps w:val="0"/>
                      <w:color w:val="auto"/>
                      <w:spacing w:val="-4"/>
                      <w:sz w:val="21"/>
                      <w:szCs w:val="21"/>
                      <w:highlight w:val="none"/>
                      <w:lang w:val="en-US" w:eastAsia="zh-CN"/>
                    </w:rPr>
                  </w:pPr>
                  <w:r>
                    <w:rPr>
                      <w:rFonts w:hint="eastAsia" w:ascii="Times New Roman" w:hAnsi="Times New Roman" w:eastAsia="宋体"/>
                      <w:b w:val="0"/>
                      <w:smallCaps w:val="0"/>
                      <w:color w:val="auto"/>
                      <w:spacing w:val="-4"/>
                      <w:sz w:val="21"/>
                      <w:szCs w:val="21"/>
                      <w:highlight w:val="none"/>
                      <w:lang w:val="en-US" w:eastAsia="zh-CN"/>
                    </w:rPr>
                    <w:t>6</w:t>
                  </w:r>
                </w:p>
              </w:tc>
              <w:tc>
                <w:tcPr>
                  <w:tcW w:w="618" w:type="pct"/>
                  <w:shd w:val="clear" w:color="auto" w:fill="auto"/>
                  <w:noWrap w:val="0"/>
                  <w:vAlign w:val="center"/>
                </w:tcPr>
                <w:p w14:paraId="613F15C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清洗剂</w:t>
                  </w:r>
                </w:p>
              </w:tc>
              <w:tc>
                <w:tcPr>
                  <w:tcW w:w="1212" w:type="pct"/>
                  <w:shd w:val="clear" w:color="auto" w:fill="auto"/>
                  <w:noWrap w:val="0"/>
                  <w:vAlign w:val="center"/>
                </w:tcPr>
                <w:p w14:paraId="5C61BBDD">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b w:val="0"/>
                      <w:color w:val="auto"/>
                      <w:kern w:val="2"/>
                      <w:sz w:val="21"/>
                      <w:szCs w:val="24"/>
                      <w:lang w:val="en-US" w:eastAsia="zh-CN" w:bidi="ar-SA"/>
                    </w:rPr>
                  </w:pPr>
                  <w:r>
                    <w:rPr>
                      <w:rFonts w:hint="eastAsia"/>
                      <w:b w:val="0"/>
                      <w:color w:val="auto"/>
                      <w:highlight w:val="none"/>
                    </w:rPr>
                    <w:t>十二烷基硫酸钠15~30%</w:t>
                  </w:r>
                  <w:r>
                    <w:rPr>
                      <w:rFonts w:hint="eastAsia"/>
                      <w:b w:val="0"/>
                      <w:color w:val="auto"/>
                      <w:highlight w:val="none"/>
                      <w:lang w:eastAsia="zh-CN"/>
                    </w:rPr>
                    <w:t>，</w:t>
                  </w:r>
                  <w:r>
                    <w:rPr>
                      <w:rFonts w:hint="eastAsia"/>
                      <w:b w:val="0"/>
                      <w:color w:val="auto"/>
                      <w:highlight w:val="none"/>
                    </w:rPr>
                    <w:t>氟碳界面活性剂5~10%</w:t>
                  </w:r>
                  <w:r>
                    <w:rPr>
                      <w:rFonts w:hint="eastAsia"/>
                      <w:b w:val="0"/>
                      <w:color w:val="auto"/>
                      <w:highlight w:val="none"/>
                      <w:lang w:eastAsia="zh-CN"/>
                    </w:rPr>
                    <w:t>，</w:t>
                  </w:r>
                  <w:r>
                    <w:rPr>
                      <w:rFonts w:hint="eastAsia"/>
                      <w:b w:val="0"/>
                      <w:color w:val="auto"/>
                      <w:highlight w:val="none"/>
                    </w:rPr>
                    <w:t>硅酸2~5%</w:t>
                  </w:r>
                  <w:r>
                    <w:rPr>
                      <w:rFonts w:hint="eastAsia"/>
                      <w:b w:val="0"/>
                      <w:color w:val="auto"/>
                      <w:highlight w:val="none"/>
                      <w:lang w:eastAsia="zh-CN"/>
                    </w:rPr>
                    <w:t>，</w:t>
                  </w:r>
                  <w:r>
                    <w:rPr>
                      <w:rFonts w:hint="eastAsia"/>
                      <w:b w:val="0"/>
                      <w:color w:val="auto"/>
                      <w:highlight w:val="none"/>
                    </w:rPr>
                    <w:t>柠檬酸10~20%</w:t>
                  </w:r>
                  <w:r>
                    <w:rPr>
                      <w:rFonts w:hint="eastAsia"/>
                      <w:b w:val="0"/>
                      <w:color w:val="auto"/>
                      <w:highlight w:val="none"/>
                      <w:lang w:eastAsia="zh-CN"/>
                    </w:rPr>
                    <w:t>，</w:t>
                  </w:r>
                  <w:r>
                    <w:rPr>
                      <w:rFonts w:hint="eastAsia"/>
                      <w:b w:val="0"/>
                      <w:color w:val="auto"/>
                      <w:highlight w:val="none"/>
                    </w:rPr>
                    <w:t>改性咪唑啉2~5%</w:t>
                  </w:r>
                  <w:r>
                    <w:rPr>
                      <w:rFonts w:hint="eastAsia"/>
                      <w:b w:val="0"/>
                      <w:color w:val="auto"/>
                      <w:highlight w:val="none"/>
                      <w:lang w:eastAsia="zh-CN"/>
                    </w:rPr>
                    <w:t>，</w:t>
                  </w:r>
                  <w:r>
                    <w:rPr>
                      <w:rFonts w:hint="eastAsia"/>
                      <w:b w:val="0"/>
                      <w:color w:val="auto"/>
                      <w:highlight w:val="none"/>
                    </w:rPr>
                    <w:t>乙二醇醚1~3%</w:t>
                  </w:r>
                  <w:r>
                    <w:rPr>
                      <w:rFonts w:hint="eastAsia"/>
                      <w:b w:val="0"/>
                      <w:color w:val="auto"/>
                      <w:highlight w:val="none"/>
                      <w:lang w:eastAsia="zh-CN"/>
                    </w:rPr>
                    <w:t>，</w:t>
                  </w:r>
                  <w:r>
                    <w:rPr>
                      <w:rFonts w:hint="eastAsia"/>
                      <w:b w:val="0"/>
                      <w:color w:val="auto"/>
                      <w:highlight w:val="none"/>
                    </w:rPr>
                    <w:t>去离子水</w:t>
                  </w:r>
                  <w:r>
                    <w:rPr>
                      <w:rFonts w:hint="eastAsia"/>
                      <w:b w:val="0"/>
                      <w:color w:val="auto"/>
                      <w:highlight w:val="none"/>
                      <w:lang w:val="en-US" w:eastAsia="zh-CN"/>
                    </w:rPr>
                    <w:t>余量</w:t>
                  </w:r>
                </w:p>
              </w:tc>
              <w:tc>
                <w:tcPr>
                  <w:tcW w:w="559" w:type="pct"/>
                  <w:shd w:val="clear" w:color="auto" w:fill="auto"/>
                  <w:noWrap w:val="0"/>
                  <w:vAlign w:val="center"/>
                </w:tcPr>
                <w:p w14:paraId="37C16EF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w:t>
                  </w:r>
                  <w:r>
                    <w:rPr>
                      <w:rFonts w:hint="eastAsia" w:ascii="Times New Roman" w:hAnsi="Times New Roman" w:eastAsia="宋体"/>
                      <w:b w:val="0"/>
                      <w:smallCaps w:val="0"/>
                      <w:color w:val="auto"/>
                      <w:spacing w:val="-4"/>
                      <w:szCs w:val="21"/>
                      <w:highlight w:val="none"/>
                    </w:rPr>
                    <w:t>kg/桶</w:t>
                  </w:r>
                </w:p>
              </w:tc>
              <w:tc>
                <w:tcPr>
                  <w:tcW w:w="297" w:type="pct"/>
                  <w:shd w:val="clear" w:color="auto" w:fill="auto"/>
                  <w:noWrap w:val="0"/>
                  <w:vAlign w:val="center"/>
                </w:tcPr>
                <w:p w14:paraId="1F1FF5F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t</w:t>
                  </w:r>
                </w:p>
              </w:tc>
              <w:tc>
                <w:tcPr>
                  <w:tcW w:w="391" w:type="pct"/>
                  <w:shd w:val="clear" w:color="auto" w:fill="auto"/>
                  <w:noWrap w:val="0"/>
                  <w:vAlign w:val="center"/>
                </w:tcPr>
                <w:p w14:paraId="22C33DF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w:t>
                  </w:r>
                </w:p>
              </w:tc>
              <w:tc>
                <w:tcPr>
                  <w:tcW w:w="423" w:type="pct"/>
                  <w:shd w:val="clear" w:color="auto" w:fill="auto"/>
                  <w:noWrap w:val="0"/>
                  <w:vAlign w:val="center"/>
                </w:tcPr>
                <w:p w14:paraId="6025F28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0.1</w:t>
                  </w:r>
                </w:p>
              </w:tc>
              <w:tc>
                <w:tcPr>
                  <w:tcW w:w="416" w:type="pct"/>
                  <w:shd w:val="clear" w:color="auto" w:fill="auto"/>
                  <w:noWrap w:val="0"/>
                  <w:vAlign w:val="center"/>
                </w:tcPr>
                <w:p w14:paraId="3FCE0CE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+0.1</w:t>
                  </w:r>
                </w:p>
              </w:tc>
              <w:tc>
                <w:tcPr>
                  <w:tcW w:w="391" w:type="pct"/>
                  <w:shd w:val="clear" w:color="auto" w:fill="auto"/>
                  <w:noWrap w:val="0"/>
                  <w:vAlign w:val="center"/>
                </w:tcPr>
                <w:p w14:paraId="56D3487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0.04</w:t>
                  </w:r>
                </w:p>
              </w:tc>
              <w:tc>
                <w:tcPr>
                  <w:tcW w:w="441" w:type="pct"/>
                  <w:shd w:val="clear" w:color="auto" w:fill="auto"/>
                  <w:noWrap w:val="0"/>
                  <w:vAlign w:val="center"/>
                </w:tcPr>
                <w:p w14:paraId="12724A7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56898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9" w:type="pct"/>
                  <w:noWrap w:val="0"/>
                  <w:vAlign w:val="center"/>
                </w:tcPr>
                <w:p w14:paraId="07CE6F3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lang w:val="en-US" w:eastAsia="zh-CN"/>
                    </w:rPr>
                    <w:t>7</w:t>
                  </w:r>
                </w:p>
              </w:tc>
              <w:tc>
                <w:tcPr>
                  <w:tcW w:w="618" w:type="pct"/>
                  <w:shd w:val="clear" w:color="auto" w:fill="auto"/>
                  <w:noWrap w:val="0"/>
                  <w:vAlign w:val="center"/>
                </w:tcPr>
                <w:p w14:paraId="29F7D7B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光亮剂</w:t>
                  </w:r>
                </w:p>
              </w:tc>
              <w:tc>
                <w:tcPr>
                  <w:tcW w:w="1212" w:type="pct"/>
                  <w:shd w:val="clear" w:color="auto" w:fill="auto"/>
                  <w:noWrap w:val="0"/>
                  <w:vAlign w:val="center"/>
                </w:tcPr>
                <w:p w14:paraId="3A46F96F">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color w:val="auto"/>
                      <w:highlight w:val="none"/>
                    </w:rPr>
                    <w:t>辛、癸酸甘油酯15%</w:t>
                  </w:r>
                  <w:r>
                    <w:rPr>
                      <w:rFonts w:hint="eastAsia"/>
                      <w:b w:val="0"/>
                      <w:color w:val="auto"/>
                      <w:highlight w:val="none"/>
                      <w:lang w:eastAsia="zh-CN"/>
                    </w:rPr>
                    <w:t>，</w:t>
                  </w:r>
                  <w:r>
                    <w:rPr>
                      <w:rFonts w:hint="eastAsia"/>
                      <w:b w:val="0"/>
                      <w:color w:val="auto"/>
                      <w:highlight w:val="none"/>
                    </w:rPr>
                    <w:t>乳化剂S-80</w:t>
                  </w:r>
                  <w:r>
                    <w:rPr>
                      <w:rFonts w:hint="eastAsia"/>
                      <w:b w:val="0"/>
                      <w:color w:val="auto"/>
                      <w:highlight w:val="none"/>
                      <w:lang w:val="en-US" w:eastAsia="zh-CN"/>
                    </w:rPr>
                    <w:t xml:space="preserve"> </w:t>
                  </w:r>
                  <w:r>
                    <w:rPr>
                      <w:rFonts w:hint="eastAsia"/>
                      <w:b w:val="0"/>
                      <w:color w:val="auto"/>
                      <w:highlight w:val="none"/>
                    </w:rPr>
                    <w:t>20%</w:t>
                  </w:r>
                  <w:r>
                    <w:rPr>
                      <w:rFonts w:hint="eastAsia"/>
                      <w:b w:val="0"/>
                      <w:color w:val="auto"/>
                      <w:highlight w:val="none"/>
                      <w:lang w:eastAsia="zh-CN"/>
                    </w:rPr>
                    <w:t>，</w:t>
                  </w:r>
                  <w:r>
                    <w:rPr>
                      <w:rFonts w:hint="eastAsia"/>
                      <w:b w:val="0"/>
                      <w:color w:val="auto"/>
                      <w:highlight w:val="none"/>
                    </w:rPr>
                    <w:t>硼酸</w:t>
                  </w:r>
                  <w:r>
                    <w:rPr>
                      <w:rFonts w:hint="eastAsia"/>
                      <w:b w:val="0"/>
                      <w:color w:val="auto"/>
                      <w:highlight w:val="none"/>
                      <w:lang w:val="en-US" w:eastAsia="zh-CN"/>
                    </w:rPr>
                    <w:t>5%，</w:t>
                  </w:r>
                  <w:r>
                    <w:rPr>
                      <w:rFonts w:hint="eastAsia"/>
                      <w:b w:val="0"/>
                      <w:color w:val="auto"/>
                      <w:highlight w:val="none"/>
                    </w:rPr>
                    <w:t>柠檬酸</w:t>
                  </w:r>
                  <w:r>
                    <w:rPr>
                      <w:rFonts w:hint="eastAsia"/>
                      <w:b w:val="0"/>
                      <w:color w:val="auto"/>
                      <w:highlight w:val="none"/>
                      <w:lang w:val="en-US" w:eastAsia="zh-CN"/>
                    </w:rPr>
                    <w:t>5%，</w:t>
                  </w:r>
                  <w:r>
                    <w:rPr>
                      <w:rFonts w:hint="eastAsia"/>
                      <w:b w:val="0"/>
                      <w:color w:val="auto"/>
                      <w:highlight w:val="none"/>
                    </w:rPr>
                    <w:t>十二烷基苯磺酸钠</w:t>
                  </w:r>
                  <w:r>
                    <w:rPr>
                      <w:rFonts w:hint="eastAsia"/>
                      <w:b w:val="0"/>
                      <w:color w:val="auto"/>
                      <w:highlight w:val="none"/>
                      <w:lang w:val="en-US" w:eastAsia="zh-CN"/>
                    </w:rPr>
                    <w:t>5%，</w:t>
                  </w:r>
                  <w:r>
                    <w:rPr>
                      <w:rFonts w:hint="eastAsia"/>
                      <w:b w:val="0"/>
                      <w:color w:val="auto"/>
                      <w:highlight w:val="none"/>
                    </w:rPr>
                    <w:t>去离子水</w:t>
                  </w:r>
                  <w:r>
                    <w:rPr>
                      <w:rFonts w:hint="eastAsia"/>
                      <w:b w:val="0"/>
                      <w:color w:val="auto"/>
                      <w:highlight w:val="none"/>
                      <w:lang w:val="en-US" w:eastAsia="zh-CN"/>
                    </w:rPr>
                    <w:t>余量</w:t>
                  </w:r>
                </w:p>
              </w:tc>
              <w:tc>
                <w:tcPr>
                  <w:tcW w:w="559" w:type="pct"/>
                  <w:shd w:val="clear" w:color="auto" w:fill="auto"/>
                  <w:noWrap w:val="0"/>
                  <w:vAlign w:val="center"/>
                </w:tcPr>
                <w:p w14:paraId="4C3DC10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w:t>
                  </w:r>
                  <w:r>
                    <w:rPr>
                      <w:rFonts w:hint="eastAsia" w:ascii="Times New Roman" w:hAnsi="Times New Roman" w:eastAsia="宋体"/>
                      <w:b w:val="0"/>
                      <w:smallCaps w:val="0"/>
                      <w:color w:val="auto"/>
                      <w:spacing w:val="-4"/>
                      <w:szCs w:val="21"/>
                      <w:highlight w:val="none"/>
                    </w:rPr>
                    <w:t>kg/</w:t>
                  </w:r>
                  <w:r>
                    <w:rPr>
                      <w:rFonts w:hint="eastAsia"/>
                      <w:b w:val="0"/>
                      <w:smallCaps w:val="0"/>
                      <w:color w:val="auto"/>
                      <w:spacing w:val="-4"/>
                      <w:szCs w:val="21"/>
                      <w:highlight w:val="none"/>
                      <w:lang w:val="en-US" w:eastAsia="zh-CN"/>
                    </w:rPr>
                    <w:t>桶</w:t>
                  </w:r>
                </w:p>
              </w:tc>
              <w:tc>
                <w:tcPr>
                  <w:tcW w:w="297" w:type="pct"/>
                  <w:shd w:val="clear" w:color="auto" w:fill="auto"/>
                  <w:noWrap w:val="0"/>
                  <w:vAlign w:val="center"/>
                </w:tcPr>
                <w:p w14:paraId="48A6260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t</w:t>
                  </w:r>
                </w:p>
              </w:tc>
              <w:tc>
                <w:tcPr>
                  <w:tcW w:w="391" w:type="pct"/>
                  <w:shd w:val="clear" w:color="auto" w:fill="auto"/>
                  <w:noWrap w:val="0"/>
                  <w:vAlign w:val="center"/>
                </w:tcPr>
                <w:p w14:paraId="192E839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w:t>
                  </w:r>
                </w:p>
              </w:tc>
              <w:tc>
                <w:tcPr>
                  <w:tcW w:w="423" w:type="pct"/>
                  <w:shd w:val="clear" w:color="auto" w:fill="auto"/>
                  <w:noWrap w:val="0"/>
                  <w:vAlign w:val="center"/>
                </w:tcPr>
                <w:p w14:paraId="301F360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0.1</w:t>
                  </w:r>
                </w:p>
              </w:tc>
              <w:tc>
                <w:tcPr>
                  <w:tcW w:w="416" w:type="pct"/>
                  <w:shd w:val="clear" w:color="auto" w:fill="auto"/>
                  <w:noWrap w:val="0"/>
                  <w:vAlign w:val="center"/>
                </w:tcPr>
                <w:p w14:paraId="023471D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+0.1</w:t>
                  </w:r>
                </w:p>
              </w:tc>
              <w:tc>
                <w:tcPr>
                  <w:tcW w:w="391" w:type="pct"/>
                  <w:shd w:val="clear" w:color="auto" w:fill="auto"/>
                  <w:noWrap w:val="0"/>
                  <w:vAlign w:val="center"/>
                </w:tcPr>
                <w:p w14:paraId="3780511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Cs w:val="21"/>
                      <w:highlight w:val="none"/>
                      <w:lang w:val="en-US" w:eastAsia="zh-CN"/>
                    </w:rPr>
                    <w:t>0.04</w:t>
                  </w:r>
                </w:p>
              </w:tc>
              <w:tc>
                <w:tcPr>
                  <w:tcW w:w="441" w:type="pct"/>
                  <w:shd w:val="clear" w:color="auto" w:fill="auto"/>
                  <w:noWrap w:val="0"/>
                  <w:vAlign w:val="center"/>
                </w:tcPr>
                <w:p w14:paraId="0395994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172E5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9" w:type="pct"/>
                  <w:shd w:val="clear" w:color="auto" w:fill="auto"/>
                  <w:noWrap w:val="0"/>
                  <w:vAlign w:val="center"/>
                </w:tcPr>
                <w:p w14:paraId="42145E8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lang w:val="en-US" w:eastAsia="zh-CN"/>
                    </w:rPr>
                    <w:t>8</w:t>
                  </w:r>
                </w:p>
              </w:tc>
              <w:tc>
                <w:tcPr>
                  <w:tcW w:w="618" w:type="pct"/>
                  <w:shd w:val="clear" w:color="auto" w:fill="auto"/>
                  <w:noWrap w:val="0"/>
                  <w:vAlign w:val="center"/>
                </w:tcPr>
                <w:p w14:paraId="62A01B7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default" w:ascii="Times New Roman" w:hAnsi="Times New Roman" w:eastAsia="宋体" w:cs="Times New Roman"/>
                      <w:b w:val="0"/>
                      <w:smallCaps w:val="0"/>
                      <w:color w:val="auto"/>
                      <w:spacing w:val="-4"/>
                      <w:kern w:val="2"/>
                      <w:sz w:val="21"/>
                      <w:szCs w:val="21"/>
                      <w:lang w:val="en-US" w:eastAsia="zh-CN" w:bidi="ar-SA"/>
                    </w:rPr>
                    <w:t>PA66</w:t>
                  </w:r>
                </w:p>
              </w:tc>
              <w:tc>
                <w:tcPr>
                  <w:tcW w:w="1212" w:type="pct"/>
                  <w:shd w:val="clear" w:color="auto" w:fill="auto"/>
                  <w:noWrap w:val="0"/>
                  <w:vAlign w:val="center"/>
                </w:tcPr>
                <w:p w14:paraId="134C333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cs="Times New Roman"/>
                      <w:b w:val="0"/>
                      <w:smallCaps w:val="0"/>
                      <w:color w:val="auto"/>
                      <w:spacing w:val="-4"/>
                      <w:kern w:val="2"/>
                      <w:sz w:val="21"/>
                      <w:szCs w:val="21"/>
                      <w:lang w:val="en-US" w:eastAsia="zh-CN" w:bidi="ar-SA"/>
                    </w:rPr>
                    <w:t>新料、粒状</w:t>
                  </w:r>
                </w:p>
              </w:tc>
              <w:tc>
                <w:tcPr>
                  <w:tcW w:w="559" w:type="pct"/>
                  <w:shd w:val="clear" w:color="auto" w:fill="auto"/>
                  <w:noWrap w:val="0"/>
                  <w:vAlign w:val="center"/>
                </w:tcPr>
                <w:p w14:paraId="2C37F3B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25kg/</w:t>
                  </w:r>
                  <w:r>
                    <w:rPr>
                      <w:rFonts w:hint="eastAsia"/>
                      <w:b w:val="0"/>
                      <w:smallCaps w:val="0"/>
                      <w:color w:val="auto"/>
                      <w:spacing w:val="-4"/>
                      <w:szCs w:val="21"/>
                      <w:highlight w:val="none"/>
                      <w:lang w:val="en-US" w:eastAsia="zh-CN"/>
                    </w:rPr>
                    <w:t>袋</w:t>
                  </w:r>
                </w:p>
              </w:tc>
              <w:tc>
                <w:tcPr>
                  <w:tcW w:w="297" w:type="pct"/>
                  <w:shd w:val="clear" w:color="auto" w:fill="auto"/>
                  <w:noWrap w:val="0"/>
                  <w:vAlign w:val="center"/>
                </w:tcPr>
                <w:p w14:paraId="6D1A4F1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0920CAC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cs="Times New Roman"/>
                      <w:b w:val="0"/>
                      <w:smallCaps w:val="0"/>
                      <w:color w:val="auto"/>
                      <w:sz w:val="21"/>
                      <w:szCs w:val="21"/>
                      <w:highlight w:val="none"/>
                      <w:lang w:val="en-US" w:eastAsia="zh-CN"/>
                    </w:rPr>
                    <w:t>400</w:t>
                  </w:r>
                </w:p>
              </w:tc>
              <w:tc>
                <w:tcPr>
                  <w:tcW w:w="423" w:type="pct"/>
                  <w:shd w:val="clear" w:color="auto" w:fill="auto"/>
                  <w:noWrap w:val="0"/>
                  <w:vAlign w:val="center"/>
                </w:tcPr>
                <w:p w14:paraId="1416087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cs="Times New Roman"/>
                      <w:b w:val="0"/>
                      <w:smallCaps w:val="0"/>
                      <w:color w:val="auto"/>
                      <w:sz w:val="21"/>
                      <w:szCs w:val="21"/>
                      <w:highlight w:val="none"/>
                      <w:lang w:val="en-US" w:eastAsia="zh-CN"/>
                    </w:rPr>
                    <w:t>400</w:t>
                  </w:r>
                </w:p>
              </w:tc>
              <w:tc>
                <w:tcPr>
                  <w:tcW w:w="416" w:type="pct"/>
                  <w:shd w:val="clear" w:color="auto" w:fill="auto"/>
                  <w:noWrap w:val="0"/>
                  <w:vAlign w:val="center"/>
                </w:tcPr>
                <w:p w14:paraId="4FD7867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391" w:type="pct"/>
                  <w:shd w:val="clear" w:color="auto" w:fill="auto"/>
                  <w:noWrap w:val="0"/>
                  <w:vAlign w:val="center"/>
                </w:tcPr>
                <w:p w14:paraId="175DFFF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20</w:t>
                  </w:r>
                </w:p>
              </w:tc>
              <w:tc>
                <w:tcPr>
                  <w:tcW w:w="441" w:type="pct"/>
                  <w:shd w:val="clear" w:color="auto" w:fill="auto"/>
                  <w:noWrap w:val="0"/>
                  <w:vAlign w:val="center"/>
                </w:tcPr>
                <w:p w14:paraId="38F16FA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7AB14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shd w:val="clear" w:color="auto" w:fill="auto"/>
                  <w:noWrap w:val="0"/>
                  <w:vAlign w:val="center"/>
                </w:tcPr>
                <w:p w14:paraId="07769A3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 w:val="21"/>
                      <w:szCs w:val="21"/>
                      <w:highlight w:val="none"/>
                      <w:lang w:val="en-US" w:eastAsia="zh-CN"/>
                    </w:rPr>
                    <w:t>9</w:t>
                  </w:r>
                </w:p>
              </w:tc>
              <w:tc>
                <w:tcPr>
                  <w:tcW w:w="618" w:type="pct"/>
                  <w:shd w:val="clear" w:color="auto" w:fill="auto"/>
                  <w:noWrap w:val="0"/>
                  <w:vAlign w:val="center"/>
                </w:tcPr>
                <w:p w14:paraId="68AE595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lang w:val="en-US" w:eastAsia="zh-CN" w:bidi="ar-SA"/>
                    </w:rPr>
                  </w:pPr>
                  <w:r>
                    <w:rPr>
                      <w:rFonts w:hint="eastAsia"/>
                      <w:b w:val="0"/>
                      <w:smallCaps w:val="0"/>
                      <w:color w:val="auto"/>
                      <w:spacing w:val="-4"/>
                      <w:sz w:val="21"/>
                      <w:szCs w:val="21"/>
                      <w:lang w:val="en-US" w:eastAsia="zh-CN"/>
                    </w:rPr>
                    <w:t>ABS</w:t>
                  </w:r>
                </w:p>
              </w:tc>
              <w:tc>
                <w:tcPr>
                  <w:tcW w:w="1212" w:type="pct"/>
                  <w:shd w:val="clear" w:color="auto" w:fill="auto"/>
                  <w:noWrap w:val="0"/>
                  <w:vAlign w:val="center"/>
                </w:tcPr>
                <w:p w14:paraId="7040B57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lang w:val="en-US" w:eastAsia="zh-CN" w:bidi="ar-SA"/>
                    </w:rPr>
                  </w:pPr>
                  <w:r>
                    <w:rPr>
                      <w:rFonts w:hint="eastAsia" w:cs="Times New Roman"/>
                      <w:b w:val="0"/>
                      <w:smallCaps w:val="0"/>
                      <w:color w:val="auto"/>
                      <w:spacing w:val="-4"/>
                      <w:kern w:val="2"/>
                      <w:sz w:val="21"/>
                      <w:szCs w:val="21"/>
                      <w:lang w:val="en-US" w:eastAsia="zh-CN" w:bidi="ar-SA"/>
                    </w:rPr>
                    <w:t>新料、粒状</w:t>
                  </w:r>
                </w:p>
              </w:tc>
              <w:tc>
                <w:tcPr>
                  <w:tcW w:w="559" w:type="pct"/>
                  <w:shd w:val="clear" w:color="auto" w:fill="auto"/>
                  <w:noWrap w:val="0"/>
                  <w:vAlign w:val="center"/>
                </w:tcPr>
                <w:p w14:paraId="6E69A47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25kg/</w:t>
                  </w:r>
                  <w:r>
                    <w:rPr>
                      <w:rFonts w:hint="eastAsia"/>
                      <w:b w:val="0"/>
                      <w:smallCaps w:val="0"/>
                      <w:color w:val="auto"/>
                      <w:spacing w:val="-4"/>
                      <w:szCs w:val="21"/>
                      <w:highlight w:val="none"/>
                      <w:lang w:val="en-US" w:eastAsia="zh-CN"/>
                    </w:rPr>
                    <w:t>袋</w:t>
                  </w:r>
                </w:p>
              </w:tc>
              <w:tc>
                <w:tcPr>
                  <w:tcW w:w="297" w:type="pct"/>
                  <w:shd w:val="clear" w:color="auto" w:fill="auto"/>
                  <w:noWrap w:val="0"/>
                  <w:vAlign w:val="center"/>
                </w:tcPr>
                <w:p w14:paraId="43155DC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56429C0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240</w:t>
                  </w:r>
                </w:p>
              </w:tc>
              <w:tc>
                <w:tcPr>
                  <w:tcW w:w="423" w:type="pct"/>
                  <w:shd w:val="clear" w:color="auto" w:fill="auto"/>
                  <w:noWrap w:val="0"/>
                  <w:vAlign w:val="center"/>
                </w:tcPr>
                <w:p w14:paraId="5B8CEAA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240</w:t>
                  </w:r>
                </w:p>
              </w:tc>
              <w:tc>
                <w:tcPr>
                  <w:tcW w:w="416" w:type="pct"/>
                  <w:shd w:val="clear" w:color="auto" w:fill="auto"/>
                  <w:noWrap w:val="0"/>
                  <w:vAlign w:val="center"/>
                </w:tcPr>
                <w:p w14:paraId="4B8E1CF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391" w:type="pct"/>
                  <w:shd w:val="clear" w:color="auto" w:fill="auto"/>
                  <w:noWrap w:val="0"/>
                  <w:vAlign w:val="center"/>
                </w:tcPr>
                <w:p w14:paraId="5EA85738">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12</w:t>
                  </w:r>
                </w:p>
              </w:tc>
              <w:tc>
                <w:tcPr>
                  <w:tcW w:w="441" w:type="pct"/>
                  <w:shd w:val="clear" w:color="auto" w:fill="auto"/>
                  <w:noWrap w:val="0"/>
                  <w:vAlign w:val="center"/>
                </w:tcPr>
                <w:p w14:paraId="124453C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656FC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shd w:val="clear" w:color="auto" w:fill="auto"/>
                  <w:noWrap w:val="0"/>
                  <w:vAlign w:val="center"/>
                </w:tcPr>
                <w:p w14:paraId="729F29A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 w:val="21"/>
                      <w:szCs w:val="21"/>
                      <w:highlight w:val="none"/>
                      <w:lang w:val="en-US" w:eastAsia="zh-CN"/>
                    </w:rPr>
                    <w:t>10</w:t>
                  </w:r>
                </w:p>
              </w:tc>
              <w:tc>
                <w:tcPr>
                  <w:tcW w:w="618" w:type="pct"/>
                  <w:shd w:val="clear" w:color="auto" w:fill="auto"/>
                  <w:noWrap w:val="0"/>
                  <w:vAlign w:val="center"/>
                </w:tcPr>
                <w:p w14:paraId="4A33D5D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lang w:val="en-US" w:eastAsia="zh-CN" w:bidi="ar-SA"/>
                    </w:rPr>
                  </w:pPr>
                  <w:r>
                    <w:rPr>
                      <w:rFonts w:hint="default" w:ascii="Times New Roman" w:hAnsi="Times New Roman" w:eastAsia="宋体"/>
                      <w:b w:val="0"/>
                      <w:smallCaps w:val="0"/>
                      <w:color w:val="auto"/>
                      <w:spacing w:val="-4"/>
                      <w:sz w:val="21"/>
                      <w:szCs w:val="21"/>
                      <w:lang w:val="en-US" w:eastAsia="zh-CN"/>
                    </w:rPr>
                    <w:t>PP</w:t>
                  </w:r>
                </w:p>
              </w:tc>
              <w:tc>
                <w:tcPr>
                  <w:tcW w:w="1212" w:type="pct"/>
                  <w:shd w:val="clear" w:color="auto" w:fill="auto"/>
                  <w:noWrap w:val="0"/>
                  <w:vAlign w:val="center"/>
                </w:tcPr>
                <w:p w14:paraId="44BB4B6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lang w:val="en-US" w:eastAsia="zh-CN" w:bidi="ar-SA"/>
                    </w:rPr>
                  </w:pPr>
                  <w:r>
                    <w:rPr>
                      <w:rFonts w:hint="eastAsia" w:cs="Times New Roman"/>
                      <w:b w:val="0"/>
                      <w:smallCaps w:val="0"/>
                      <w:color w:val="auto"/>
                      <w:spacing w:val="-4"/>
                      <w:kern w:val="2"/>
                      <w:sz w:val="21"/>
                      <w:szCs w:val="21"/>
                      <w:lang w:val="en-US" w:eastAsia="zh-CN" w:bidi="ar-SA"/>
                    </w:rPr>
                    <w:t>新料、粒状</w:t>
                  </w:r>
                </w:p>
              </w:tc>
              <w:tc>
                <w:tcPr>
                  <w:tcW w:w="559" w:type="pct"/>
                  <w:shd w:val="clear" w:color="auto" w:fill="auto"/>
                  <w:noWrap w:val="0"/>
                  <w:vAlign w:val="center"/>
                </w:tcPr>
                <w:p w14:paraId="231377D7">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25kg/</w:t>
                  </w:r>
                  <w:r>
                    <w:rPr>
                      <w:rFonts w:hint="eastAsia"/>
                      <w:b w:val="0"/>
                      <w:smallCaps w:val="0"/>
                      <w:color w:val="auto"/>
                      <w:spacing w:val="-4"/>
                      <w:szCs w:val="21"/>
                      <w:highlight w:val="none"/>
                      <w:lang w:val="en-US" w:eastAsia="zh-CN"/>
                    </w:rPr>
                    <w:t>袋</w:t>
                  </w:r>
                </w:p>
              </w:tc>
              <w:tc>
                <w:tcPr>
                  <w:tcW w:w="297" w:type="pct"/>
                  <w:shd w:val="clear" w:color="auto" w:fill="auto"/>
                  <w:noWrap w:val="0"/>
                  <w:vAlign w:val="center"/>
                </w:tcPr>
                <w:p w14:paraId="07CCDAA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1B4D67D5">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360</w:t>
                  </w:r>
                </w:p>
              </w:tc>
              <w:tc>
                <w:tcPr>
                  <w:tcW w:w="423" w:type="pct"/>
                  <w:shd w:val="clear" w:color="auto" w:fill="auto"/>
                  <w:noWrap w:val="0"/>
                  <w:vAlign w:val="center"/>
                </w:tcPr>
                <w:p w14:paraId="20B3C54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360</w:t>
                  </w:r>
                </w:p>
              </w:tc>
              <w:tc>
                <w:tcPr>
                  <w:tcW w:w="416" w:type="pct"/>
                  <w:shd w:val="clear" w:color="auto" w:fill="auto"/>
                  <w:noWrap w:val="0"/>
                  <w:vAlign w:val="center"/>
                </w:tcPr>
                <w:p w14:paraId="72A86C1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391" w:type="pct"/>
                  <w:shd w:val="clear" w:color="auto" w:fill="auto"/>
                  <w:noWrap w:val="0"/>
                  <w:vAlign w:val="center"/>
                </w:tcPr>
                <w:p w14:paraId="316213B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18</w:t>
                  </w:r>
                </w:p>
              </w:tc>
              <w:tc>
                <w:tcPr>
                  <w:tcW w:w="441" w:type="pct"/>
                  <w:shd w:val="clear" w:color="auto" w:fill="auto"/>
                  <w:noWrap w:val="0"/>
                  <w:vAlign w:val="center"/>
                </w:tcPr>
                <w:p w14:paraId="3BD3C8A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34F45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shd w:val="clear" w:color="auto" w:fill="auto"/>
                  <w:noWrap w:val="0"/>
                  <w:vAlign w:val="center"/>
                </w:tcPr>
                <w:p w14:paraId="4B09910F">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b w:val="0"/>
                      <w:smallCaps w:val="0"/>
                      <w:color w:val="auto"/>
                      <w:spacing w:val="-4"/>
                      <w:sz w:val="21"/>
                      <w:szCs w:val="21"/>
                      <w:highlight w:val="none"/>
                      <w:lang w:val="en-US" w:eastAsia="zh-CN"/>
                    </w:rPr>
                    <w:t>11</w:t>
                  </w:r>
                </w:p>
              </w:tc>
              <w:tc>
                <w:tcPr>
                  <w:tcW w:w="618" w:type="pct"/>
                  <w:shd w:val="clear" w:color="auto" w:fill="auto"/>
                  <w:noWrap w:val="0"/>
                  <w:vAlign w:val="center"/>
                </w:tcPr>
                <w:p w14:paraId="2B71D0A4">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cs="宋体"/>
                      <w:b w:val="0"/>
                      <w:color w:val="auto"/>
                      <w:spacing w:val="-4"/>
                      <w:kern w:val="2"/>
                      <w:sz w:val="21"/>
                      <w:szCs w:val="21"/>
                      <w:lang w:val="en-US" w:eastAsia="zh-CN" w:bidi="ar-SA"/>
                    </w:rPr>
                    <w:t>抗磨液</w:t>
                  </w:r>
                </w:p>
                <w:p w14:paraId="7824467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lang w:val="en-US" w:eastAsia="zh-CN" w:bidi="ar-SA"/>
                    </w:rPr>
                  </w:pPr>
                  <w:r>
                    <w:rPr>
                      <w:rFonts w:hint="eastAsia" w:ascii="Times New Roman" w:hAnsi="Times New Roman" w:eastAsia="宋体" w:cs="宋体"/>
                      <w:b w:val="0"/>
                      <w:color w:val="auto"/>
                      <w:spacing w:val="-4"/>
                      <w:kern w:val="2"/>
                      <w:sz w:val="21"/>
                      <w:szCs w:val="21"/>
                      <w:lang w:val="en-US" w:eastAsia="zh-CN" w:bidi="ar-SA"/>
                    </w:rPr>
                    <w:t>压油</w:t>
                  </w:r>
                </w:p>
              </w:tc>
              <w:tc>
                <w:tcPr>
                  <w:tcW w:w="1212" w:type="pct"/>
                  <w:shd w:val="clear" w:color="auto" w:fill="auto"/>
                  <w:noWrap w:val="0"/>
                  <w:vAlign w:val="center"/>
                </w:tcPr>
                <w:p w14:paraId="5E4CC40A">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spacing w:val="-4"/>
                      <w:kern w:val="2"/>
                      <w:sz w:val="21"/>
                      <w:szCs w:val="21"/>
                      <w:highlight w:val="none"/>
                      <w:lang w:val="en-US" w:eastAsia="zh-CN" w:bidi="ar-SA"/>
                    </w:rPr>
                  </w:pPr>
                  <w:r>
                    <w:rPr>
                      <w:rFonts w:hint="eastAsia" w:cs="宋体"/>
                      <w:b w:val="0"/>
                      <w:color w:val="auto"/>
                      <w:szCs w:val="21"/>
                      <w:lang w:val="en-US" w:eastAsia="zh-CN"/>
                    </w:rPr>
                    <w:t>主要成分为矿物油</w:t>
                  </w:r>
                </w:p>
              </w:tc>
              <w:tc>
                <w:tcPr>
                  <w:tcW w:w="559" w:type="pct"/>
                  <w:shd w:val="clear" w:color="auto" w:fill="auto"/>
                  <w:noWrap w:val="0"/>
                  <w:vAlign w:val="center"/>
                </w:tcPr>
                <w:p w14:paraId="4DF2C97D">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00</w:t>
                  </w:r>
                  <w:r>
                    <w:rPr>
                      <w:rFonts w:hint="eastAsia" w:ascii="Times New Roman" w:hAnsi="Times New Roman" w:eastAsia="宋体"/>
                      <w:b w:val="0"/>
                      <w:smallCaps w:val="0"/>
                      <w:color w:val="auto"/>
                      <w:spacing w:val="-4"/>
                      <w:szCs w:val="21"/>
                      <w:highlight w:val="none"/>
                    </w:rPr>
                    <w:t>kg/桶</w:t>
                  </w:r>
                </w:p>
              </w:tc>
              <w:tc>
                <w:tcPr>
                  <w:tcW w:w="297" w:type="pct"/>
                  <w:shd w:val="clear" w:color="auto" w:fill="auto"/>
                  <w:noWrap w:val="0"/>
                  <w:vAlign w:val="center"/>
                </w:tcPr>
                <w:p w14:paraId="553C5E92">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t</w:t>
                  </w:r>
                </w:p>
              </w:tc>
              <w:tc>
                <w:tcPr>
                  <w:tcW w:w="391" w:type="pct"/>
                  <w:shd w:val="clear" w:color="auto" w:fill="auto"/>
                  <w:noWrap w:val="0"/>
                  <w:vAlign w:val="center"/>
                </w:tcPr>
                <w:p w14:paraId="0CF19A8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0</w:t>
                  </w:r>
                </w:p>
              </w:tc>
              <w:tc>
                <w:tcPr>
                  <w:tcW w:w="423" w:type="pct"/>
                  <w:shd w:val="clear" w:color="auto" w:fill="auto"/>
                  <w:noWrap w:val="0"/>
                  <w:vAlign w:val="center"/>
                </w:tcPr>
                <w:p w14:paraId="4273DA3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1.2</w:t>
                  </w:r>
                </w:p>
              </w:tc>
              <w:tc>
                <w:tcPr>
                  <w:tcW w:w="416" w:type="pct"/>
                  <w:shd w:val="clear" w:color="auto" w:fill="auto"/>
                  <w:noWrap w:val="0"/>
                  <w:vAlign w:val="center"/>
                </w:tcPr>
                <w:p w14:paraId="069BCDF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+1.2</w:t>
                  </w:r>
                </w:p>
              </w:tc>
              <w:tc>
                <w:tcPr>
                  <w:tcW w:w="391" w:type="pct"/>
                  <w:shd w:val="clear" w:color="auto" w:fill="auto"/>
                  <w:noWrap w:val="0"/>
                  <w:vAlign w:val="center"/>
                </w:tcPr>
                <w:p w14:paraId="5DA6CC1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0.4</w:t>
                  </w:r>
                </w:p>
              </w:tc>
              <w:tc>
                <w:tcPr>
                  <w:tcW w:w="441" w:type="pct"/>
                  <w:shd w:val="clear" w:color="auto" w:fill="auto"/>
                  <w:noWrap w:val="0"/>
                  <w:vAlign w:val="center"/>
                </w:tcPr>
                <w:p w14:paraId="31CEE9BE">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r w14:paraId="7BDFF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 w:type="pct"/>
                  <w:noWrap w:val="0"/>
                  <w:vAlign w:val="center"/>
                </w:tcPr>
                <w:p w14:paraId="67815B1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b w:val="0"/>
                      <w:smallCaps w:val="0"/>
                      <w:color w:val="auto"/>
                      <w:spacing w:val="-4"/>
                      <w:sz w:val="21"/>
                      <w:szCs w:val="21"/>
                      <w:highlight w:val="none"/>
                      <w:lang w:val="en-US" w:eastAsia="zh-CN"/>
                    </w:rPr>
                  </w:pPr>
                  <w:r>
                    <w:rPr>
                      <w:rFonts w:hint="eastAsia"/>
                      <w:b w:val="0"/>
                      <w:smallCaps w:val="0"/>
                      <w:color w:val="auto"/>
                      <w:spacing w:val="-4"/>
                      <w:sz w:val="21"/>
                      <w:szCs w:val="21"/>
                      <w:highlight w:val="none"/>
                      <w:lang w:val="en-US" w:eastAsia="zh-CN"/>
                    </w:rPr>
                    <w:t>12</w:t>
                  </w:r>
                </w:p>
              </w:tc>
              <w:tc>
                <w:tcPr>
                  <w:tcW w:w="618" w:type="pct"/>
                  <w:shd w:val="clear" w:color="auto" w:fill="auto"/>
                  <w:noWrap w:val="0"/>
                  <w:vAlign w:val="center"/>
                </w:tcPr>
                <w:p w14:paraId="7BB5A79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b w:val="0"/>
                      <w:smallCaps w:val="0"/>
                      <w:color w:val="auto"/>
                      <w:spacing w:val="-4"/>
                      <w:szCs w:val="21"/>
                      <w:highlight w:val="none"/>
                    </w:rPr>
                    <w:t>导轨油</w:t>
                  </w:r>
                </w:p>
              </w:tc>
              <w:tc>
                <w:tcPr>
                  <w:tcW w:w="1212" w:type="pct"/>
                  <w:shd w:val="clear" w:color="auto" w:fill="auto"/>
                  <w:noWrap w:val="0"/>
                  <w:vAlign w:val="center"/>
                </w:tcPr>
                <w:p w14:paraId="67AFE92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宋体"/>
                      <w:b w:val="0"/>
                      <w:color w:val="auto"/>
                      <w:kern w:val="2"/>
                      <w:sz w:val="21"/>
                      <w:szCs w:val="21"/>
                      <w:lang w:val="en-US" w:eastAsia="zh-CN" w:bidi="ar-SA"/>
                    </w:rPr>
                  </w:pPr>
                  <w:r>
                    <w:rPr>
                      <w:rFonts w:hint="eastAsia" w:cs="宋体"/>
                      <w:b w:val="0"/>
                      <w:color w:val="auto"/>
                      <w:szCs w:val="21"/>
                      <w:lang w:val="en-US" w:eastAsia="zh-CN"/>
                    </w:rPr>
                    <w:t>主要成分为矿物油</w:t>
                  </w:r>
                </w:p>
              </w:tc>
              <w:tc>
                <w:tcPr>
                  <w:tcW w:w="559" w:type="pct"/>
                  <w:shd w:val="clear" w:color="auto" w:fill="auto"/>
                  <w:noWrap w:val="0"/>
                  <w:vAlign w:val="center"/>
                </w:tcPr>
                <w:p w14:paraId="2CADEC03">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eastAsia="宋体"/>
                      <w:b w:val="0"/>
                      <w:smallCaps w:val="0"/>
                      <w:color w:val="auto"/>
                      <w:spacing w:val="-4"/>
                      <w:szCs w:val="21"/>
                      <w:highlight w:val="none"/>
                    </w:rPr>
                    <w:t>2</w:t>
                  </w:r>
                  <w:r>
                    <w:rPr>
                      <w:rFonts w:hint="eastAsia"/>
                      <w:b w:val="0"/>
                      <w:smallCaps w:val="0"/>
                      <w:color w:val="auto"/>
                      <w:spacing w:val="-4"/>
                      <w:szCs w:val="21"/>
                      <w:highlight w:val="none"/>
                      <w:lang w:val="en-US" w:eastAsia="zh-CN"/>
                    </w:rPr>
                    <w:t>00</w:t>
                  </w:r>
                  <w:r>
                    <w:rPr>
                      <w:rFonts w:hint="eastAsia" w:ascii="Times New Roman" w:hAnsi="Times New Roman" w:eastAsia="宋体"/>
                      <w:b w:val="0"/>
                      <w:smallCaps w:val="0"/>
                      <w:color w:val="auto"/>
                      <w:spacing w:val="-4"/>
                      <w:szCs w:val="21"/>
                      <w:highlight w:val="none"/>
                    </w:rPr>
                    <w:t>kg/桶</w:t>
                  </w:r>
                </w:p>
              </w:tc>
              <w:tc>
                <w:tcPr>
                  <w:tcW w:w="297" w:type="pct"/>
                  <w:shd w:val="clear" w:color="auto" w:fill="auto"/>
                  <w:noWrap w:val="0"/>
                  <w:vAlign w:val="center"/>
                </w:tcPr>
                <w:p w14:paraId="15421BC9">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ascii="Times New Roman" w:hAnsi="Times New Roman" w:eastAsia="宋体"/>
                      <w:b w:val="0"/>
                      <w:smallCaps w:val="0"/>
                      <w:color w:val="auto"/>
                      <w:spacing w:val="-4"/>
                      <w:szCs w:val="21"/>
                      <w:highlight w:val="none"/>
                    </w:rPr>
                    <w:t>t</w:t>
                  </w:r>
                </w:p>
              </w:tc>
              <w:tc>
                <w:tcPr>
                  <w:tcW w:w="391" w:type="pct"/>
                  <w:shd w:val="clear" w:color="auto" w:fill="auto"/>
                  <w:noWrap w:val="0"/>
                  <w:vAlign w:val="center"/>
                </w:tcPr>
                <w:p w14:paraId="7BC7628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w:t>
                  </w:r>
                </w:p>
              </w:tc>
              <w:tc>
                <w:tcPr>
                  <w:tcW w:w="423" w:type="pct"/>
                  <w:shd w:val="clear" w:color="auto" w:fill="auto"/>
                  <w:noWrap w:val="0"/>
                  <w:vAlign w:val="center"/>
                </w:tcPr>
                <w:p w14:paraId="315AC45B">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0.8</w:t>
                  </w:r>
                </w:p>
              </w:tc>
              <w:tc>
                <w:tcPr>
                  <w:tcW w:w="416" w:type="pct"/>
                  <w:shd w:val="clear" w:color="auto" w:fill="auto"/>
                  <w:noWrap w:val="0"/>
                  <w:vAlign w:val="center"/>
                </w:tcPr>
                <w:p w14:paraId="5724C7F0">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+0.8</w:t>
                  </w:r>
                </w:p>
              </w:tc>
              <w:tc>
                <w:tcPr>
                  <w:tcW w:w="391" w:type="pct"/>
                  <w:shd w:val="clear" w:color="auto" w:fill="auto"/>
                  <w:noWrap w:val="0"/>
                  <w:vAlign w:val="center"/>
                </w:tcPr>
                <w:p w14:paraId="2966C5B6">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b w:val="0"/>
                      <w:smallCaps w:val="0"/>
                      <w:color w:val="auto"/>
                      <w:spacing w:val="-4"/>
                      <w:szCs w:val="21"/>
                      <w:highlight w:val="none"/>
                      <w:lang w:val="en-US" w:eastAsia="zh-CN"/>
                    </w:rPr>
                    <w:t>0.4</w:t>
                  </w:r>
                </w:p>
              </w:tc>
              <w:tc>
                <w:tcPr>
                  <w:tcW w:w="441" w:type="pct"/>
                  <w:shd w:val="clear" w:color="auto" w:fill="auto"/>
                  <w:noWrap w:val="0"/>
                  <w:vAlign w:val="center"/>
                </w:tcPr>
                <w:p w14:paraId="63671C01">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b w:val="0"/>
                      <w:smallCaps w:val="0"/>
                      <w:color w:val="auto"/>
                      <w:sz w:val="21"/>
                      <w:szCs w:val="21"/>
                      <w:highlight w:val="none"/>
                    </w:rPr>
                    <w:t>国内</w:t>
                  </w:r>
                  <w:r>
                    <w:rPr>
                      <w:rFonts w:hint="eastAsia" w:ascii="Times New Roman" w:hAnsi="Times New Roman" w:eastAsia="宋体"/>
                      <w:b w:val="0"/>
                      <w:smallCaps w:val="0"/>
                      <w:color w:val="auto"/>
                      <w:sz w:val="21"/>
                      <w:szCs w:val="21"/>
                      <w:highlight w:val="none"/>
                    </w:rPr>
                    <w:t>，</w:t>
                  </w:r>
                  <w:r>
                    <w:rPr>
                      <w:rFonts w:ascii="Times New Roman" w:hAnsi="Times New Roman" w:eastAsia="宋体"/>
                      <w:b w:val="0"/>
                      <w:smallCaps w:val="0"/>
                      <w:color w:val="auto"/>
                      <w:sz w:val="21"/>
                      <w:szCs w:val="21"/>
                      <w:highlight w:val="none"/>
                    </w:rPr>
                    <w:t>汽运</w:t>
                  </w:r>
                </w:p>
              </w:tc>
            </w:tr>
          </w:tbl>
          <w:p w14:paraId="37635288">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 xml:space="preserve">2.1-5  </w:t>
            </w:r>
            <w:r>
              <w:rPr>
                <w:rFonts w:ascii="Times New Roman" w:hAnsi="Times New Roman" w:eastAsia="宋体" w:cs="宋体"/>
                <w:b/>
                <w:bCs w:val="0"/>
                <w:color w:val="auto"/>
                <w:spacing w:val="-4"/>
                <w:szCs w:val="21"/>
                <w:highlight w:val="none"/>
              </w:rPr>
              <w:t>原辅材料理化性质一览表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66"/>
              <w:gridCol w:w="4016"/>
              <w:gridCol w:w="756"/>
              <w:gridCol w:w="1902"/>
            </w:tblGrid>
            <w:tr w14:paraId="45D991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034F34D2">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名称</w:t>
                  </w:r>
                </w:p>
              </w:tc>
              <w:tc>
                <w:tcPr>
                  <w:tcW w:w="2407" w:type="pct"/>
                  <w:vAlign w:val="center"/>
                </w:tcPr>
                <w:p w14:paraId="41CA3899">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理化性质</w:t>
                  </w:r>
                </w:p>
              </w:tc>
              <w:tc>
                <w:tcPr>
                  <w:tcW w:w="453" w:type="pct"/>
                  <w:vAlign w:val="center"/>
                </w:tcPr>
                <w:p w14:paraId="603E4852">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燃烧</w:t>
                  </w:r>
                </w:p>
                <w:p w14:paraId="499DB4D5">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爆炸性</w:t>
                  </w:r>
                </w:p>
              </w:tc>
              <w:tc>
                <w:tcPr>
                  <w:tcW w:w="1140" w:type="pct"/>
                  <w:vAlign w:val="center"/>
                </w:tcPr>
                <w:p w14:paraId="04EEB188">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毒性毒理</w:t>
                  </w:r>
                </w:p>
              </w:tc>
            </w:tr>
            <w:tr w14:paraId="53904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9" w:hRule="atLeast"/>
                <w:jc w:val="center"/>
              </w:trPr>
              <w:tc>
                <w:tcPr>
                  <w:tcW w:w="999" w:type="pct"/>
                  <w:vAlign w:val="center"/>
                </w:tcPr>
                <w:p w14:paraId="19B2F2BB">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硅油</w:t>
                  </w:r>
                </w:p>
              </w:tc>
              <w:tc>
                <w:tcPr>
                  <w:tcW w:w="2407" w:type="pct"/>
                  <w:vAlign w:val="center"/>
                </w:tcPr>
                <w:p w14:paraId="55CC606B">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硅油一般是无色（或淡黄色）、无味、无毒、不易挥发的液体。硅油不溶于水、甲醇、乙二醇和2-乙氧基乙醇，可与苯、二甲醚、甲基乙基酮、四氯化碳或煤油互溶，稍溶于丙酮、二恶烷、乙醇和丁醇，易溶于苯、甲苯、二甲苯、乙醚和氯代烷烃。它具有很小的蒸汽压、较高的闪点和燃点、较低的凝固点，可在-50℃-+180℃温度范转内长期使用。随着链段数n的不同，分子量增大，粘度也增高，固此硅油可有各种不同的粘度，从0.65厘沲直到上百万厘沲。如果要制得低粘度的硅油，可用酸性白土作为催化剂，并在180℃温度下进行调聚，或用硫酸作为催化剂，在低温度下进行调聚，生产高粘度硅油或粘稠物可用碱性催化剂。</w:t>
                  </w:r>
                </w:p>
              </w:tc>
              <w:tc>
                <w:tcPr>
                  <w:tcW w:w="453" w:type="pct"/>
                  <w:vAlign w:val="center"/>
                </w:tcPr>
                <w:p w14:paraId="682B870E">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b w:val="0"/>
                      <w:smallCaps w:val="0"/>
                      <w:color w:val="auto"/>
                      <w:sz w:val="21"/>
                      <w:szCs w:val="21"/>
                      <w:highlight w:val="none"/>
                      <w:lang w:val="en-US" w:eastAsia="zh-CN"/>
                    </w:rPr>
                    <w:t>易燃</w:t>
                  </w:r>
                </w:p>
              </w:tc>
              <w:tc>
                <w:tcPr>
                  <w:tcW w:w="1140" w:type="pct"/>
                  <w:vAlign w:val="center"/>
                </w:tcPr>
                <w:p w14:paraId="3051BB03">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略带有腐蚀性</w:t>
                  </w:r>
                </w:p>
              </w:tc>
            </w:tr>
            <w:tr w14:paraId="69203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6EAD86A2">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硼酸</w:t>
                  </w:r>
                </w:p>
              </w:tc>
              <w:tc>
                <w:tcPr>
                  <w:tcW w:w="2407" w:type="pct"/>
                  <w:vAlign w:val="center"/>
                </w:tcPr>
                <w:p w14:paraId="5C122FD2">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是一种无机化合物，化学式为H</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3</w:t>
                  </w:r>
                  <w:r>
                    <w:rPr>
                      <w:rFonts w:hint="eastAsia" w:ascii="Times New Roman" w:hAnsi="Times New Roman" w:eastAsia="宋体" w:cs="Times New Roman"/>
                      <w:b w:val="0"/>
                      <w:smallCaps w:val="0"/>
                      <w:color w:val="auto"/>
                      <w:kern w:val="2"/>
                      <w:sz w:val="21"/>
                      <w:szCs w:val="21"/>
                      <w:highlight w:val="none"/>
                      <w:lang w:val="en-US" w:eastAsia="zh-CN" w:bidi="ar-SA"/>
                    </w:rPr>
                    <w:t>BO</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3</w:t>
                  </w:r>
                  <w:r>
                    <w:rPr>
                      <w:rFonts w:hint="eastAsia" w:ascii="Times New Roman" w:hAnsi="Times New Roman" w:eastAsia="宋体" w:cs="Times New Roman"/>
                      <w:b w:val="0"/>
                      <w:smallCaps w:val="0"/>
                      <w:color w:val="auto"/>
                      <w:kern w:val="2"/>
                      <w:sz w:val="21"/>
                      <w:szCs w:val="21"/>
                      <w:highlight w:val="none"/>
                      <w:lang w:val="en-US" w:eastAsia="zh-CN" w:bidi="ar-SA"/>
                    </w:rPr>
                    <w:t>，为白色结晶性粉末，有滑腻手感，无气味，大量用于玻璃工业，可以改善玻璃制品的耐热、透明性能，提高机械强度，缩短熔融时间，也可用作防腐、消毒剂。</w:t>
                  </w:r>
                </w:p>
              </w:tc>
              <w:tc>
                <w:tcPr>
                  <w:tcW w:w="453" w:type="pct"/>
                  <w:vAlign w:val="center"/>
                </w:tcPr>
                <w:p w14:paraId="60CC47A3">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b w:val="0"/>
                      <w:smallCaps w:val="0"/>
                      <w:color w:val="auto"/>
                      <w:sz w:val="21"/>
                      <w:szCs w:val="21"/>
                      <w:highlight w:val="none"/>
                    </w:rPr>
                    <w:t>/</w:t>
                  </w:r>
                </w:p>
              </w:tc>
              <w:tc>
                <w:tcPr>
                  <w:tcW w:w="1140" w:type="pct"/>
                  <w:vAlign w:val="center"/>
                </w:tcPr>
                <w:p w14:paraId="1BD7B833">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b w:val="0"/>
                      <w:smallCaps w:val="0"/>
                      <w:color w:val="auto"/>
                      <w:sz w:val="21"/>
                      <w:szCs w:val="21"/>
                      <w:highlight w:val="none"/>
                      <w:lang w:val="en-US" w:eastAsia="zh-CN"/>
                    </w:rPr>
                    <w:t>低毒</w:t>
                  </w:r>
                </w:p>
              </w:tc>
            </w:tr>
            <w:tr w14:paraId="67F08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145EB63B">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脂肪醇聚乙烯醚</w:t>
                  </w:r>
                </w:p>
              </w:tc>
              <w:tc>
                <w:tcPr>
                  <w:tcW w:w="2407" w:type="pct"/>
                  <w:vAlign w:val="center"/>
                </w:tcPr>
                <w:p w14:paraId="4F54868A">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指含有六个碳原子以上一元醇的混合物。通常把C</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6</w:t>
                  </w:r>
                  <w:r>
                    <w:rPr>
                      <w:rFonts w:hint="eastAsia" w:ascii="Times New Roman" w:hAnsi="Times New Roman" w:eastAsia="宋体" w:cs="Times New Roman"/>
                      <w:b w:val="0"/>
                      <w:smallCaps w:val="0"/>
                      <w:color w:val="auto"/>
                      <w:kern w:val="2"/>
                      <w:sz w:val="21"/>
                      <w:szCs w:val="21"/>
                      <w:highlight w:val="none"/>
                      <w:lang w:val="en-US" w:eastAsia="zh-CN" w:bidi="ar-SA"/>
                    </w:rPr>
                    <w:t>～C</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10</w:t>
                  </w:r>
                  <w:r>
                    <w:rPr>
                      <w:rFonts w:hint="eastAsia" w:ascii="Times New Roman" w:hAnsi="Times New Roman" w:eastAsia="宋体" w:cs="Times New Roman"/>
                      <w:b w:val="0"/>
                      <w:smallCaps w:val="0"/>
                      <w:color w:val="auto"/>
                      <w:kern w:val="2"/>
                      <w:sz w:val="21"/>
                      <w:szCs w:val="21"/>
                      <w:highlight w:val="none"/>
                      <w:lang w:val="en-US" w:eastAsia="zh-CN" w:bidi="ar-SA"/>
                    </w:rPr>
                    <w:t>范围的醇称为增塑剂醇，而把C</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12</w:t>
                  </w:r>
                  <w:r>
                    <w:rPr>
                      <w:rFonts w:hint="eastAsia" w:ascii="Times New Roman" w:hAnsi="Times New Roman" w:eastAsia="宋体" w:cs="Times New Roman"/>
                      <w:b w:val="0"/>
                      <w:smallCaps w:val="0"/>
                      <w:color w:val="auto"/>
                      <w:kern w:val="2"/>
                      <w:sz w:val="21"/>
                      <w:szCs w:val="21"/>
                      <w:highlight w:val="none"/>
                      <w:lang w:val="en-US" w:eastAsia="zh-CN" w:bidi="ar-SA"/>
                    </w:rPr>
                    <w:t>以上的醇称为洗涤剂醇。高级脂肪醇主要制成各种酯类产品用作橡胶、塑料等聚合物增塑剂，也用作洗涤剂，尤其是与环氧乙烷加成得到的化合物乙氧基，是非离子表面活性剂中发展最快、用量最大的品种。</w:t>
                  </w:r>
                </w:p>
              </w:tc>
              <w:tc>
                <w:tcPr>
                  <w:tcW w:w="453" w:type="pct"/>
                  <w:vAlign w:val="center"/>
                </w:tcPr>
                <w:p w14:paraId="552AE01D">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b w:val="0"/>
                      <w:smallCaps w:val="0"/>
                      <w:color w:val="auto"/>
                      <w:sz w:val="21"/>
                      <w:szCs w:val="21"/>
                      <w:highlight w:val="none"/>
                      <w:lang w:val="en-US" w:eastAsia="zh-CN"/>
                    </w:rPr>
                    <w:t>可燃</w:t>
                  </w:r>
                </w:p>
              </w:tc>
              <w:tc>
                <w:tcPr>
                  <w:tcW w:w="1140" w:type="pct"/>
                  <w:vAlign w:val="center"/>
                </w:tcPr>
                <w:p w14:paraId="46ACBA6F">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b w:val="0"/>
                      <w:smallCaps w:val="0"/>
                      <w:color w:val="auto"/>
                      <w:sz w:val="21"/>
                      <w:szCs w:val="21"/>
                      <w:highlight w:val="none"/>
                      <w:lang w:val="en-US" w:eastAsia="zh-CN"/>
                    </w:rPr>
                    <w:t>低毒</w:t>
                  </w:r>
                </w:p>
              </w:tc>
            </w:tr>
            <w:tr w14:paraId="72923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380E66CB">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α-异十三烷基-ω-羟基-聚(氧-1,2-亚乙基)</w:t>
                  </w:r>
                </w:p>
              </w:tc>
              <w:tc>
                <w:tcPr>
                  <w:tcW w:w="2407" w:type="pct"/>
                  <w:vAlign w:val="center"/>
                </w:tcPr>
                <w:p w14:paraId="4EBF6609">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是一种表面活性剂</w:t>
                  </w:r>
                  <w:r>
                    <w:rPr>
                      <w:rFonts w:hint="eastAsia" w:ascii="Times New Roman" w:hAnsi="Times New Roman" w:cs="Times New Roman"/>
                      <w:b w:val="0"/>
                      <w:smallCaps w:val="0"/>
                      <w:color w:val="auto"/>
                      <w:kern w:val="2"/>
                      <w:sz w:val="21"/>
                      <w:szCs w:val="21"/>
                      <w:highlight w:val="none"/>
                      <w:lang w:val="en-US" w:eastAsia="zh-CN" w:bidi="ar-SA"/>
                    </w:rPr>
                    <w:t>，密度：1.05 g/mL at 25 °C(lit.)，沸点：615.9±50.0 °Cat 760 mmHg，熔点：41-45ºC(lit.)，闪点：326.3±30.1 °C</w:t>
                  </w:r>
                </w:p>
              </w:tc>
              <w:tc>
                <w:tcPr>
                  <w:tcW w:w="453" w:type="pct"/>
                  <w:vAlign w:val="center"/>
                </w:tcPr>
                <w:p w14:paraId="16AD66C4">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b w:val="0"/>
                      <w:smallCaps w:val="0"/>
                      <w:color w:val="auto"/>
                      <w:sz w:val="21"/>
                      <w:szCs w:val="21"/>
                      <w:highlight w:val="none"/>
                    </w:rPr>
                    <w:t>/</w:t>
                  </w:r>
                </w:p>
              </w:tc>
              <w:tc>
                <w:tcPr>
                  <w:tcW w:w="1140" w:type="pct"/>
                  <w:vAlign w:val="center"/>
                </w:tcPr>
                <w:p w14:paraId="482D04A7">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b w:val="0"/>
                      <w:smallCaps w:val="0"/>
                      <w:color w:val="auto"/>
                      <w:sz w:val="21"/>
                      <w:szCs w:val="21"/>
                      <w:highlight w:val="none"/>
                    </w:rPr>
                  </w:pPr>
                  <w:r>
                    <w:rPr>
                      <w:rFonts w:hint="eastAsia" w:ascii="Times New Roman" w:hAnsi="Times New Roman" w:eastAsia="宋体"/>
                      <w:b w:val="0"/>
                      <w:smallCaps w:val="0"/>
                      <w:color w:val="auto"/>
                      <w:sz w:val="21"/>
                      <w:szCs w:val="21"/>
                      <w:highlight w:val="none"/>
                    </w:rPr>
                    <w:t>LD</w:t>
                  </w:r>
                  <w:r>
                    <w:rPr>
                      <w:rFonts w:hint="eastAsia" w:ascii="Times New Roman" w:hAnsi="Times New Roman" w:eastAsia="宋体"/>
                      <w:b w:val="0"/>
                      <w:smallCaps w:val="0"/>
                      <w:color w:val="auto"/>
                      <w:sz w:val="21"/>
                      <w:szCs w:val="21"/>
                      <w:highlight w:val="none"/>
                      <w:vertAlign w:val="subscript"/>
                    </w:rPr>
                    <w:t>50</w:t>
                  </w:r>
                  <w:r>
                    <w:rPr>
                      <w:rFonts w:hint="eastAsia" w:ascii="Times New Roman" w:hAnsi="Times New Roman" w:eastAsia="宋体"/>
                      <w:b w:val="0"/>
                      <w:smallCaps w:val="0"/>
                      <w:color w:val="auto"/>
                      <w:sz w:val="21"/>
                      <w:szCs w:val="21"/>
                      <w:highlight w:val="none"/>
                    </w:rPr>
                    <w:t>：40mg/kg</w:t>
                  </w:r>
                </w:p>
                <w:p w14:paraId="3D301C20">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b w:val="0"/>
                      <w:smallCaps w:val="0"/>
                      <w:color w:val="auto"/>
                      <w:sz w:val="21"/>
                      <w:szCs w:val="21"/>
                      <w:highlight w:val="none"/>
                    </w:rPr>
                    <w:t>（小鼠腹腔）</w:t>
                  </w:r>
                </w:p>
              </w:tc>
            </w:tr>
            <w:tr w14:paraId="123E51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61759449">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b w:val="0"/>
                      <w:color w:val="auto"/>
                    </w:rPr>
                    <w:t>十二烷基硫酸钠</w:t>
                  </w:r>
                </w:p>
              </w:tc>
              <w:tc>
                <w:tcPr>
                  <w:tcW w:w="2407" w:type="pct"/>
                  <w:vAlign w:val="center"/>
                </w:tcPr>
                <w:p w14:paraId="5E2E5B5A">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是一种有机化合物，化学式为C</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12</w:t>
                  </w:r>
                  <w:r>
                    <w:rPr>
                      <w:rFonts w:hint="eastAsia" w:ascii="Times New Roman" w:hAnsi="Times New Roman" w:eastAsia="宋体" w:cs="Times New Roman"/>
                      <w:b w:val="0"/>
                      <w:smallCaps w:val="0"/>
                      <w:color w:val="auto"/>
                      <w:kern w:val="2"/>
                      <w:sz w:val="21"/>
                      <w:szCs w:val="21"/>
                      <w:highlight w:val="none"/>
                      <w:lang w:val="en-US" w:eastAsia="zh-CN" w:bidi="ar-SA"/>
                    </w:rPr>
                    <w:t>H</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25</w:t>
                  </w:r>
                  <w:r>
                    <w:rPr>
                      <w:rFonts w:hint="eastAsia" w:ascii="Times New Roman" w:hAnsi="Times New Roman" w:eastAsia="宋体" w:cs="Times New Roman"/>
                      <w:b w:val="0"/>
                      <w:smallCaps w:val="0"/>
                      <w:color w:val="auto"/>
                      <w:kern w:val="2"/>
                      <w:sz w:val="21"/>
                      <w:szCs w:val="21"/>
                      <w:highlight w:val="none"/>
                      <w:lang w:val="en-US" w:eastAsia="zh-CN" w:bidi="ar-SA"/>
                    </w:rPr>
                    <w:t>SO</w:t>
                  </w:r>
                  <w:r>
                    <w:rPr>
                      <w:rFonts w:hint="eastAsia" w:ascii="Times New Roman" w:hAnsi="Times New Roman" w:eastAsia="宋体" w:cs="Times New Roman"/>
                      <w:b w:val="0"/>
                      <w:smallCaps w:val="0"/>
                      <w:color w:val="auto"/>
                      <w:kern w:val="2"/>
                      <w:sz w:val="21"/>
                      <w:szCs w:val="21"/>
                      <w:highlight w:val="none"/>
                      <w:vertAlign w:val="subscript"/>
                      <w:lang w:val="en-US" w:eastAsia="zh-CN" w:bidi="ar-SA"/>
                    </w:rPr>
                    <w:t>4</w:t>
                  </w:r>
                  <w:r>
                    <w:rPr>
                      <w:rFonts w:hint="eastAsia" w:ascii="Times New Roman" w:hAnsi="Times New Roman" w:eastAsia="宋体" w:cs="Times New Roman"/>
                      <w:b w:val="0"/>
                      <w:smallCaps w:val="0"/>
                      <w:color w:val="auto"/>
                      <w:kern w:val="2"/>
                      <w:sz w:val="21"/>
                      <w:szCs w:val="21"/>
                      <w:highlight w:val="none"/>
                      <w:lang w:val="en-US" w:eastAsia="zh-CN" w:bidi="ar-SA"/>
                    </w:rPr>
                    <w:t>Na，为白色或淡黄色粉末，易溶于水，对碱和硬水不敏感。具有去污、乳化和优异的发泡力，是一种对人体微毒的阴离子表面活性剂，其生物降解度&gt;90%。</w:t>
                  </w:r>
                </w:p>
              </w:tc>
              <w:tc>
                <w:tcPr>
                  <w:tcW w:w="453" w:type="pct"/>
                  <w:vAlign w:val="center"/>
                </w:tcPr>
                <w:p w14:paraId="64D92E8C">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宋体"/>
                      <w:b w:val="0"/>
                      <w:smallCaps w:val="0"/>
                      <w:color w:val="auto"/>
                      <w:szCs w:val="21"/>
                      <w:highlight w:val="none"/>
                    </w:rPr>
                    <w:t>不燃</w:t>
                  </w:r>
                </w:p>
              </w:tc>
              <w:tc>
                <w:tcPr>
                  <w:tcW w:w="1140" w:type="pct"/>
                  <w:vAlign w:val="center"/>
                </w:tcPr>
                <w:p w14:paraId="7D5288CD">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spacing w:val="-4"/>
                      <w:kern w:val="2"/>
                      <w:sz w:val="21"/>
                      <w:szCs w:val="21"/>
                      <w:highlight w:val="none"/>
                      <w:lang w:val="en-US" w:eastAsia="zh-CN" w:bidi="ar-SA"/>
                    </w:rPr>
                  </w:pPr>
                  <w:r>
                    <w:rPr>
                      <w:rFonts w:hint="eastAsia" w:ascii="Times New Roman" w:hAnsi="Times New Roman" w:eastAsia="宋体" w:cs="Times New Roman"/>
                      <w:b w:val="0"/>
                      <w:smallCaps w:val="0"/>
                      <w:color w:val="auto"/>
                      <w:spacing w:val="-4"/>
                      <w:kern w:val="2"/>
                      <w:sz w:val="21"/>
                      <w:szCs w:val="21"/>
                      <w:highlight w:val="none"/>
                      <w:lang w:val="en-US" w:eastAsia="zh-CN" w:bidi="ar-SA"/>
                    </w:rPr>
                    <w:t>大鼠经口LD</w:t>
                  </w:r>
                  <w:r>
                    <w:rPr>
                      <w:rFonts w:hint="eastAsia" w:ascii="Times New Roman" w:hAnsi="Times New Roman" w:eastAsia="宋体" w:cs="Times New Roman"/>
                      <w:b w:val="0"/>
                      <w:smallCaps w:val="0"/>
                      <w:color w:val="auto"/>
                      <w:spacing w:val="-4"/>
                      <w:kern w:val="2"/>
                      <w:sz w:val="21"/>
                      <w:szCs w:val="21"/>
                      <w:highlight w:val="none"/>
                      <w:vertAlign w:val="subscript"/>
                      <w:lang w:val="en-US" w:eastAsia="zh-CN" w:bidi="ar-SA"/>
                    </w:rPr>
                    <w:t>50</w:t>
                  </w:r>
                  <w:r>
                    <w:rPr>
                      <w:rFonts w:hint="eastAsia" w:ascii="Times New Roman" w:hAnsi="Times New Roman" w:eastAsia="宋体" w:cs="Times New Roman"/>
                      <w:b w:val="0"/>
                      <w:smallCaps w:val="0"/>
                      <w:color w:val="auto"/>
                      <w:spacing w:val="-4"/>
                      <w:kern w:val="2"/>
                      <w:sz w:val="21"/>
                      <w:szCs w:val="21"/>
                      <w:highlight w:val="none"/>
                      <w:lang w:val="en-US" w:eastAsia="zh-CN" w:bidi="ar-SA"/>
                    </w:rPr>
                    <w:t>：1288 mg/kg；大鼠腹腔LD</w:t>
                  </w:r>
                  <w:r>
                    <w:rPr>
                      <w:rFonts w:hint="eastAsia" w:ascii="Times New Roman" w:hAnsi="Times New Roman" w:eastAsia="宋体" w:cs="Times New Roman"/>
                      <w:b w:val="0"/>
                      <w:smallCaps w:val="0"/>
                      <w:color w:val="auto"/>
                      <w:spacing w:val="-4"/>
                      <w:kern w:val="2"/>
                      <w:sz w:val="21"/>
                      <w:szCs w:val="21"/>
                      <w:highlight w:val="none"/>
                      <w:vertAlign w:val="subscript"/>
                      <w:lang w:val="en-US" w:eastAsia="zh-CN" w:bidi="ar-SA"/>
                    </w:rPr>
                    <w:t>50</w:t>
                  </w:r>
                  <w:r>
                    <w:rPr>
                      <w:rFonts w:hint="eastAsia" w:ascii="Times New Roman" w:hAnsi="Times New Roman" w:eastAsia="宋体" w:cs="Times New Roman"/>
                      <w:b w:val="0"/>
                      <w:smallCaps w:val="0"/>
                      <w:color w:val="auto"/>
                      <w:spacing w:val="-4"/>
                      <w:kern w:val="2"/>
                      <w:sz w:val="21"/>
                      <w:szCs w:val="21"/>
                      <w:highlight w:val="none"/>
                      <w:lang w:val="en-US" w:eastAsia="zh-CN" w:bidi="ar-SA"/>
                    </w:rPr>
                    <w:t>：210 mg/kg</w:t>
                  </w:r>
                </w:p>
              </w:tc>
            </w:tr>
            <w:tr w14:paraId="44D07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7701ABAE">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b w:val="0"/>
                      <w:color w:val="auto"/>
                    </w:rPr>
                    <w:t>氟碳界面活性剂</w:t>
                  </w:r>
                </w:p>
              </w:tc>
              <w:tc>
                <w:tcPr>
                  <w:tcW w:w="2407" w:type="pct"/>
                  <w:vAlign w:val="center"/>
                </w:tcPr>
                <w:p w14:paraId="53B8BC0B">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是以氟碳链为非极性基团的表面活性剂，即以氟原子部分或全部取代碳氢链上的氢原子。氟碳表面活性剂具有高表面活性，高热力学和化学稳定性。广泛应用于消防、化工、农药、选矿、造纸、皮革、纺织等各个领域。</w:t>
                  </w:r>
                </w:p>
              </w:tc>
              <w:tc>
                <w:tcPr>
                  <w:tcW w:w="453" w:type="pct"/>
                  <w:vAlign w:val="center"/>
                </w:tcPr>
                <w:p w14:paraId="1B887D18">
                  <w:pPr>
                    <w:keepNext w:val="0"/>
                    <w:keepLines w:val="0"/>
                    <w:pageBreakBefore w:val="0"/>
                    <w:widowControl w:val="0"/>
                    <w:kinsoku/>
                    <w:wordWrap/>
                    <w:overflowPunct/>
                    <w:topLinePunct w:val="0"/>
                    <w:bidi w:val="0"/>
                    <w:adjustRightInd/>
                    <w:spacing w:line="280" w:lineRule="exact"/>
                    <w:jc w:val="center"/>
                    <w:textAlignment w:val="auto"/>
                    <w:rPr>
                      <w:rFonts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宋体"/>
                      <w:b w:val="0"/>
                      <w:smallCaps w:val="0"/>
                      <w:color w:val="auto"/>
                      <w:szCs w:val="21"/>
                      <w:highlight w:val="none"/>
                    </w:rPr>
                    <w:t>不燃</w:t>
                  </w:r>
                </w:p>
              </w:tc>
              <w:tc>
                <w:tcPr>
                  <w:tcW w:w="1140" w:type="pct"/>
                  <w:vAlign w:val="center"/>
                </w:tcPr>
                <w:p w14:paraId="6DCBA38A">
                  <w:pPr>
                    <w:keepNext w:val="0"/>
                    <w:keepLines w:val="0"/>
                    <w:pageBreakBefore w:val="0"/>
                    <w:widowControl w:val="0"/>
                    <w:kinsoku/>
                    <w:wordWrap/>
                    <w:overflowPunct/>
                    <w:topLinePunct w:val="0"/>
                    <w:bidi w:val="0"/>
                    <w:adjustRightInd/>
                    <w:spacing w:line="280" w:lineRule="exact"/>
                    <w:jc w:val="center"/>
                    <w:textAlignment w:val="auto"/>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宋体"/>
                      <w:b w:val="0"/>
                      <w:smallCaps w:val="0"/>
                      <w:color w:val="auto"/>
                      <w:szCs w:val="21"/>
                      <w:highlight w:val="none"/>
                      <w:lang w:val="en-US" w:eastAsia="zh-CN"/>
                    </w:rPr>
                    <w:t>低毒</w:t>
                  </w:r>
                </w:p>
              </w:tc>
            </w:tr>
            <w:tr w14:paraId="774C0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5725AA5E">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硅酸</w:t>
                  </w:r>
                </w:p>
              </w:tc>
              <w:tc>
                <w:tcPr>
                  <w:tcW w:w="2407" w:type="pct"/>
                  <w:vAlign w:val="center"/>
                </w:tcPr>
                <w:p w14:paraId="2384D19C">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硅酸为玻璃状无色透明的无定形颗粒，相对密度为2.1～2.3，难溶于水和醇。硅酸有多种分子构成，如二硅酸（H</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Si</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O</w:t>
                  </w:r>
                  <w:r>
                    <w:rPr>
                      <w:rFonts w:hint="eastAsia" w:ascii="Times New Roman" w:hAnsi="Times New Roman" w:eastAsia="宋体" w:cs="宋体"/>
                      <w:b w:val="0"/>
                      <w:color w:val="auto"/>
                      <w:kern w:val="2"/>
                      <w:sz w:val="21"/>
                      <w:szCs w:val="21"/>
                      <w:vertAlign w:val="subscript"/>
                      <w:lang w:val="en-US" w:eastAsia="zh-CN" w:bidi="ar-SA"/>
                    </w:rPr>
                    <w:t>5</w:t>
                  </w:r>
                  <w:r>
                    <w:rPr>
                      <w:rFonts w:hint="eastAsia" w:ascii="Times New Roman" w:hAnsi="Times New Roman" w:eastAsia="宋体" w:cs="宋体"/>
                      <w:b w:val="0"/>
                      <w:color w:val="auto"/>
                      <w:kern w:val="2"/>
                      <w:sz w:val="21"/>
                      <w:szCs w:val="21"/>
                      <w:lang w:val="en-US" w:eastAsia="zh-CN" w:bidi="ar-SA"/>
                    </w:rPr>
                    <w:t>）、偏硅酸、原硅酸（Si(OH)</w:t>
                  </w:r>
                  <w:r>
                    <w:rPr>
                      <w:rFonts w:hint="eastAsia" w:ascii="Times New Roman" w:hAnsi="Times New Roman" w:eastAsia="宋体" w:cs="宋体"/>
                      <w:b w:val="0"/>
                      <w:color w:val="auto"/>
                      <w:kern w:val="2"/>
                      <w:sz w:val="21"/>
                      <w:szCs w:val="21"/>
                      <w:vertAlign w:val="subscript"/>
                      <w:lang w:val="en-US" w:eastAsia="zh-CN" w:bidi="ar-SA"/>
                    </w:rPr>
                    <w:t>4</w:t>
                  </w:r>
                  <w:r>
                    <w:rPr>
                      <w:rFonts w:hint="eastAsia" w:ascii="Times New Roman" w:hAnsi="Times New Roman" w:eastAsia="宋体" w:cs="宋体"/>
                      <w:b w:val="0"/>
                      <w:color w:val="auto"/>
                      <w:kern w:val="2"/>
                      <w:sz w:val="21"/>
                      <w:szCs w:val="21"/>
                      <w:lang w:val="en-US" w:eastAsia="zh-CN" w:bidi="ar-SA"/>
                    </w:rPr>
                    <w:t>或H</w:t>
                  </w:r>
                  <w:r>
                    <w:rPr>
                      <w:rFonts w:hint="eastAsia" w:ascii="Times New Roman" w:hAnsi="Times New Roman" w:eastAsia="宋体" w:cs="宋体"/>
                      <w:b w:val="0"/>
                      <w:color w:val="auto"/>
                      <w:kern w:val="2"/>
                      <w:sz w:val="21"/>
                      <w:szCs w:val="21"/>
                      <w:vertAlign w:val="subscript"/>
                      <w:lang w:val="en-US" w:eastAsia="zh-CN" w:bidi="ar-SA"/>
                    </w:rPr>
                    <w:t>4</w:t>
                  </w:r>
                  <w:r>
                    <w:rPr>
                      <w:rFonts w:hint="eastAsia" w:ascii="Times New Roman" w:hAnsi="Times New Roman" w:eastAsia="宋体" w:cs="宋体"/>
                      <w:b w:val="0"/>
                      <w:color w:val="auto"/>
                      <w:kern w:val="2"/>
                      <w:sz w:val="21"/>
                      <w:szCs w:val="21"/>
                      <w:lang w:val="en-US" w:eastAsia="zh-CN" w:bidi="ar-SA"/>
                    </w:rPr>
                    <w:t>SiO</w:t>
                  </w:r>
                  <w:r>
                    <w:rPr>
                      <w:rFonts w:hint="eastAsia" w:ascii="Times New Roman" w:hAnsi="Times New Roman" w:eastAsia="宋体" w:cs="宋体"/>
                      <w:b w:val="0"/>
                      <w:color w:val="auto"/>
                      <w:kern w:val="2"/>
                      <w:sz w:val="21"/>
                      <w:szCs w:val="21"/>
                      <w:vertAlign w:val="subscript"/>
                      <w:lang w:val="en-US" w:eastAsia="zh-CN" w:bidi="ar-SA"/>
                    </w:rPr>
                    <w:t>4</w:t>
                  </w:r>
                  <w:r>
                    <w:rPr>
                      <w:rFonts w:hint="eastAsia" w:ascii="Times New Roman" w:hAnsi="Times New Roman" w:eastAsia="宋体" w:cs="宋体"/>
                      <w:b w:val="0"/>
                      <w:color w:val="auto"/>
                      <w:kern w:val="2"/>
                      <w:sz w:val="21"/>
                      <w:szCs w:val="21"/>
                      <w:lang w:val="en-US" w:eastAsia="zh-CN" w:bidi="ar-SA"/>
                    </w:rPr>
                    <w:t>）等，一般使用的硅酸为稳定的偏硅酸H</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SiO</w:t>
                  </w:r>
                  <w:r>
                    <w:rPr>
                      <w:rFonts w:hint="eastAsia" w:ascii="Times New Roman" w:hAnsi="Times New Roman" w:eastAsia="宋体" w:cs="宋体"/>
                      <w:b w:val="0"/>
                      <w:color w:val="auto"/>
                      <w:kern w:val="2"/>
                      <w:sz w:val="21"/>
                      <w:szCs w:val="21"/>
                      <w:vertAlign w:val="subscript"/>
                      <w:lang w:val="en-US" w:eastAsia="zh-CN" w:bidi="ar-SA"/>
                    </w:rPr>
                    <w:t>3</w:t>
                  </w:r>
                  <w:r>
                    <w:rPr>
                      <w:rFonts w:hint="eastAsia" w:ascii="Times New Roman" w:hAnsi="Times New Roman" w:eastAsia="宋体" w:cs="宋体"/>
                      <w:b w:val="0"/>
                      <w:color w:val="auto"/>
                      <w:kern w:val="2"/>
                      <w:sz w:val="21"/>
                      <w:szCs w:val="21"/>
                      <w:lang w:val="en-US" w:eastAsia="zh-CN" w:bidi="ar-SA"/>
                    </w:rPr>
                    <w:t>。</w:t>
                  </w:r>
                </w:p>
              </w:tc>
              <w:tc>
                <w:tcPr>
                  <w:tcW w:w="453" w:type="pct"/>
                  <w:vAlign w:val="center"/>
                </w:tcPr>
                <w:p w14:paraId="7205E5FC">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smallCaps w:val="0"/>
                      <w:color w:val="auto"/>
                      <w:szCs w:val="21"/>
                      <w:highlight w:val="none"/>
                    </w:rPr>
                    <w:t>不燃</w:t>
                  </w:r>
                </w:p>
              </w:tc>
              <w:tc>
                <w:tcPr>
                  <w:tcW w:w="1140" w:type="pct"/>
                  <w:vAlign w:val="center"/>
                </w:tcPr>
                <w:p w14:paraId="6926DCCE">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cs="宋体"/>
                      <w:b w:val="0"/>
                      <w:smallCaps w:val="0"/>
                      <w:color w:val="auto"/>
                      <w:szCs w:val="21"/>
                      <w:highlight w:val="none"/>
                      <w:lang w:val="en-US" w:eastAsia="zh-CN"/>
                    </w:rPr>
                    <w:t>低毒</w:t>
                  </w:r>
                </w:p>
              </w:tc>
            </w:tr>
            <w:tr w14:paraId="3F4B2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1F29C4AD">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b w:val="0"/>
                      <w:color w:val="auto"/>
                    </w:rPr>
                    <w:t>柠檬酸</w:t>
                  </w:r>
                </w:p>
              </w:tc>
              <w:tc>
                <w:tcPr>
                  <w:tcW w:w="2407" w:type="pct"/>
                  <w:vAlign w:val="center"/>
                </w:tcPr>
                <w:p w14:paraId="09E09DB9">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又名枸橼酸，分子式为C</w:t>
                  </w:r>
                  <w:r>
                    <w:rPr>
                      <w:rFonts w:hint="eastAsia" w:ascii="Times New Roman" w:hAnsi="Times New Roman" w:cs="宋体"/>
                      <w:b w:val="0"/>
                      <w:color w:val="auto"/>
                      <w:kern w:val="2"/>
                      <w:sz w:val="21"/>
                      <w:szCs w:val="21"/>
                      <w:vertAlign w:val="subscript"/>
                      <w:lang w:val="en-US" w:eastAsia="zh-CN" w:bidi="ar-SA"/>
                    </w:rPr>
                    <w:t>6</w:t>
                  </w:r>
                  <w:r>
                    <w:rPr>
                      <w:rFonts w:hint="eastAsia" w:ascii="Times New Roman" w:hAnsi="Times New Roman" w:eastAsia="宋体" w:cs="宋体"/>
                      <w:b w:val="0"/>
                      <w:color w:val="auto"/>
                      <w:kern w:val="2"/>
                      <w:sz w:val="21"/>
                      <w:szCs w:val="21"/>
                      <w:lang w:val="en-US" w:eastAsia="zh-CN" w:bidi="ar-SA"/>
                    </w:rPr>
                    <w:t>H</w:t>
                  </w:r>
                  <w:r>
                    <w:rPr>
                      <w:rFonts w:hint="eastAsia" w:ascii="Times New Roman" w:hAnsi="Times New Roman" w:cs="宋体"/>
                      <w:b w:val="0"/>
                      <w:color w:val="auto"/>
                      <w:kern w:val="2"/>
                      <w:sz w:val="21"/>
                      <w:szCs w:val="21"/>
                      <w:vertAlign w:val="subscript"/>
                      <w:lang w:val="en-US" w:eastAsia="zh-CN" w:bidi="ar-SA"/>
                    </w:rPr>
                    <w:t>8</w:t>
                  </w:r>
                  <w:r>
                    <w:rPr>
                      <w:rFonts w:hint="eastAsia" w:ascii="Times New Roman" w:hAnsi="Times New Roman" w:eastAsia="宋体" w:cs="宋体"/>
                      <w:b w:val="0"/>
                      <w:color w:val="auto"/>
                      <w:kern w:val="2"/>
                      <w:sz w:val="21"/>
                      <w:szCs w:val="21"/>
                      <w:lang w:val="en-US" w:eastAsia="zh-CN" w:bidi="ar-SA"/>
                    </w:rPr>
                    <w:t>O</w:t>
                  </w:r>
                  <w:r>
                    <w:rPr>
                      <w:rFonts w:hint="eastAsia" w:ascii="Times New Roman" w:hAnsi="Times New Roman" w:cs="宋体"/>
                      <w:b w:val="0"/>
                      <w:color w:val="auto"/>
                      <w:kern w:val="2"/>
                      <w:sz w:val="21"/>
                      <w:szCs w:val="21"/>
                      <w:vertAlign w:val="subscript"/>
                      <w:lang w:val="en-US" w:eastAsia="zh-CN" w:bidi="ar-SA"/>
                    </w:rPr>
                    <w:t>7</w:t>
                  </w:r>
                  <w:r>
                    <w:rPr>
                      <w:rFonts w:hint="eastAsia" w:ascii="Times New Roman" w:hAnsi="Times New Roman" w:eastAsia="宋体" w:cs="宋体"/>
                      <w:b w:val="0"/>
                      <w:color w:val="auto"/>
                      <w:kern w:val="2"/>
                      <w:sz w:val="21"/>
                      <w:szCs w:val="21"/>
                      <w:lang w:val="en-US" w:eastAsia="zh-CN" w:bidi="ar-SA"/>
                    </w:rPr>
                    <w:t>，是一种重要的有机弱酸，为无色晶体，无臭，易溶于水，溶液显酸性。在生物化学中，它是柠檬酸循环（三羧酸循环）的中间体，柠檬酸循环发生在所有需氧生物的新陈代谢中。柠檬酸被广泛用作酸度调节剂、调味剂和螯合剂。</w:t>
                  </w:r>
                </w:p>
              </w:tc>
              <w:tc>
                <w:tcPr>
                  <w:tcW w:w="453" w:type="pct"/>
                  <w:vAlign w:val="center"/>
                </w:tcPr>
                <w:p w14:paraId="54EFAD15">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smallCaps w:val="0"/>
                      <w:color w:val="auto"/>
                      <w:szCs w:val="21"/>
                      <w:highlight w:val="none"/>
                    </w:rPr>
                    <w:t>不燃</w:t>
                  </w:r>
                </w:p>
              </w:tc>
              <w:tc>
                <w:tcPr>
                  <w:tcW w:w="1140" w:type="pct"/>
                  <w:vAlign w:val="center"/>
                </w:tcPr>
                <w:p w14:paraId="6BF5962A">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cs="宋体"/>
                      <w:b w:val="0"/>
                      <w:smallCaps w:val="0"/>
                      <w:color w:val="auto"/>
                      <w:szCs w:val="21"/>
                      <w:highlight w:val="none"/>
                      <w:lang w:val="en-US" w:eastAsia="zh-CN"/>
                    </w:rPr>
                    <w:t>无毒</w:t>
                  </w:r>
                </w:p>
              </w:tc>
            </w:tr>
            <w:tr w14:paraId="639C2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6E5D04A6">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b w:val="0"/>
                      <w:color w:val="auto"/>
                    </w:rPr>
                    <w:t>改性咪唑啉</w:t>
                  </w:r>
                </w:p>
              </w:tc>
              <w:tc>
                <w:tcPr>
                  <w:tcW w:w="2407" w:type="pct"/>
                  <w:vAlign w:val="center"/>
                </w:tcPr>
                <w:p w14:paraId="29416321">
                  <w:pPr>
                    <w:keepNext w:val="0"/>
                    <w:keepLines w:val="0"/>
                    <w:pageBreakBefore w:val="0"/>
                    <w:widowControl w:val="0"/>
                    <w:kinsoku/>
                    <w:wordWrap/>
                    <w:overflowPunct/>
                    <w:topLinePunct w:val="0"/>
                    <w:bidi w:val="0"/>
                    <w:adjustRightInd/>
                    <w:snapToGrid w:val="0"/>
                    <w:spacing w:line="280" w:lineRule="exact"/>
                    <w:jc w:val="center"/>
                    <w:textAlignment w:val="auto"/>
                    <w:rPr>
                      <w:rFonts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是强碱性、低熔点固体。可溶于大多数有机溶剂，具有优良的起泡性、净洗性、乳化性、耐硬水性、抗静电性和柔软织物等性能，且具有无毒、高生物降解等特点，还具有杀菌和消毒的能力。更为重要的是它对皮肤和眼睛无刺激性。它在酸性和碱性介质中均稳定，可同阴、阳、非离子表面活性剂相伍。</w:t>
                  </w:r>
                </w:p>
              </w:tc>
              <w:tc>
                <w:tcPr>
                  <w:tcW w:w="453" w:type="pct"/>
                  <w:vAlign w:val="center"/>
                </w:tcPr>
                <w:p w14:paraId="203C28C0">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cs="宋体"/>
                      <w:b w:val="0"/>
                      <w:color w:val="auto"/>
                      <w:sz w:val="21"/>
                      <w:szCs w:val="21"/>
                      <w:lang w:val="en-US" w:eastAsia="zh-CN"/>
                    </w:rPr>
                    <w:t>不燃</w:t>
                  </w:r>
                </w:p>
              </w:tc>
              <w:tc>
                <w:tcPr>
                  <w:tcW w:w="1140" w:type="pct"/>
                  <w:vAlign w:val="center"/>
                </w:tcPr>
                <w:p w14:paraId="16EF4C87">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eastAsia="宋体" w:cs="宋体"/>
                      <w:b w:val="0"/>
                      <w:color w:val="auto"/>
                      <w:spacing w:val="-4"/>
                      <w:kern w:val="2"/>
                      <w:sz w:val="21"/>
                      <w:szCs w:val="21"/>
                      <w:lang w:val="en-US" w:eastAsia="zh-CN" w:bidi="ar-SA"/>
                    </w:rPr>
                  </w:pPr>
                  <w:r>
                    <w:rPr>
                      <w:rFonts w:hint="eastAsia" w:ascii="Times New Roman" w:hAnsi="Times New Roman" w:cs="宋体"/>
                      <w:b w:val="0"/>
                      <w:color w:val="auto"/>
                      <w:sz w:val="21"/>
                      <w:szCs w:val="21"/>
                      <w:lang w:val="en-US" w:eastAsia="zh-CN"/>
                    </w:rPr>
                    <w:t>低毒</w:t>
                  </w:r>
                </w:p>
              </w:tc>
            </w:tr>
            <w:tr w14:paraId="4A8CD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7C06FF81">
                  <w:pPr>
                    <w:keepNext w:val="0"/>
                    <w:keepLines w:val="0"/>
                    <w:pageBreakBefore w:val="0"/>
                    <w:widowControl w:val="0"/>
                    <w:kinsoku/>
                    <w:wordWrap/>
                    <w:overflowPunct/>
                    <w:topLinePunct w:val="0"/>
                    <w:bidi w:val="0"/>
                    <w:adjustRightInd/>
                    <w:snapToGrid w:val="0"/>
                    <w:spacing w:line="280" w:lineRule="exact"/>
                    <w:jc w:val="center"/>
                    <w:textAlignment w:val="auto"/>
                    <w:rPr>
                      <w:rFonts w:hint="eastAsia"/>
                      <w:b w:val="0"/>
                      <w:color w:val="auto"/>
                    </w:rPr>
                  </w:pPr>
                  <w:r>
                    <w:rPr>
                      <w:rFonts w:hint="eastAsia"/>
                      <w:b w:val="0"/>
                      <w:color w:val="auto"/>
                    </w:rPr>
                    <w:t>乙二醇醚</w:t>
                  </w:r>
                </w:p>
              </w:tc>
              <w:tc>
                <w:tcPr>
                  <w:tcW w:w="2407" w:type="pct"/>
                  <w:vAlign w:val="center"/>
                </w:tcPr>
                <w:p w14:paraId="0D9B133C">
                  <w:pPr>
                    <w:keepNext w:val="0"/>
                    <w:keepLines w:val="0"/>
                    <w:pageBreakBefore w:val="0"/>
                    <w:widowControl w:val="0"/>
                    <w:kinsoku/>
                    <w:wordWrap/>
                    <w:overflowPunct/>
                    <w:topLinePunct w:val="0"/>
                    <w:bidi w:val="0"/>
                    <w:adjustRightInd/>
                    <w:snapToGrid w:val="0"/>
                    <w:spacing w:line="280" w:lineRule="exact"/>
                    <w:jc w:val="center"/>
                    <w:textAlignment w:val="auto"/>
                    <w:rPr>
                      <w:rFonts w:hint="eastAsia"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结构式为CH</w:t>
                  </w:r>
                  <w:r>
                    <w:rPr>
                      <w:rFonts w:hint="eastAsia" w:ascii="Times New Roman" w:hAnsi="Times New Roman" w:eastAsia="宋体" w:cs="宋体"/>
                      <w:b w:val="0"/>
                      <w:color w:val="auto"/>
                      <w:kern w:val="2"/>
                      <w:sz w:val="21"/>
                      <w:szCs w:val="21"/>
                      <w:vertAlign w:val="subscript"/>
                      <w:lang w:val="en-US" w:eastAsia="zh-CN" w:bidi="ar-SA"/>
                    </w:rPr>
                    <w:t>3</w:t>
                  </w:r>
                  <w:r>
                    <w:rPr>
                      <w:rFonts w:hint="eastAsia" w:ascii="Times New Roman" w:hAnsi="Times New Roman" w:eastAsia="宋体" w:cs="宋体"/>
                      <w:b w:val="0"/>
                      <w:color w:val="auto"/>
                      <w:kern w:val="2"/>
                      <w:sz w:val="21"/>
                      <w:szCs w:val="21"/>
                      <w:lang w:val="en-US" w:eastAsia="zh-CN" w:bidi="ar-SA"/>
                    </w:rPr>
                    <w:t>CH</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OCH</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CH</w:t>
                  </w:r>
                  <w:r>
                    <w:rPr>
                      <w:rFonts w:hint="eastAsia" w:ascii="Times New Roman" w:hAnsi="Times New Roman" w:eastAsia="宋体" w:cs="宋体"/>
                      <w:b w:val="0"/>
                      <w:color w:val="auto"/>
                      <w:kern w:val="2"/>
                      <w:sz w:val="21"/>
                      <w:szCs w:val="21"/>
                      <w:vertAlign w:val="subscript"/>
                      <w:lang w:val="en-US" w:eastAsia="zh-CN" w:bidi="ar-SA"/>
                    </w:rPr>
                    <w:t>2</w:t>
                  </w:r>
                  <w:r>
                    <w:rPr>
                      <w:rFonts w:hint="eastAsia" w:ascii="Times New Roman" w:hAnsi="Times New Roman" w:eastAsia="宋体" w:cs="宋体"/>
                      <w:b w:val="0"/>
                      <w:color w:val="auto"/>
                      <w:kern w:val="2"/>
                      <w:sz w:val="21"/>
                      <w:szCs w:val="21"/>
                      <w:lang w:val="en-US" w:eastAsia="zh-CN" w:bidi="ar-SA"/>
                    </w:rPr>
                    <w:t>OH，别名乙基溶纤剂，无色液体，有温和的香味。能与水、乙醇、乙醚、丙酮和液体酯类混合。易燃，低毒，可经皮肤吸收引起中毒。具有醇和醚的双重性能。是硝酸纤维素、树脂等的良好溶剂。也用作喷漆的原料和稀释剂，又用作去漆剂等。</w:t>
                  </w:r>
                </w:p>
              </w:tc>
              <w:tc>
                <w:tcPr>
                  <w:tcW w:w="453" w:type="pct"/>
                  <w:vAlign w:val="center"/>
                </w:tcPr>
                <w:p w14:paraId="5FEBADF6">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default" w:ascii="Times New Roman" w:hAnsi="Times New Roman" w:cs="宋体"/>
                      <w:b w:val="0"/>
                      <w:color w:val="auto"/>
                      <w:sz w:val="21"/>
                      <w:szCs w:val="21"/>
                      <w:lang w:val="en-US" w:eastAsia="zh-CN"/>
                    </w:rPr>
                  </w:pPr>
                  <w:r>
                    <w:rPr>
                      <w:rFonts w:hint="eastAsia" w:ascii="Times New Roman" w:hAnsi="Times New Roman" w:cs="宋体"/>
                      <w:b w:val="0"/>
                      <w:color w:val="auto"/>
                      <w:sz w:val="21"/>
                      <w:szCs w:val="21"/>
                      <w:lang w:val="en-US" w:eastAsia="zh-CN"/>
                    </w:rPr>
                    <w:t>可燃</w:t>
                  </w:r>
                </w:p>
              </w:tc>
              <w:tc>
                <w:tcPr>
                  <w:tcW w:w="1140" w:type="pct"/>
                  <w:vAlign w:val="center"/>
                </w:tcPr>
                <w:p w14:paraId="66D57D62">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eastAsia" w:ascii="Times New Roman" w:hAnsi="Times New Roman" w:cs="宋体"/>
                      <w:b w:val="0"/>
                      <w:color w:val="auto"/>
                      <w:sz w:val="21"/>
                      <w:szCs w:val="21"/>
                      <w:lang w:val="en-US" w:eastAsia="zh-CN"/>
                    </w:rPr>
                  </w:pPr>
                  <w:r>
                    <w:rPr>
                      <w:rFonts w:hint="eastAsia" w:ascii="Times New Roman" w:hAnsi="Times New Roman" w:cs="宋体"/>
                      <w:b w:val="0"/>
                      <w:color w:val="auto"/>
                      <w:sz w:val="21"/>
                      <w:szCs w:val="21"/>
                      <w:lang w:val="en-US" w:eastAsia="zh-CN"/>
                    </w:rPr>
                    <w:t>口服-大鼠LD</w:t>
                  </w:r>
                  <w:r>
                    <w:rPr>
                      <w:rFonts w:hint="eastAsia" w:ascii="Times New Roman" w:hAnsi="Times New Roman" w:cs="宋体"/>
                      <w:b w:val="0"/>
                      <w:color w:val="auto"/>
                      <w:sz w:val="21"/>
                      <w:szCs w:val="21"/>
                      <w:vertAlign w:val="subscript"/>
                      <w:lang w:val="en-US" w:eastAsia="zh-CN"/>
                    </w:rPr>
                    <w:t>50</w:t>
                  </w:r>
                  <w:r>
                    <w:rPr>
                      <w:rFonts w:hint="eastAsia" w:ascii="Times New Roman" w:hAnsi="Times New Roman" w:cs="宋体"/>
                      <w:b w:val="0"/>
                      <w:color w:val="auto"/>
                      <w:sz w:val="21"/>
                      <w:szCs w:val="21"/>
                      <w:lang w:val="en-US" w:eastAsia="zh-CN"/>
                    </w:rPr>
                    <w:t>:2125毫克/公斤；口服-小鼠LD</w:t>
                  </w:r>
                  <w:r>
                    <w:rPr>
                      <w:rFonts w:hint="eastAsia" w:ascii="Times New Roman" w:hAnsi="Times New Roman" w:cs="宋体"/>
                      <w:b w:val="0"/>
                      <w:color w:val="auto"/>
                      <w:sz w:val="21"/>
                      <w:szCs w:val="21"/>
                      <w:vertAlign w:val="subscript"/>
                      <w:lang w:val="en-US" w:eastAsia="zh-CN"/>
                    </w:rPr>
                    <w:t>50</w:t>
                  </w:r>
                  <w:r>
                    <w:rPr>
                      <w:rFonts w:hint="eastAsia" w:ascii="Times New Roman" w:hAnsi="Times New Roman" w:cs="宋体"/>
                      <w:b w:val="0"/>
                      <w:color w:val="auto"/>
                      <w:sz w:val="21"/>
                      <w:szCs w:val="21"/>
                      <w:lang w:val="en-US" w:eastAsia="zh-CN"/>
                    </w:rPr>
                    <w:t>:2451毫克/公斤</w:t>
                  </w:r>
                </w:p>
              </w:tc>
            </w:tr>
            <w:tr w14:paraId="3E871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99" w:type="pct"/>
                  <w:vAlign w:val="center"/>
                </w:tcPr>
                <w:p w14:paraId="1B0B0C22">
                  <w:pPr>
                    <w:keepNext w:val="0"/>
                    <w:keepLines w:val="0"/>
                    <w:pageBreakBefore w:val="0"/>
                    <w:widowControl w:val="0"/>
                    <w:kinsoku/>
                    <w:wordWrap/>
                    <w:overflowPunct/>
                    <w:topLinePunct w:val="0"/>
                    <w:bidi w:val="0"/>
                    <w:adjustRightInd/>
                    <w:snapToGrid w:val="0"/>
                    <w:spacing w:line="280" w:lineRule="exact"/>
                    <w:jc w:val="center"/>
                    <w:textAlignment w:val="auto"/>
                    <w:rPr>
                      <w:rFonts w:hint="eastAsia"/>
                      <w:b w:val="0"/>
                      <w:color w:val="auto"/>
                    </w:rPr>
                  </w:pPr>
                  <w:r>
                    <w:rPr>
                      <w:rFonts w:hint="eastAsia"/>
                      <w:b w:val="0"/>
                      <w:color w:val="auto"/>
                    </w:rPr>
                    <w:t>十二烷基苯磺酸钠</w:t>
                  </w:r>
                </w:p>
              </w:tc>
              <w:tc>
                <w:tcPr>
                  <w:tcW w:w="2407" w:type="pct"/>
                  <w:vAlign w:val="center"/>
                </w:tcPr>
                <w:p w14:paraId="193785DB">
                  <w:pPr>
                    <w:keepNext w:val="0"/>
                    <w:keepLines w:val="0"/>
                    <w:pageBreakBefore w:val="0"/>
                    <w:widowControl w:val="0"/>
                    <w:kinsoku/>
                    <w:wordWrap/>
                    <w:overflowPunct/>
                    <w:topLinePunct w:val="0"/>
                    <w:bidi w:val="0"/>
                    <w:adjustRightInd/>
                    <w:snapToGrid w:val="0"/>
                    <w:spacing w:line="280" w:lineRule="exact"/>
                    <w:jc w:val="center"/>
                    <w:textAlignment w:val="auto"/>
                    <w:rPr>
                      <w:rFonts w:hint="eastAsia" w:ascii="Times New Roman" w:hAnsi="Times New Roman" w:eastAsia="宋体" w:cs="宋体"/>
                      <w:b w:val="0"/>
                      <w:color w:val="auto"/>
                      <w:kern w:val="2"/>
                      <w:sz w:val="21"/>
                      <w:szCs w:val="21"/>
                      <w:lang w:val="en-US" w:eastAsia="zh-CN" w:bidi="ar-SA"/>
                    </w:rPr>
                  </w:pPr>
                  <w:r>
                    <w:rPr>
                      <w:rFonts w:hint="eastAsia" w:ascii="Times New Roman" w:hAnsi="Times New Roman" w:eastAsia="宋体" w:cs="宋体"/>
                      <w:b w:val="0"/>
                      <w:color w:val="auto"/>
                      <w:kern w:val="2"/>
                      <w:sz w:val="21"/>
                      <w:szCs w:val="21"/>
                      <w:lang w:val="en-US" w:eastAsia="zh-CN" w:bidi="ar-SA"/>
                    </w:rPr>
                    <w:t>是常用的阴离子型表面活性剂，为白色或淡黄色粉状或片状固体，难挥发，易溶于水，溶于水而成半透明溶液。对碱，稀酸，硬水化学性质稳定，微毒。</w:t>
                  </w:r>
                </w:p>
              </w:tc>
              <w:tc>
                <w:tcPr>
                  <w:tcW w:w="453" w:type="pct"/>
                  <w:vAlign w:val="center"/>
                </w:tcPr>
                <w:p w14:paraId="543CA031">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default" w:ascii="Times New Roman" w:hAnsi="Times New Roman" w:cs="宋体"/>
                      <w:b w:val="0"/>
                      <w:color w:val="auto"/>
                      <w:sz w:val="21"/>
                      <w:szCs w:val="21"/>
                      <w:lang w:val="en-US" w:eastAsia="zh-CN"/>
                    </w:rPr>
                  </w:pPr>
                  <w:r>
                    <w:rPr>
                      <w:rFonts w:hint="eastAsia" w:ascii="Times New Roman" w:hAnsi="Times New Roman" w:cs="宋体"/>
                      <w:b w:val="0"/>
                      <w:color w:val="auto"/>
                      <w:sz w:val="21"/>
                      <w:szCs w:val="21"/>
                      <w:lang w:val="en-US" w:eastAsia="zh-CN"/>
                    </w:rPr>
                    <w:t>不燃</w:t>
                  </w:r>
                </w:p>
              </w:tc>
              <w:tc>
                <w:tcPr>
                  <w:tcW w:w="1140" w:type="pct"/>
                  <w:vAlign w:val="center"/>
                </w:tcPr>
                <w:p w14:paraId="547E9F68">
                  <w:pPr>
                    <w:pStyle w:val="49"/>
                    <w:keepNext w:val="0"/>
                    <w:keepLines w:val="0"/>
                    <w:pageBreakBefore w:val="0"/>
                    <w:widowControl w:val="0"/>
                    <w:tabs>
                      <w:tab w:val="left" w:pos="1785"/>
                      <w:tab w:val="center" w:pos="4156"/>
                    </w:tabs>
                    <w:kinsoku/>
                    <w:wordWrap/>
                    <w:overflowPunct/>
                    <w:topLinePunct w:val="0"/>
                    <w:bidi w:val="0"/>
                    <w:adjustRightInd/>
                    <w:spacing w:beforeLines="0" w:line="280" w:lineRule="exact"/>
                    <w:ind w:firstLine="0" w:firstLineChars="0"/>
                    <w:jc w:val="center"/>
                    <w:textAlignment w:val="auto"/>
                    <w:rPr>
                      <w:rFonts w:hint="default" w:ascii="Times New Roman" w:hAnsi="Times New Roman" w:cs="宋体"/>
                      <w:b w:val="0"/>
                      <w:color w:val="auto"/>
                      <w:sz w:val="21"/>
                      <w:szCs w:val="21"/>
                      <w:lang w:val="en-US" w:eastAsia="zh-CN"/>
                    </w:rPr>
                  </w:pPr>
                  <w:r>
                    <w:rPr>
                      <w:rFonts w:hint="eastAsia" w:ascii="Times New Roman" w:hAnsi="Times New Roman" w:cs="宋体"/>
                      <w:b w:val="0"/>
                      <w:color w:val="auto"/>
                      <w:sz w:val="21"/>
                      <w:szCs w:val="21"/>
                      <w:lang w:val="en-US" w:eastAsia="zh-CN"/>
                    </w:rPr>
                    <w:t>低毒</w:t>
                  </w:r>
                </w:p>
              </w:tc>
            </w:tr>
          </w:tbl>
          <w:p w14:paraId="743765CF">
            <w:pPr>
              <w:tabs>
                <w:tab w:val="left" w:pos="960"/>
              </w:tabs>
              <w:spacing w:beforeLines="50"/>
              <w:jc w:val="center"/>
              <w:rPr>
                <w:rFonts w:ascii="Times New Roman" w:hAnsi="Times New Roman" w:eastAsia="宋体" w:cs="宋体"/>
                <w:b/>
                <w:bCs w:val="0"/>
                <w:color w:val="auto"/>
                <w:spacing w:val="-4"/>
                <w:szCs w:val="21"/>
                <w:highlight w:val="none"/>
              </w:rPr>
            </w:pPr>
          </w:p>
          <w:p w14:paraId="5D46DD04">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表2</w:t>
            </w:r>
            <w:r>
              <w:rPr>
                <w:rFonts w:hint="eastAsia" w:ascii="Times New Roman" w:hAnsi="Times New Roman" w:eastAsia="宋体" w:cs="宋体"/>
                <w:b/>
                <w:bCs w:val="0"/>
                <w:color w:val="auto"/>
                <w:spacing w:val="-4"/>
                <w:szCs w:val="21"/>
                <w:highlight w:val="none"/>
              </w:rPr>
              <w:t>.1</w:t>
            </w:r>
            <w:r>
              <w:rPr>
                <w:rFonts w:ascii="Times New Roman" w:hAnsi="Times New Roman" w:eastAsia="宋体" w:cs="宋体"/>
                <w:b/>
                <w:bCs w:val="0"/>
                <w:color w:val="auto"/>
                <w:spacing w:val="-4"/>
                <w:szCs w:val="21"/>
                <w:highlight w:val="none"/>
              </w:rPr>
              <w:t>-</w:t>
            </w:r>
            <w:r>
              <w:rPr>
                <w:rFonts w:hint="eastAsia" w:cs="宋体"/>
                <w:b/>
                <w:bCs w:val="0"/>
                <w:color w:val="auto"/>
                <w:spacing w:val="-4"/>
                <w:szCs w:val="21"/>
                <w:highlight w:val="none"/>
                <w:lang w:val="en-US" w:eastAsia="zh-CN"/>
              </w:rPr>
              <w:t>6</w:t>
            </w:r>
            <w:r>
              <w:rPr>
                <w:rFonts w:ascii="Times New Roman" w:hAnsi="Times New Roman" w:eastAsia="宋体" w:cs="宋体"/>
                <w:b/>
                <w:bCs w:val="0"/>
                <w:color w:val="auto"/>
                <w:spacing w:val="-4"/>
                <w:szCs w:val="21"/>
                <w:highlight w:val="none"/>
              </w:rPr>
              <w:t xml:space="preserve">  本项目</w:t>
            </w:r>
            <w:r>
              <w:rPr>
                <w:rFonts w:hint="eastAsia" w:ascii="Times New Roman" w:hAnsi="Times New Roman" w:eastAsia="宋体" w:cs="宋体"/>
                <w:b/>
                <w:bCs w:val="0"/>
                <w:color w:val="auto"/>
                <w:spacing w:val="-4"/>
                <w:szCs w:val="21"/>
                <w:highlight w:val="none"/>
              </w:rPr>
              <w:t>辅料</w:t>
            </w:r>
            <w:r>
              <w:rPr>
                <w:rFonts w:ascii="Times New Roman" w:hAnsi="Times New Roman" w:eastAsia="宋体" w:cs="宋体"/>
                <w:b/>
                <w:bCs w:val="0"/>
                <w:color w:val="auto"/>
                <w:spacing w:val="-4"/>
                <w:szCs w:val="21"/>
                <w:highlight w:val="none"/>
              </w:rPr>
              <w:t>VOCs含量</w:t>
            </w:r>
            <w:r>
              <w:rPr>
                <w:rFonts w:hint="eastAsia" w:ascii="Times New Roman" w:hAnsi="Times New Roman" w:eastAsia="宋体" w:cs="宋体"/>
                <w:b/>
                <w:bCs w:val="0"/>
                <w:color w:val="auto"/>
                <w:spacing w:val="-4"/>
                <w:szCs w:val="21"/>
                <w:highlight w:val="none"/>
              </w:rPr>
              <w:t>对照表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6"/>
              <w:gridCol w:w="2652"/>
              <w:gridCol w:w="2497"/>
              <w:gridCol w:w="1141"/>
              <w:gridCol w:w="1161"/>
            </w:tblGrid>
            <w:tr w14:paraId="56324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1" w:type="pct"/>
                  <w:tcBorders>
                    <w:tl2br w:val="nil"/>
                    <w:tr2bl w:val="nil"/>
                  </w:tcBorders>
                  <w:vAlign w:val="center"/>
                </w:tcPr>
                <w:p w14:paraId="16D1C858">
                  <w:pPr>
                    <w:tabs>
                      <w:tab w:val="left" w:pos="960"/>
                    </w:tabs>
                    <w:snapToGrid w:val="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物料名称</w:t>
                  </w:r>
                </w:p>
              </w:tc>
              <w:tc>
                <w:tcPr>
                  <w:tcW w:w="1589" w:type="pct"/>
                  <w:tcBorders>
                    <w:tl2br w:val="nil"/>
                    <w:tr2bl w:val="nil"/>
                  </w:tcBorders>
                  <w:vAlign w:val="center"/>
                </w:tcPr>
                <w:p w14:paraId="6820B44F">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对照文件</w:t>
                  </w:r>
                </w:p>
              </w:tc>
              <w:tc>
                <w:tcPr>
                  <w:tcW w:w="1496" w:type="pct"/>
                  <w:tcBorders>
                    <w:tl2br w:val="nil"/>
                    <w:tr2bl w:val="nil"/>
                  </w:tcBorders>
                  <w:vAlign w:val="center"/>
                </w:tcPr>
                <w:p w14:paraId="3770C948">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限量值（g/L）</w:t>
                  </w:r>
                </w:p>
              </w:tc>
              <w:tc>
                <w:tcPr>
                  <w:tcW w:w="684" w:type="pct"/>
                  <w:tcBorders>
                    <w:tl2br w:val="nil"/>
                    <w:tr2bl w:val="nil"/>
                  </w:tcBorders>
                  <w:vAlign w:val="center"/>
                </w:tcPr>
                <w:p w14:paraId="46C345C5">
                  <w:pPr>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VOCs含量</w:t>
                  </w:r>
                  <w:r>
                    <w:rPr>
                      <w:rFonts w:hint="eastAsia" w:ascii="Times New Roman" w:hAnsi="Times New Roman" w:eastAsia="宋体" w:cs="宋体"/>
                      <w:b/>
                      <w:bCs w:val="0"/>
                      <w:color w:val="auto"/>
                      <w:szCs w:val="21"/>
                      <w:highlight w:val="none"/>
                    </w:rPr>
                    <w:t>值（g/L）</w:t>
                  </w:r>
                </w:p>
              </w:tc>
              <w:tc>
                <w:tcPr>
                  <w:tcW w:w="696" w:type="pct"/>
                  <w:tcBorders>
                    <w:tl2br w:val="nil"/>
                    <w:tr2bl w:val="nil"/>
                  </w:tcBorders>
                  <w:vAlign w:val="center"/>
                </w:tcPr>
                <w:p w14:paraId="60305203">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相符性分析</w:t>
                  </w:r>
                </w:p>
              </w:tc>
            </w:tr>
            <w:tr w14:paraId="5F9A5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1" w:type="pct"/>
                  <w:vMerge w:val="restart"/>
                  <w:tcBorders>
                    <w:tl2br w:val="nil"/>
                    <w:tr2bl w:val="nil"/>
                  </w:tcBorders>
                  <w:vAlign w:val="center"/>
                </w:tcPr>
                <w:p w14:paraId="6A93F4D4">
                  <w:pPr>
                    <w:pStyle w:val="63"/>
                    <w:adjustRightInd/>
                    <w:snapToGrid w:val="0"/>
                    <w:spacing w:after="0"/>
                    <w:jc w:val="center"/>
                    <w:rPr>
                      <w:rFonts w:hint="eastAsia" w:ascii="Times New Roman" w:hAnsi="Times New Roman" w:eastAsia="宋体" w:cs="宋体"/>
                      <w:b w:val="0"/>
                      <w:bCs/>
                      <w:color w:val="auto"/>
                      <w:spacing w:val="-4"/>
                      <w:sz w:val="21"/>
                      <w:szCs w:val="21"/>
                      <w:highlight w:val="none"/>
                      <w:lang w:eastAsia="zh-CN"/>
                    </w:rPr>
                  </w:pPr>
                  <w:r>
                    <w:rPr>
                      <w:rFonts w:hint="eastAsia" w:ascii="Times New Roman" w:hAnsi="Times New Roman" w:eastAsia="宋体" w:cs="宋体"/>
                      <w:b w:val="0"/>
                      <w:bCs w:val="0"/>
                      <w:color w:val="auto"/>
                      <w:spacing w:val="-4"/>
                      <w:sz w:val="21"/>
                      <w:szCs w:val="21"/>
                      <w:highlight w:val="none"/>
                      <w:lang w:eastAsia="zh-CN"/>
                    </w:rPr>
                    <w:t>清洗剂</w:t>
                  </w:r>
                </w:p>
              </w:tc>
              <w:tc>
                <w:tcPr>
                  <w:tcW w:w="1589" w:type="pct"/>
                  <w:vMerge w:val="restart"/>
                  <w:tcBorders>
                    <w:tl2br w:val="nil"/>
                    <w:tr2bl w:val="nil"/>
                  </w:tcBorders>
                  <w:vAlign w:val="center"/>
                </w:tcPr>
                <w:p w14:paraId="253D47E9">
                  <w:pPr>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color w:val="auto"/>
                      <w:szCs w:val="21"/>
                      <w:highlight w:val="none"/>
                    </w:rPr>
                    <w:t>《清洗剂挥发性有机化合物含量限值》（GB38508-2020）—表1清洗剂VOC含量及特定挥发性有机物限值要求—水基清洗剂</w:t>
                  </w:r>
                </w:p>
              </w:tc>
              <w:tc>
                <w:tcPr>
                  <w:tcW w:w="1496" w:type="pct"/>
                  <w:tcBorders>
                    <w:tl2br w:val="nil"/>
                    <w:tr2bl w:val="nil"/>
                  </w:tcBorders>
                  <w:vAlign w:val="center"/>
                </w:tcPr>
                <w:p w14:paraId="40004388">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≤50</w:t>
                  </w:r>
                </w:p>
              </w:tc>
              <w:tc>
                <w:tcPr>
                  <w:tcW w:w="684" w:type="pct"/>
                  <w:tcBorders>
                    <w:tl2br w:val="nil"/>
                    <w:tr2bl w:val="nil"/>
                  </w:tcBorders>
                  <w:vAlign w:val="center"/>
                </w:tcPr>
                <w:p w14:paraId="567F3D9F">
                  <w:pPr>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42</w:t>
                  </w:r>
                </w:p>
              </w:tc>
              <w:tc>
                <w:tcPr>
                  <w:tcW w:w="696" w:type="pct"/>
                  <w:vMerge w:val="restart"/>
                  <w:tcBorders>
                    <w:tl2br w:val="nil"/>
                    <w:tr2bl w:val="nil"/>
                  </w:tcBorders>
                  <w:vAlign w:val="center"/>
                </w:tcPr>
                <w:p w14:paraId="0D0929A4">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bCs/>
                      <w:color w:val="auto"/>
                      <w:szCs w:val="21"/>
                      <w:highlight w:val="none"/>
                    </w:rPr>
                    <w:t>符合</w:t>
                  </w:r>
                </w:p>
              </w:tc>
            </w:tr>
            <w:tr w14:paraId="34BB8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1" w:type="pct"/>
                  <w:vMerge w:val="continue"/>
                  <w:tcBorders>
                    <w:tl2br w:val="nil"/>
                    <w:tr2bl w:val="nil"/>
                  </w:tcBorders>
                  <w:vAlign w:val="center"/>
                </w:tcPr>
                <w:p w14:paraId="0FE16333">
                  <w:pPr>
                    <w:tabs>
                      <w:tab w:val="left" w:pos="960"/>
                    </w:tabs>
                    <w:snapToGrid w:val="0"/>
                    <w:jc w:val="center"/>
                    <w:rPr>
                      <w:rFonts w:ascii="Times New Roman" w:hAnsi="Times New Roman" w:eastAsia="宋体" w:cs="宋体"/>
                      <w:b w:val="0"/>
                      <w:bCs/>
                      <w:color w:val="auto"/>
                      <w:spacing w:val="-4"/>
                      <w:szCs w:val="21"/>
                      <w:highlight w:val="none"/>
                    </w:rPr>
                  </w:pPr>
                </w:p>
              </w:tc>
              <w:tc>
                <w:tcPr>
                  <w:tcW w:w="1589" w:type="pct"/>
                  <w:vMerge w:val="continue"/>
                  <w:tcBorders>
                    <w:tl2br w:val="nil"/>
                    <w:tr2bl w:val="nil"/>
                  </w:tcBorders>
                  <w:vAlign w:val="center"/>
                </w:tcPr>
                <w:p w14:paraId="71B05BAA">
                  <w:pPr>
                    <w:snapToGrid w:val="0"/>
                    <w:jc w:val="center"/>
                    <w:rPr>
                      <w:rFonts w:ascii="Times New Roman" w:hAnsi="Times New Roman" w:eastAsia="宋体" w:cs="宋体"/>
                      <w:b w:val="0"/>
                      <w:bCs/>
                      <w:color w:val="auto"/>
                      <w:szCs w:val="21"/>
                      <w:highlight w:val="none"/>
                    </w:rPr>
                  </w:pPr>
                </w:p>
              </w:tc>
              <w:tc>
                <w:tcPr>
                  <w:tcW w:w="1496" w:type="pct"/>
                  <w:tcBorders>
                    <w:tl2br w:val="nil"/>
                    <w:tr2bl w:val="nil"/>
                  </w:tcBorders>
                  <w:vAlign w:val="center"/>
                </w:tcPr>
                <w:p w14:paraId="47CC1520">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二氯甲烷、三氯甲烷、三氯乙烯、四氯乙烯总和≤0.5%</w:t>
                  </w:r>
                </w:p>
              </w:tc>
              <w:tc>
                <w:tcPr>
                  <w:tcW w:w="684" w:type="pct"/>
                  <w:vMerge w:val="restart"/>
                  <w:tcBorders>
                    <w:tl2br w:val="nil"/>
                    <w:tr2bl w:val="nil"/>
                  </w:tcBorders>
                  <w:vAlign w:val="center"/>
                </w:tcPr>
                <w:p w14:paraId="31E6E52A">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本品不含前述物质</w:t>
                  </w:r>
                </w:p>
              </w:tc>
              <w:tc>
                <w:tcPr>
                  <w:tcW w:w="696" w:type="pct"/>
                  <w:vMerge w:val="continue"/>
                  <w:tcBorders>
                    <w:tl2br w:val="nil"/>
                    <w:tr2bl w:val="nil"/>
                  </w:tcBorders>
                  <w:vAlign w:val="center"/>
                </w:tcPr>
                <w:p w14:paraId="3952ED5D">
                  <w:pPr>
                    <w:snapToGrid w:val="0"/>
                    <w:jc w:val="center"/>
                    <w:rPr>
                      <w:rFonts w:ascii="Times New Roman" w:hAnsi="Times New Roman" w:eastAsia="宋体" w:cs="宋体"/>
                      <w:b w:val="0"/>
                      <w:color w:val="auto"/>
                      <w:szCs w:val="21"/>
                      <w:highlight w:val="none"/>
                    </w:rPr>
                  </w:pPr>
                </w:p>
              </w:tc>
            </w:tr>
            <w:tr w14:paraId="0CB98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1" w:type="pct"/>
                  <w:vMerge w:val="continue"/>
                  <w:tcBorders>
                    <w:tl2br w:val="nil"/>
                    <w:tr2bl w:val="nil"/>
                  </w:tcBorders>
                  <w:vAlign w:val="center"/>
                </w:tcPr>
                <w:p w14:paraId="3C973C46">
                  <w:pPr>
                    <w:tabs>
                      <w:tab w:val="left" w:pos="960"/>
                    </w:tabs>
                    <w:snapToGrid w:val="0"/>
                    <w:jc w:val="center"/>
                    <w:rPr>
                      <w:rFonts w:ascii="Times New Roman" w:hAnsi="Times New Roman" w:eastAsia="宋体" w:cs="宋体"/>
                      <w:b w:val="0"/>
                      <w:bCs/>
                      <w:color w:val="auto"/>
                      <w:spacing w:val="-4"/>
                      <w:szCs w:val="21"/>
                      <w:highlight w:val="none"/>
                    </w:rPr>
                  </w:pPr>
                </w:p>
              </w:tc>
              <w:tc>
                <w:tcPr>
                  <w:tcW w:w="1589" w:type="pct"/>
                  <w:vMerge w:val="continue"/>
                  <w:tcBorders>
                    <w:tl2br w:val="nil"/>
                    <w:tr2bl w:val="nil"/>
                  </w:tcBorders>
                  <w:vAlign w:val="center"/>
                </w:tcPr>
                <w:p w14:paraId="3F7D7069">
                  <w:pPr>
                    <w:snapToGrid w:val="0"/>
                    <w:jc w:val="center"/>
                    <w:rPr>
                      <w:rFonts w:ascii="Times New Roman" w:hAnsi="Times New Roman" w:eastAsia="宋体" w:cs="宋体"/>
                      <w:b w:val="0"/>
                      <w:bCs/>
                      <w:color w:val="auto"/>
                      <w:szCs w:val="21"/>
                      <w:highlight w:val="none"/>
                    </w:rPr>
                  </w:pPr>
                </w:p>
              </w:tc>
              <w:tc>
                <w:tcPr>
                  <w:tcW w:w="1496" w:type="pct"/>
                  <w:tcBorders>
                    <w:tl2br w:val="nil"/>
                    <w:tr2bl w:val="nil"/>
                  </w:tcBorders>
                  <w:vAlign w:val="center"/>
                </w:tcPr>
                <w:p w14:paraId="788CDC2B">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甲醛≤0.5g/kg</w:t>
                  </w:r>
                </w:p>
              </w:tc>
              <w:tc>
                <w:tcPr>
                  <w:tcW w:w="684" w:type="pct"/>
                  <w:vMerge w:val="continue"/>
                  <w:tcBorders>
                    <w:tl2br w:val="nil"/>
                    <w:tr2bl w:val="nil"/>
                  </w:tcBorders>
                  <w:vAlign w:val="center"/>
                </w:tcPr>
                <w:p w14:paraId="5C24569D">
                  <w:pPr>
                    <w:snapToGrid w:val="0"/>
                    <w:jc w:val="center"/>
                    <w:rPr>
                      <w:rFonts w:ascii="Times New Roman" w:hAnsi="Times New Roman" w:eastAsia="宋体" w:cs="宋体"/>
                      <w:b w:val="0"/>
                      <w:bCs/>
                      <w:color w:val="auto"/>
                      <w:szCs w:val="21"/>
                      <w:highlight w:val="none"/>
                    </w:rPr>
                  </w:pPr>
                </w:p>
              </w:tc>
              <w:tc>
                <w:tcPr>
                  <w:tcW w:w="696" w:type="pct"/>
                  <w:vMerge w:val="continue"/>
                  <w:tcBorders>
                    <w:tl2br w:val="nil"/>
                    <w:tr2bl w:val="nil"/>
                  </w:tcBorders>
                  <w:vAlign w:val="center"/>
                </w:tcPr>
                <w:p w14:paraId="6382CEBD">
                  <w:pPr>
                    <w:snapToGrid w:val="0"/>
                    <w:jc w:val="center"/>
                    <w:rPr>
                      <w:rFonts w:ascii="Times New Roman" w:hAnsi="Times New Roman" w:eastAsia="宋体" w:cs="宋体"/>
                      <w:b w:val="0"/>
                      <w:color w:val="auto"/>
                      <w:szCs w:val="21"/>
                      <w:highlight w:val="none"/>
                    </w:rPr>
                  </w:pPr>
                </w:p>
              </w:tc>
            </w:tr>
            <w:tr w14:paraId="1BAA3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31" w:type="pct"/>
                  <w:vMerge w:val="continue"/>
                  <w:tcBorders>
                    <w:tl2br w:val="nil"/>
                    <w:tr2bl w:val="nil"/>
                  </w:tcBorders>
                  <w:vAlign w:val="center"/>
                </w:tcPr>
                <w:p w14:paraId="66BB0527">
                  <w:pPr>
                    <w:tabs>
                      <w:tab w:val="left" w:pos="960"/>
                    </w:tabs>
                    <w:snapToGrid w:val="0"/>
                    <w:jc w:val="center"/>
                    <w:rPr>
                      <w:rFonts w:ascii="Times New Roman" w:hAnsi="Times New Roman" w:eastAsia="宋体" w:cs="宋体"/>
                      <w:b w:val="0"/>
                      <w:bCs/>
                      <w:color w:val="auto"/>
                      <w:spacing w:val="-4"/>
                      <w:szCs w:val="21"/>
                      <w:highlight w:val="none"/>
                    </w:rPr>
                  </w:pPr>
                </w:p>
              </w:tc>
              <w:tc>
                <w:tcPr>
                  <w:tcW w:w="1589" w:type="pct"/>
                  <w:vMerge w:val="continue"/>
                  <w:tcBorders>
                    <w:tl2br w:val="nil"/>
                    <w:tr2bl w:val="nil"/>
                  </w:tcBorders>
                  <w:vAlign w:val="center"/>
                </w:tcPr>
                <w:p w14:paraId="1C904D86">
                  <w:pPr>
                    <w:snapToGrid w:val="0"/>
                    <w:jc w:val="center"/>
                    <w:rPr>
                      <w:rFonts w:ascii="Times New Roman" w:hAnsi="Times New Roman" w:eastAsia="宋体" w:cs="宋体"/>
                      <w:b w:val="0"/>
                      <w:bCs/>
                      <w:color w:val="auto"/>
                      <w:szCs w:val="21"/>
                      <w:highlight w:val="none"/>
                    </w:rPr>
                  </w:pPr>
                </w:p>
              </w:tc>
              <w:tc>
                <w:tcPr>
                  <w:tcW w:w="1496" w:type="pct"/>
                  <w:tcBorders>
                    <w:tl2br w:val="nil"/>
                    <w:tr2bl w:val="nil"/>
                  </w:tcBorders>
                  <w:vAlign w:val="center"/>
                </w:tcPr>
                <w:p w14:paraId="1A92F024">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苯、甲苯、乙苯和二甲苯总和≤0.5%</w:t>
                  </w:r>
                </w:p>
              </w:tc>
              <w:tc>
                <w:tcPr>
                  <w:tcW w:w="684" w:type="pct"/>
                  <w:vMerge w:val="continue"/>
                  <w:tcBorders>
                    <w:tl2br w:val="nil"/>
                    <w:tr2bl w:val="nil"/>
                  </w:tcBorders>
                  <w:vAlign w:val="center"/>
                </w:tcPr>
                <w:p w14:paraId="534AD909">
                  <w:pPr>
                    <w:snapToGrid w:val="0"/>
                    <w:jc w:val="center"/>
                    <w:rPr>
                      <w:rFonts w:ascii="Times New Roman" w:hAnsi="Times New Roman" w:eastAsia="宋体" w:cs="宋体"/>
                      <w:b w:val="0"/>
                      <w:bCs/>
                      <w:color w:val="auto"/>
                      <w:szCs w:val="21"/>
                      <w:highlight w:val="none"/>
                    </w:rPr>
                  </w:pPr>
                </w:p>
              </w:tc>
              <w:tc>
                <w:tcPr>
                  <w:tcW w:w="696" w:type="pct"/>
                  <w:vMerge w:val="continue"/>
                  <w:tcBorders>
                    <w:tl2br w:val="nil"/>
                    <w:tr2bl w:val="nil"/>
                  </w:tcBorders>
                  <w:vAlign w:val="center"/>
                </w:tcPr>
                <w:p w14:paraId="4AAF133E">
                  <w:pPr>
                    <w:snapToGrid w:val="0"/>
                    <w:jc w:val="center"/>
                    <w:rPr>
                      <w:rFonts w:ascii="Times New Roman" w:hAnsi="Times New Roman" w:eastAsia="宋体" w:cs="宋体"/>
                      <w:b w:val="0"/>
                      <w:color w:val="auto"/>
                      <w:szCs w:val="21"/>
                      <w:highlight w:val="none"/>
                    </w:rPr>
                  </w:pPr>
                </w:p>
              </w:tc>
            </w:tr>
          </w:tbl>
          <w:p w14:paraId="48D62871">
            <w:pPr>
              <w:spacing w:line="360" w:lineRule="auto"/>
              <w:ind w:firstLine="480" w:firstLineChars="200"/>
              <w:rPr>
                <w:rFonts w:ascii="Times New Roman" w:hAnsi="Times New Roman" w:eastAsia="宋体" w:cs="宋体"/>
                <w:b w:val="0"/>
                <w:bCs/>
                <w:color w:val="auto"/>
                <w:sz w:val="24"/>
                <w:highlight w:val="none"/>
              </w:rPr>
            </w:pPr>
            <w:r>
              <w:rPr>
                <w:rFonts w:hint="eastAsia" w:ascii="Times New Roman" w:hAnsi="Times New Roman" w:eastAsia="宋体" w:cs="宋体"/>
                <w:b w:val="0"/>
                <w:bCs/>
                <w:color w:val="auto"/>
                <w:sz w:val="24"/>
                <w:highlight w:val="none"/>
              </w:rPr>
              <w:t>6</w:t>
            </w:r>
            <w:r>
              <w:rPr>
                <w:rFonts w:ascii="Times New Roman" w:hAnsi="Times New Roman" w:eastAsia="宋体" w:cs="宋体"/>
                <w:b w:val="0"/>
                <w:bCs/>
                <w:color w:val="auto"/>
                <w:sz w:val="24"/>
                <w:highlight w:val="none"/>
              </w:rPr>
              <w:t>、</w:t>
            </w:r>
            <w:r>
              <w:rPr>
                <w:rFonts w:hint="eastAsia" w:ascii="Times New Roman" w:hAnsi="Times New Roman" w:eastAsia="宋体" w:cs="宋体"/>
                <w:b w:val="0"/>
                <w:bCs/>
                <w:color w:val="auto"/>
                <w:sz w:val="24"/>
                <w:highlight w:val="none"/>
              </w:rPr>
              <w:t>设备</w:t>
            </w:r>
          </w:p>
          <w:p w14:paraId="53DBC98A">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2.1-</w:t>
            </w:r>
            <w:r>
              <w:rPr>
                <w:rFonts w:hint="eastAsia" w:cs="宋体"/>
                <w:b/>
                <w:bCs w:val="0"/>
                <w:color w:val="auto"/>
                <w:spacing w:val="-4"/>
                <w:szCs w:val="21"/>
                <w:highlight w:val="none"/>
                <w:lang w:val="en-US" w:eastAsia="zh-CN"/>
              </w:rPr>
              <w:t>7</w:t>
            </w:r>
            <w:r>
              <w:rPr>
                <w:rFonts w:hint="eastAsia" w:ascii="Times New Roman" w:hAnsi="Times New Roman" w:eastAsia="宋体" w:cs="宋体"/>
                <w:b/>
                <w:bCs w:val="0"/>
                <w:color w:val="auto"/>
                <w:spacing w:val="-4"/>
                <w:szCs w:val="21"/>
                <w:highlight w:val="none"/>
              </w:rPr>
              <w:t xml:space="preserve">  </w:t>
            </w:r>
            <w:r>
              <w:rPr>
                <w:rFonts w:ascii="Times New Roman" w:hAnsi="Times New Roman" w:eastAsia="宋体" w:cs="宋体"/>
                <w:b/>
                <w:bCs w:val="0"/>
                <w:color w:val="auto"/>
                <w:spacing w:val="-4"/>
                <w:szCs w:val="21"/>
                <w:highlight w:val="none"/>
              </w:rPr>
              <w:t>主要设备一览表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2"/>
              <w:gridCol w:w="2458"/>
              <w:gridCol w:w="1325"/>
              <w:gridCol w:w="750"/>
              <w:gridCol w:w="750"/>
              <w:gridCol w:w="787"/>
              <w:gridCol w:w="763"/>
              <w:gridCol w:w="817"/>
            </w:tblGrid>
            <w:tr w14:paraId="51B609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Merge w:val="restart"/>
                  <w:noWrap w:val="0"/>
                  <w:vAlign w:val="center"/>
                </w:tcPr>
                <w:p w14:paraId="280E4DC6">
                  <w:pPr>
                    <w:snapToGrid w:val="0"/>
                    <w:jc w:val="center"/>
                    <w:rPr>
                      <w:rFonts w:ascii="Times New Roman" w:hAnsi="Times New Roman" w:eastAsia="宋体"/>
                      <w:b/>
                      <w:bCs w:val="0"/>
                      <w:smallCaps w:val="0"/>
                      <w:color w:val="auto"/>
                      <w:sz w:val="21"/>
                      <w:szCs w:val="21"/>
                      <w:highlight w:val="none"/>
                    </w:rPr>
                  </w:pPr>
                  <w:r>
                    <w:rPr>
                      <w:rFonts w:hint="eastAsia" w:ascii="Times New Roman" w:hAnsi="Times New Roman" w:eastAsia="宋体"/>
                      <w:b/>
                      <w:bCs w:val="0"/>
                      <w:smallCaps w:val="0"/>
                      <w:color w:val="auto"/>
                      <w:sz w:val="21"/>
                      <w:szCs w:val="21"/>
                      <w:highlight w:val="none"/>
                    </w:rPr>
                    <w:t>序号</w:t>
                  </w:r>
                </w:p>
              </w:tc>
              <w:tc>
                <w:tcPr>
                  <w:tcW w:w="1475" w:type="pct"/>
                  <w:vMerge w:val="restart"/>
                  <w:noWrap w:val="0"/>
                  <w:vAlign w:val="center"/>
                </w:tcPr>
                <w:p w14:paraId="142B5A96">
                  <w:pPr>
                    <w:snapToGrid w:val="0"/>
                    <w:jc w:val="center"/>
                    <w:rPr>
                      <w:rFonts w:ascii="Times New Roman" w:hAnsi="Times New Roman" w:eastAsia="宋体"/>
                      <w:b/>
                      <w:bCs w:val="0"/>
                      <w:smallCaps w:val="0"/>
                      <w:color w:val="auto"/>
                      <w:sz w:val="21"/>
                      <w:szCs w:val="21"/>
                      <w:highlight w:val="none"/>
                    </w:rPr>
                  </w:pPr>
                  <w:r>
                    <w:rPr>
                      <w:rFonts w:hint="eastAsia" w:ascii="Times New Roman" w:hAnsi="Times New Roman" w:eastAsia="宋体"/>
                      <w:b/>
                      <w:bCs w:val="0"/>
                      <w:smallCaps w:val="0"/>
                      <w:color w:val="auto"/>
                      <w:sz w:val="21"/>
                      <w:szCs w:val="21"/>
                      <w:highlight w:val="none"/>
                    </w:rPr>
                    <w:t>设备</w:t>
                  </w:r>
                  <w:r>
                    <w:rPr>
                      <w:rFonts w:ascii="Times New Roman" w:hAnsi="Times New Roman" w:eastAsia="宋体"/>
                      <w:b/>
                      <w:bCs w:val="0"/>
                      <w:smallCaps w:val="0"/>
                      <w:color w:val="auto"/>
                      <w:sz w:val="21"/>
                      <w:szCs w:val="21"/>
                      <w:highlight w:val="none"/>
                    </w:rPr>
                    <w:t>名称</w:t>
                  </w:r>
                </w:p>
              </w:tc>
              <w:tc>
                <w:tcPr>
                  <w:tcW w:w="795" w:type="pct"/>
                  <w:vMerge w:val="restart"/>
                  <w:noWrap w:val="0"/>
                  <w:vAlign w:val="center"/>
                </w:tcPr>
                <w:p w14:paraId="4C5E26D6">
                  <w:pPr>
                    <w:snapToGrid w:val="0"/>
                    <w:jc w:val="center"/>
                    <w:rPr>
                      <w:rFonts w:ascii="Times New Roman" w:hAnsi="Times New Roman" w:eastAsia="宋体"/>
                      <w:b/>
                      <w:bCs w:val="0"/>
                      <w:smallCaps w:val="0"/>
                      <w:color w:val="auto"/>
                      <w:sz w:val="21"/>
                      <w:szCs w:val="21"/>
                      <w:highlight w:val="none"/>
                    </w:rPr>
                  </w:pPr>
                  <w:r>
                    <w:rPr>
                      <w:rFonts w:hint="eastAsia" w:ascii="Times New Roman" w:hAnsi="Times New Roman" w:eastAsia="宋体"/>
                      <w:b/>
                      <w:bCs w:val="0"/>
                      <w:smallCaps w:val="0"/>
                      <w:color w:val="auto"/>
                      <w:sz w:val="21"/>
                      <w:szCs w:val="21"/>
                      <w:highlight w:val="none"/>
                    </w:rPr>
                    <w:t>规格型号</w:t>
                  </w:r>
                </w:p>
              </w:tc>
              <w:tc>
                <w:tcPr>
                  <w:tcW w:w="450" w:type="pct"/>
                  <w:vMerge w:val="restart"/>
                  <w:noWrap w:val="0"/>
                  <w:vAlign w:val="center"/>
                </w:tcPr>
                <w:p w14:paraId="4609A67F">
                  <w:pPr>
                    <w:snapToGrid w:val="0"/>
                    <w:jc w:val="center"/>
                    <w:rPr>
                      <w:rFonts w:ascii="Times New Roman" w:hAnsi="Times New Roman" w:eastAsia="宋体"/>
                      <w:b/>
                      <w:bCs w:val="0"/>
                      <w:smallCaps w:val="0"/>
                      <w:color w:val="auto"/>
                      <w:sz w:val="21"/>
                      <w:szCs w:val="21"/>
                      <w:highlight w:val="none"/>
                    </w:rPr>
                  </w:pPr>
                  <w:r>
                    <w:rPr>
                      <w:rFonts w:hint="eastAsia" w:ascii="Times New Roman" w:hAnsi="Times New Roman" w:eastAsia="宋体"/>
                      <w:b/>
                      <w:bCs w:val="0"/>
                      <w:smallCaps w:val="0"/>
                      <w:color w:val="auto"/>
                      <w:sz w:val="21"/>
                      <w:szCs w:val="21"/>
                      <w:highlight w:val="none"/>
                    </w:rPr>
                    <w:t>单位</w:t>
                  </w:r>
                </w:p>
              </w:tc>
              <w:tc>
                <w:tcPr>
                  <w:tcW w:w="1380" w:type="pct"/>
                  <w:gridSpan w:val="3"/>
                  <w:noWrap w:val="0"/>
                  <w:vAlign w:val="center"/>
                </w:tcPr>
                <w:p w14:paraId="17EDF2E8">
                  <w:pPr>
                    <w:snapToGrid w:val="0"/>
                    <w:jc w:val="center"/>
                    <w:rPr>
                      <w:rFonts w:ascii="Times New Roman" w:hAnsi="Times New Roman" w:eastAsia="宋体"/>
                      <w:b/>
                      <w:bCs w:val="0"/>
                      <w:smallCaps w:val="0"/>
                      <w:color w:val="auto"/>
                      <w:sz w:val="21"/>
                      <w:szCs w:val="21"/>
                      <w:highlight w:val="none"/>
                    </w:rPr>
                  </w:pPr>
                  <w:r>
                    <w:rPr>
                      <w:rFonts w:ascii="Times New Roman" w:hAnsi="Times New Roman" w:eastAsia="宋体"/>
                      <w:b/>
                      <w:bCs w:val="0"/>
                      <w:smallCaps w:val="0"/>
                      <w:color w:val="auto"/>
                      <w:sz w:val="21"/>
                      <w:szCs w:val="21"/>
                      <w:highlight w:val="none"/>
                    </w:rPr>
                    <w:t>数量</w:t>
                  </w:r>
                </w:p>
              </w:tc>
              <w:tc>
                <w:tcPr>
                  <w:tcW w:w="489" w:type="pct"/>
                  <w:vMerge w:val="restart"/>
                  <w:noWrap w:val="0"/>
                  <w:vAlign w:val="center"/>
                </w:tcPr>
                <w:p w14:paraId="3B60FA57">
                  <w:pPr>
                    <w:snapToGrid w:val="0"/>
                    <w:jc w:val="center"/>
                    <w:rPr>
                      <w:rFonts w:ascii="Times New Roman" w:hAnsi="Times New Roman" w:eastAsia="宋体"/>
                      <w:b/>
                      <w:bCs w:val="0"/>
                      <w:smallCaps w:val="0"/>
                      <w:color w:val="auto"/>
                      <w:sz w:val="21"/>
                      <w:szCs w:val="21"/>
                      <w:highlight w:val="none"/>
                    </w:rPr>
                  </w:pPr>
                  <w:r>
                    <w:rPr>
                      <w:rFonts w:hint="eastAsia" w:ascii="Times New Roman" w:hAnsi="Times New Roman" w:eastAsia="宋体"/>
                      <w:b/>
                      <w:bCs w:val="0"/>
                      <w:smallCaps w:val="0"/>
                      <w:color w:val="auto"/>
                      <w:sz w:val="21"/>
                      <w:szCs w:val="21"/>
                      <w:highlight w:val="none"/>
                    </w:rPr>
                    <w:t>来源</w:t>
                  </w:r>
                </w:p>
              </w:tc>
            </w:tr>
            <w:tr w14:paraId="05D00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Merge w:val="continue"/>
                  <w:noWrap w:val="0"/>
                  <w:vAlign w:val="center"/>
                </w:tcPr>
                <w:p w14:paraId="65458F8C">
                  <w:pPr>
                    <w:snapToGrid w:val="0"/>
                    <w:jc w:val="center"/>
                    <w:rPr>
                      <w:rFonts w:hint="eastAsia" w:ascii="Times New Roman" w:hAnsi="Times New Roman" w:eastAsia="宋体"/>
                      <w:b/>
                      <w:bCs w:val="0"/>
                      <w:smallCaps w:val="0"/>
                      <w:color w:val="auto"/>
                      <w:sz w:val="21"/>
                      <w:szCs w:val="21"/>
                      <w:highlight w:val="none"/>
                    </w:rPr>
                  </w:pPr>
                </w:p>
              </w:tc>
              <w:tc>
                <w:tcPr>
                  <w:tcW w:w="1475" w:type="pct"/>
                  <w:vMerge w:val="continue"/>
                  <w:noWrap w:val="0"/>
                  <w:vAlign w:val="center"/>
                </w:tcPr>
                <w:p w14:paraId="0271D65A">
                  <w:pPr>
                    <w:snapToGrid w:val="0"/>
                    <w:jc w:val="center"/>
                    <w:rPr>
                      <w:rFonts w:hint="eastAsia" w:ascii="Times New Roman" w:hAnsi="Times New Roman" w:eastAsia="宋体"/>
                      <w:b/>
                      <w:bCs w:val="0"/>
                      <w:smallCaps w:val="0"/>
                      <w:color w:val="auto"/>
                      <w:sz w:val="21"/>
                      <w:szCs w:val="21"/>
                      <w:highlight w:val="none"/>
                    </w:rPr>
                  </w:pPr>
                </w:p>
              </w:tc>
              <w:tc>
                <w:tcPr>
                  <w:tcW w:w="795" w:type="pct"/>
                  <w:vMerge w:val="continue"/>
                  <w:noWrap w:val="0"/>
                  <w:vAlign w:val="center"/>
                </w:tcPr>
                <w:p w14:paraId="53B1C31F">
                  <w:pPr>
                    <w:snapToGrid w:val="0"/>
                    <w:jc w:val="center"/>
                    <w:rPr>
                      <w:rFonts w:hint="eastAsia" w:ascii="Times New Roman" w:hAnsi="Times New Roman" w:eastAsia="宋体"/>
                      <w:b/>
                      <w:bCs w:val="0"/>
                      <w:smallCaps w:val="0"/>
                      <w:color w:val="auto"/>
                      <w:sz w:val="21"/>
                      <w:szCs w:val="21"/>
                      <w:highlight w:val="none"/>
                    </w:rPr>
                  </w:pPr>
                </w:p>
              </w:tc>
              <w:tc>
                <w:tcPr>
                  <w:tcW w:w="450" w:type="pct"/>
                  <w:vMerge w:val="continue"/>
                  <w:noWrap w:val="0"/>
                  <w:vAlign w:val="center"/>
                </w:tcPr>
                <w:p w14:paraId="667DA589">
                  <w:pPr>
                    <w:snapToGrid w:val="0"/>
                    <w:jc w:val="center"/>
                    <w:rPr>
                      <w:rFonts w:hint="eastAsia" w:ascii="Times New Roman" w:hAnsi="Times New Roman" w:eastAsia="宋体"/>
                      <w:b/>
                      <w:bCs w:val="0"/>
                      <w:smallCaps w:val="0"/>
                      <w:color w:val="auto"/>
                      <w:sz w:val="21"/>
                      <w:szCs w:val="21"/>
                      <w:highlight w:val="none"/>
                    </w:rPr>
                  </w:pPr>
                </w:p>
              </w:tc>
              <w:tc>
                <w:tcPr>
                  <w:tcW w:w="450" w:type="pct"/>
                  <w:noWrap w:val="0"/>
                  <w:vAlign w:val="center"/>
                </w:tcPr>
                <w:p w14:paraId="2CFE4C68">
                  <w:pPr>
                    <w:snapToGrid w:val="0"/>
                    <w:jc w:val="center"/>
                    <w:rPr>
                      <w:rFonts w:hint="eastAsia" w:ascii="Times New Roman" w:hAnsi="Times New Roman" w:eastAsia="宋体"/>
                      <w:b/>
                      <w:bCs w:val="0"/>
                      <w:smallCaps w:val="0"/>
                      <w:color w:val="auto"/>
                      <w:sz w:val="21"/>
                      <w:szCs w:val="21"/>
                      <w:highlight w:val="none"/>
                      <w:lang w:val="en-US" w:eastAsia="zh-CN"/>
                    </w:rPr>
                  </w:pPr>
                  <w:r>
                    <w:rPr>
                      <w:rFonts w:hint="eastAsia"/>
                      <w:b/>
                      <w:bCs w:val="0"/>
                      <w:smallCaps w:val="0"/>
                      <w:color w:val="auto"/>
                      <w:sz w:val="21"/>
                      <w:szCs w:val="21"/>
                      <w:highlight w:val="none"/>
                      <w:lang w:val="en-US" w:eastAsia="zh-CN"/>
                    </w:rPr>
                    <w:t>技改前</w:t>
                  </w:r>
                </w:p>
              </w:tc>
              <w:tc>
                <w:tcPr>
                  <w:tcW w:w="472" w:type="pct"/>
                  <w:noWrap w:val="0"/>
                  <w:vAlign w:val="center"/>
                </w:tcPr>
                <w:p w14:paraId="3619E8D9">
                  <w:pPr>
                    <w:snapToGrid w:val="0"/>
                    <w:jc w:val="center"/>
                    <w:rPr>
                      <w:rFonts w:hint="eastAsia" w:ascii="Times New Roman" w:hAnsi="Times New Roman" w:eastAsia="宋体"/>
                      <w:b/>
                      <w:bCs w:val="0"/>
                      <w:smallCaps w:val="0"/>
                      <w:color w:val="auto"/>
                      <w:sz w:val="21"/>
                      <w:szCs w:val="21"/>
                      <w:highlight w:val="none"/>
                      <w:lang w:val="en-US" w:eastAsia="zh-CN"/>
                    </w:rPr>
                  </w:pPr>
                  <w:r>
                    <w:rPr>
                      <w:rFonts w:hint="eastAsia"/>
                      <w:b/>
                      <w:bCs w:val="0"/>
                      <w:smallCaps w:val="0"/>
                      <w:color w:val="auto"/>
                      <w:sz w:val="21"/>
                      <w:szCs w:val="21"/>
                      <w:highlight w:val="none"/>
                      <w:lang w:val="en-US" w:eastAsia="zh-CN"/>
                    </w:rPr>
                    <w:t>技改后</w:t>
                  </w:r>
                </w:p>
              </w:tc>
              <w:tc>
                <w:tcPr>
                  <w:tcW w:w="457" w:type="pct"/>
                  <w:noWrap w:val="0"/>
                  <w:vAlign w:val="center"/>
                </w:tcPr>
                <w:p w14:paraId="188FC5C5">
                  <w:pPr>
                    <w:snapToGrid w:val="0"/>
                    <w:jc w:val="center"/>
                    <w:rPr>
                      <w:rFonts w:hint="eastAsia" w:ascii="Times New Roman" w:hAnsi="Times New Roman" w:eastAsia="宋体"/>
                      <w:b/>
                      <w:bCs w:val="0"/>
                      <w:smallCaps w:val="0"/>
                      <w:color w:val="auto"/>
                      <w:sz w:val="21"/>
                      <w:szCs w:val="21"/>
                      <w:highlight w:val="none"/>
                      <w:lang w:val="en-US" w:eastAsia="zh-CN"/>
                    </w:rPr>
                  </w:pPr>
                  <w:r>
                    <w:rPr>
                      <w:rFonts w:hint="eastAsia"/>
                      <w:b/>
                      <w:bCs w:val="0"/>
                      <w:smallCaps w:val="0"/>
                      <w:color w:val="auto"/>
                      <w:sz w:val="21"/>
                      <w:szCs w:val="21"/>
                      <w:highlight w:val="none"/>
                      <w:lang w:val="en-US" w:eastAsia="zh-CN"/>
                    </w:rPr>
                    <w:t>变化量</w:t>
                  </w:r>
                </w:p>
              </w:tc>
              <w:tc>
                <w:tcPr>
                  <w:tcW w:w="489" w:type="pct"/>
                  <w:vMerge w:val="continue"/>
                  <w:noWrap w:val="0"/>
                  <w:vAlign w:val="center"/>
                </w:tcPr>
                <w:p w14:paraId="084A5C68">
                  <w:pPr>
                    <w:snapToGrid w:val="0"/>
                    <w:jc w:val="center"/>
                    <w:rPr>
                      <w:rFonts w:hint="eastAsia" w:ascii="Times New Roman" w:hAnsi="Times New Roman" w:eastAsia="宋体"/>
                      <w:b/>
                      <w:bCs w:val="0"/>
                      <w:smallCaps w:val="0"/>
                      <w:color w:val="auto"/>
                      <w:sz w:val="21"/>
                      <w:szCs w:val="21"/>
                      <w:highlight w:val="none"/>
                    </w:rPr>
                  </w:pPr>
                </w:p>
              </w:tc>
            </w:tr>
            <w:tr w14:paraId="3EB2B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noWrap w:val="0"/>
                  <w:vAlign w:val="center"/>
                </w:tcPr>
                <w:p w14:paraId="452DAA92">
                  <w:pPr>
                    <w:snapToGrid w:val="0"/>
                    <w:jc w:val="center"/>
                    <w:rPr>
                      <w:rFonts w:hint="eastAsia" w:ascii="Times New Roman" w:hAnsi="Times New Roman" w:eastAsia="宋体"/>
                      <w:b w:val="0"/>
                      <w:bCs/>
                      <w:smallCaps w:val="0"/>
                      <w:color w:val="auto"/>
                      <w:sz w:val="21"/>
                      <w:szCs w:val="21"/>
                      <w:highlight w:val="none"/>
                      <w:lang w:val="en-US" w:eastAsia="zh-CN"/>
                    </w:rPr>
                  </w:pPr>
                  <w:r>
                    <w:rPr>
                      <w:rFonts w:hint="eastAsia" w:ascii="Times New Roman" w:hAnsi="Times New Roman" w:eastAsia="宋体"/>
                      <w:b w:val="0"/>
                      <w:bCs/>
                      <w:smallCaps w:val="0"/>
                      <w:color w:val="auto"/>
                      <w:sz w:val="21"/>
                      <w:szCs w:val="21"/>
                      <w:highlight w:val="none"/>
                      <w:lang w:val="en-US" w:eastAsia="zh-CN"/>
                    </w:rPr>
                    <w:t>生产设备</w:t>
                  </w:r>
                </w:p>
              </w:tc>
            </w:tr>
            <w:tr w14:paraId="07E2C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noWrap w:val="0"/>
                  <w:vAlign w:val="center"/>
                </w:tcPr>
                <w:p w14:paraId="0A045981">
                  <w:pPr>
                    <w:snapToGrid w:val="0"/>
                    <w:jc w:val="center"/>
                    <w:rPr>
                      <w:rFonts w:hint="default" w:ascii="Times New Roman" w:hAnsi="Times New Roman" w:eastAsia="宋体"/>
                      <w:b w:val="0"/>
                      <w:smallCaps w:val="0"/>
                      <w:color w:val="auto"/>
                      <w:sz w:val="21"/>
                      <w:szCs w:val="21"/>
                      <w:highlight w:val="none"/>
                      <w:lang w:val="en-US" w:eastAsia="zh-CN"/>
                    </w:rPr>
                  </w:pPr>
                  <w:r>
                    <w:rPr>
                      <w:rFonts w:hint="eastAsia" w:ascii="Times New Roman" w:hAnsi="Times New Roman" w:eastAsia="宋体"/>
                      <w:b w:val="0"/>
                      <w:smallCaps w:val="0"/>
                      <w:color w:val="auto"/>
                      <w:sz w:val="21"/>
                      <w:szCs w:val="21"/>
                      <w:highlight w:val="none"/>
                      <w:lang w:val="en-US" w:eastAsia="zh-CN"/>
                    </w:rPr>
                    <w:t>1</w:t>
                  </w:r>
                </w:p>
              </w:tc>
              <w:tc>
                <w:tcPr>
                  <w:tcW w:w="1475" w:type="pct"/>
                  <w:shd w:val="clear" w:color="auto" w:fill="auto"/>
                  <w:noWrap w:val="0"/>
                  <w:vAlign w:val="center"/>
                </w:tcPr>
                <w:p w14:paraId="47D9AFC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noWrap w:val="0"/>
                  <w:vAlign w:val="center"/>
                </w:tcPr>
                <w:p w14:paraId="30EAC9F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r>
                    <w:rPr>
                      <w:rFonts w:hint="eastAsia" w:ascii="Times New Roman" w:hAnsi="Times New Roman" w:eastAsia="宋体" w:cs="Times New Roman"/>
                      <w:b w:val="0"/>
                      <w:smallCaps w:val="0"/>
                      <w:color w:val="auto"/>
                      <w:kern w:val="2"/>
                      <w:sz w:val="21"/>
                      <w:szCs w:val="21"/>
                      <w:highlight w:val="none"/>
                      <w:lang w:val="en-US" w:eastAsia="zh-CN" w:bidi="ar-SA"/>
                    </w:rPr>
                    <w:t>00kg</w:t>
                  </w:r>
                </w:p>
              </w:tc>
              <w:tc>
                <w:tcPr>
                  <w:tcW w:w="450" w:type="pct"/>
                  <w:shd w:val="clear" w:color="auto" w:fill="auto"/>
                  <w:noWrap w:val="0"/>
                  <w:vAlign w:val="center"/>
                </w:tcPr>
                <w:p w14:paraId="4F2FF8E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noWrap w:val="0"/>
                  <w:vAlign w:val="center"/>
                </w:tcPr>
                <w:p w14:paraId="76888A6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72" w:type="pct"/>
                  <w:shd w:val="clear" w:color="auto" w:fill="auto"/>
                  <w:noWrap w:val="0"/>
                  <w:vAlign w:val="center"/>
                </w:tcPr>
                <w:p w14:paraId="794073B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noWrap w:val="0"/>
                  <w:vAlign w:val="center"/>
                </w:tcPr>
                <w:p w14:paraId="0064ABE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89" w:type="pct"/>
                  <w:shd w:val="clear" w:color="auto" w:fill="auto"/>
                  <w:noWrap w:val="0"/>
                  <w:vAlign w:val="center"/>
                </w:tcPr>
                <w:p w14:paraId="2C2431D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淘汰</w:t>
                  </w:r>
                </w:p>
              </w:tc>
            </w:tr>
            <w:tr w14:paraId="3C3D2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noWrap w:val="0"/>
                  <w:vAlign w:val="center"/>
                </w:tcPr>
                <w:p w14:paraId="53A62A6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2</w:t>
                  </w:r>
                </w:p>
              </w:tc>
              <w:tc>
                <w:tcPr>
                  <w:tcW w:w="1475" w:type="pct"/>
                  <w:shd w:val="clear" w:color="auto" w:fill="auto"/>
                  <w:noWrap w:val="0"/>
                  <w:vAlign w:val="center"/>
                </w:tcPr>
                <w:p w14:paraId="702B84E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noWrap w:val="0"/>
                  <w:vAlign w:val="center"/>
                </w:tcPr>
                <w:p w14:paraId="20635EF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1000kg</w:t>
                  </w:r>
                </w:p>
              </w:tc>
              <w:tc>
                <w:tcPr>
                  <w:tcW w:w="450" w:type="pct"/>
                  <w:shd w:val="clear" w:color="auto" w:fill="auto"/>
                  <w:noWrap w:val="0"/>
                  <w:vAlign w:val="center"/>
                </w:tcPr>
                <w:p w14:paraId="1C6FF93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noWrap w:val="0"/>
                  <w:vAlign w:val="center"/>
                </w:tcPr>
                <w:p w14:paraId="78610A7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noWrap w:val="0"/>
                  <w:vAlign w:val="center"/>
                </w:tcPr>
                <w:p w14:paraId="2A74293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noWrap w:val="0"/>
                  <w:vAlign w:val="center"/>
                </w:tcPr>
                <w:p w14:paraId="2770848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noWrap w:val="0"/>
                  <w:vAlign w:val="center"/>
                </w:tcPr>
                <w:p w14:paraId="7AE6A10D">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74CFF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noWrap w:val="0"/>
                  <w:vAlign w:val="center"/>
                </w:tcPr>
                <w:p w14:paraId="0FFA1ED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3</w:t>
                  </w:r>
                </w:p>
              </w:tc>
              <w:tc>
                <w:tcPr>
                  <w:tcW w:w="1475" w:type="pct"/>
                  <w:shd w:val="clear" w:color="auto" w:fill="auto"/>
                  <w:noWrap w:val="0"/>
                  <w:vAlign w:val="center"/>
                </w:tcPr>
                <w:p w14:paraId="2A51262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noWrap w:val="0"/>
                  <w:vAlign w:val="center"/>
                </w:tcPr>
                <w:p w14:paraId="5F4CED4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600kg</w:t>
                  </w:r>
                </w:p>
              </w:tc>
              <w:tc>
                <w:tcPr>
                  <w:tcW w:w="450" w:type="pct"/>
                  <w:shd w:val="clear" w:color="auto" w:fill="auto"/>
                  <w:noWrap w:val="0"/>
                  <w:vAlign w:val="center"/>
                </w:tcPr>
                <w:p w14:paraId="5911A82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noWrap w:val="0"/>
                  <w:vAlign w:val="center"/>
                </w:tcPr>
                <w:p w14:paraId="135AFBC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72" w:type="pct"/>
                  <w:shd w:val="clear" w:color="auto" w:fill="auto"/>
                  <w:noWrap w:val="0"/>
                  <w:vAlign w:val="center"/>
                </w:tcPr>
                <w:p w14:paraId="2DBA187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57" w:type="pct"/>
                  <w:shd w:val="clear" w:color="auto" w:fill="auto"/>
                  <w:noWrap w:val="0"/>
                  <w:vAlign w:val="center"/>
                </w:tcPr>
                <w:p w14:paraId="683675B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noWrap w:val="0"/>
                  <w:vAlign w:val="center"/>
                </w:tcPr>
                <w:p w14:paraId="1AA8884F">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91E8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noWrap w:val="0"/>
                  <w:vAlign w:val="center"/>
                </w:tcPr>
                <w:p w14:paraId="7D05157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4</w:t>
                  </w:r>
                </w:p>
              </w:tc>
              <w:tc>
                <w:tcPr>
                  <w:tcW w:w="1475" w:type="pct"/>
                  <w:shd w:val="clear" w:color="auto" w:fill="auto"/>
                  <w:noWrap w:val="0"/>
                  <w:vAlign w:val="center"/>
                </w:tcPr>
                <w:p w14:paraId="2E6FA9C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noWrap w:val="0"/>
                  <w:vAlign w:val="center"/>
                </w:tcPr>
                <w:p w14:paraId="42C7445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r>
                    <w:rPr>
                      <w:rFonts w:hint="eastAsia" w:ascii="Times New Roman" w:hAnsi="Times New Roman" w:eastAsia="宋体" w:cs="Times New Roman"/>
                      <w:b w:val="0"/>
                      <w:smallCaps w:val="0"/>
                      <w:color w:val="auto"/>
                      <w:kern w:val="2"/>
                      <w:sz w:val="21"/>
                      <w:szCs w:val="21"/>
                      <w:highlight w:val="none"/>
                      <w:lang w:val="en-US" w:eastAsia="zh-CN" w:bidi="ar-SA"/>
                    </w:rPr>
                    <w:t>00kg</w:t>
                  </w:r>
                </w:p>
              </w:tc>
              <w:tc>
                <w:tcPr>
                  <w:tcW w:w="450" w:type="pct"/>
                  <w:shd w:val="clear" w:color="auto" w:fill="auto"/>
                  <w:noWrap w:val="0"/>
                  <w:vAlign w:val="center"/>
                </w:tcPr>
                <w:p w14:paraId="42AFE70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noWrap w:val="0"/>
                  <w:vAlign w:val="center"/>
                </w:tcPr>
                <w:p w14:paraId="50E04BD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noWrap w:val="0"/>
                  <w:vAlign w:val="center"/>
                </w:tcPr>
                <w:p w14:paraId="4FACAC5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noWrap w:val="0"/>
                  <w:vAlign w:val="center"/>
                </w:tcPr>
                <w:p w14:paraId="529BA3F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noWrap w:val="0"/>
                  <w:vAlign w:val="center"/>
                </w:tcPr>
                <w:p w14:paraId="5C90F4AB">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8ECE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5F4CC02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5</w:t>
                  </w:r>
                </w:p>
              </w:tc>
              <w:tc>
                <w:tcPr>
                  <w:tcW w:w="1475" w:type="pct"/>
                  <w:shd w:val="clear" w:color="auto" w:fill="auto"/>
                  <w:vAlign w:val="center"/>
                </w:tcPr>
                <w:p w14:paraId="7BFD979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vAlign w:val="center"/>
                </w:tcPr>
                <w:p w14:paraId="68C863C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r>
                    <w:rPr>
                      <w:rFonts w:hint="eastAsia" w:ascii="Times New Roman" w:hAnsi="Times New Roman" w:eastAsia="宋体" w:cs="Times New Roman"/>
                      <w:b w:val="0"/>
                      <w:smallCaps w:val="0"/>
                      <w:color w:val="auto"/>
                      <w:kern w:val="2"/>
                      <w:sz w:val="21"/>
                      <w:szCs w:val="21"/>
                      <w:highlight w:val="none"/>
                      <w:lang w:val="en-US" w:eastAsia="zh-CN" w:bidi="ar-SA"/>
                    </w:rPr>
                    <w:t>00kg</w:t>
                  </w:r>
                </w:p>
              </w:tc>
              <w:tc>
                <w:tcPr>
                  <w:tcW w:w="450" w:type="pct"/>
                  <w:shd w:val="clear" w:color="auto" w:fill="auto"/>
                  <w:vAlign w:val="center"/>
                </w:tcPr>
                <w:p w14:paraId="409D6E1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273A5C6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145E76D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61A941B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639152AD">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0A24F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3B9C22E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6</w:t>
                  </w:r>
                </w:p>
              </w:tc>
              <w:tc>
                <w:tcPr>
                  <w:tcW w:w="1475" w:type="pct"/>
                  <w:shd w:val="clear" w:color="auto" w:fill="auto"/>
                  <w:vAlign w:val="center"/>
                </w:tcPr>
                <w:p w14:paraId="07F0358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天然气熔化炉</w:t>
                  </w:r>
                </w:p>
              </w:tc>
              <w:tc>
                <w:tcPr>
                  <w:tcW w:w="795" w:type="pct"/>
                  <w:shd w:val="clear" w:color="auto" w:fill="auto"/>
                  <w:vAlign w:val="center"/>
                </w:tcPr>
                <w:p w14:paraId="421DA04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r>
                    <w:rPr>
                      <w:rFonts w:hint="eastAsia" w:ascii="Times New Roman" w:hAnsi="Times New Roman" w:eastAsia="宋体" w:cs="Times New Roman"/>
                      <w:b w:val="0"/>
                      <w:smallCaps w:val="0"/>
                      <w:color w:val="auto"/>
                      <w:kern w:val="2"/>
                      <w:sz w:val="21"/>
                      <w:szCs w:val="21"/>
                      <w:highlight w:val="none"/>
                      <w:lang w:val="en-US" w:eastAsia="zh-CN" w:bidi="ar-SA"/>
                    </w:rPr>
                    <w:t>00kg</w:t>
                  </w:r>
                </w:p>
              </w:tc>
              <w:tc>
                <w:tcPr>
                  <w:tcW w:w="450" w:type="pct"/>
                  <w:shd w:val="clear" w:color="auto" w:fill="auto"/>
                  <w:vAlign w:val="center"/>
                </w:tcPr>
                <w:p w14:paraId="5E3449E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E066ED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0FE9DFE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5FB0099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625878E1">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0C100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F8A771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7</w:t>
                  </w:r>
                </w:p>
              </w:tc>
              <w:tc>
                <w:tcPr>
                  <w:tcW w:w="1475" w:type="pct"/>
                  <w:shd w:val="clear" w:color="auto" w:fill="auto"/>
                  <w:vAlign w:val="center"/>
                </w:tcPr>
                <w:p w14:paraId="5CE8C18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电熔化炉</w:t>
                  </w:r>
                </w:p>
              </w:tc>
              <w:tc>
                <w:tcPr>
                  <w:tcW w:w="795" w:type="pct"/>
                  <w:shd w:val="clear" w:color="auto" w:fill="auto"/>
                  <w:vAlign w:val="center"/>
                </w:tcPr>
                <w:p w14:paraId="603C007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150</w:t>
                  </w:r>
                  <w:r>
                    <w:rPr>
                      <w:rFonts w:hint="eastAsia" w:ascii="Times New Roman" w:hAnsi="Times New Roman" w:eastAsia="宋体" w:cs="Times New Roman"/>
                      <w:b w:val="0"/>
                      <w:smallCaps w:val="0"/>
                      <w:color w:val="auto"/>
                      <w:kern w:val="2"/>
                      <w:sz w:val="21"/>
                      <w:szCs w:val="21"/>
                      <w:highlight w:val="none"/>
                      <w:lang w:val="en-US" w:eastAsia="zh-CN" w:bidi="ar-SA"/>
                    </w:rPr>
                    <w:t>kg</w:t>
                  </w:r>
                </w:p>
              </w:tc>
              <w:tc>
                <w:tcPr>
                  <w:tcW w:w="450" w:type="pct"/>
                  <w:shd w:val="clear" w:color="auto" w:fill="auto"/>
                  <w:vAlign w:val="center"/>
                </w:tcPr>
                <w:p w14:paraId="37CA58A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87AA06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4343E70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D014B0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01CC17F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9CCC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4B24383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8</w:t>
                  </w:r>
                </w:p>
              </w:tc>
              <w:tc>
                <w:tcPr>
                  <w:tcW w:w="1475" w:type="pct"/>
                  <w:shd w:val="clear" w:color="auto" w:fill="auto"/>
                  <w:vAlign w:val="center"/>
                </w:tcPr>
                <w:p w14:paraId="51B8138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37D3D4E2">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900t</w:t>
                  </w:r>
                </w:p>
              </w:tc>
              <w:tc>
                <w:tcPr>
                  <w:tcW w:w="450" w:type="pct"/>
                  <w:shd w:val="clear" w:color="auto" w:fill="auto"/>
                  <w:vAlign w:val="center"/>
                </w:tcPr>
                <w:p w14:paraId="43BBAA9D">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271BF6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68B394F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7B7D610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387D593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4301B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1EB752D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9</w:t>
                  </w:r>
                </w:p>
              </w:tc>
              <w:tc>
                <w:tcPr>
                  <w:tcW w:w="1475" w:type="pct"/>
                  <w:shd w:val="clear" w:color="auto" w:fill="auto"/>
                  <w:vAlign w:val="center"/>
                </w:tcPr>
                <w:p w14:paraId="6CB28FA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2D896E4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r>
                    <w:rPr>
                      <w:rFonts w:hint="eastAsia" w:ascii="Times New Roman" w:hAnsi="Times New Roman" w:eastAsia="宋体" w:cs="Times New Roman"/>
                      <w:b w:val="0"/>
                      <w:smallCaps w:val="0"/>
                      <w:color w:val="auto"/>
                      <w:kern w:val="2"/>
                      <w:sz w:val="21"/>
                      <w:szCs w:val="21"/>
                      <w:highlight w:val="none"/>
                      <w:lang w:val="en-US" w:eastAsia="zh-CN" w:bidi="ar-SA"/>
                    </w:rPr>
                    <w:t>00t</w:t>
                  </w:r>
                </w:p>
              </w:tc>
              <w:tc>
                <w:tcPr>
                  <w:tcW w:w="450" w:type="pct"/>
                  <w:shd w:val="clear" w:color="auto" w:fill="auto"/>
                  <w:vAlign w:val="center"/>
                </w:tcPr>
                <w:p w14:paraId="799986B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012985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4139A17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57" w:type="pct"/>
                  <w:shd w:val="clear" w:color="auto" w:fill="auto"/>
                  <w:vAlign w:val="center"/>
                </w:tcPr>
                <w:p w14:paraId="17D8EB4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2182EBC8">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F0EE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F019D7E">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10</w:t>
                  </w:r>
                </w:p>
              </w:tc>
              <w:tc>
                <w:tcPr>
                  <w:tcW w:w="1475" w:type="pct"/>
                  <w:shd w:val="clear" w:color="auto" w:fill="auto"/>
                  <w:vAlign w:val="center"/>
                </w:tcPr>
                <w:p w14:paraId="69F4E88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2F8EBD8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r>
                    <w:rPr>
                      <w:rFonts w:hint="eastAsia" w:ascii="Times New Roman" w:hAnsi="Times New Roman" w:eastAsia="宋体" w:cs="Times New Roman"/>
                      <w:b w:val="0"/>
                      <w:smallCaps w:val="0"/>
                      <w:color w:val="auto"/>
                      <w:kern w:val="2"/>
                      <w:sz w:val="21"/>
                      <w:szCs w:val="21"/>
                      <w:highlight w:val="none"/>
                      <w:lang w:val="en-US" w:eastAsia="zh-CN" w:bidi="ar-SA"/>
                    </w:rPr>
                    <w:t>00t</w:t>
                  </w:r>
                </w:p>
              </w:tc>
              <w:tc>
                <w:tcPr>
                  <w:tcW w:w="450" w:type="pct"/>
                  <w:shd w:val="clear" w:color="auto" w:fill="auto"/>
                  <w:vAlign w:val="center"/>
                </w:tcPr>
                <w:p w14:paraId="7648F35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7899684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04D614A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34BD02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06946A32">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0DD38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1CA232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11</w:t>
                  </w:r>
                </w:p>
              </w:tc>
              <w:tc>
                <w:tcPr>
                  <w:tcW w:w="1475" w:type="pct"/>
                  <w:shd w:val="clear" w:color="auto" w:fill="auto"/>
                  <w:vAlign w:val="center"/>
                </w:tcPr>
                <w:p w14:paraId="537BE41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00ED0952">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r>
                    <w:rPr>
                      <w:rFonts w:hint="eastAsia" w:ascii="Times New Roman" w:hAnsi="Times New Roman" w:eastAsia="宋体" w:cs="Times New Roman"/>
                      <w:b w:val="0"/>
                      <w:smallCaps w:val="0"/>
                      <w:color w:val="auto"/>
                      <w:kern w:val="2"/>
                      <w:sz w:val="21"/>
                      <w:szCs w:val="21"/>
                      <w:highlight w:val="none"/>
                      <w:lang w:val="en-US" w:eastAsia="zh-CN" w:bidi="ar-SA"/>
                    </w:rPr>
                    <w:t>00t</w:t>
                  </w:r>
                </w:p>
              </w:tc>
              <w:tc>
                <w:tcPr>
                  <w:tcW w:w="450" w:type="pct"/>
                  <w:shd w:val="clear" w:color="auto" w:fill="auto"/>
                  <w:vAlign w:val="center"/>
                </w:tcPr>
                <w:p w14:paraId="22C3D73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5A5A0ED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5AE9D10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57" w:type="pct"/>
                  <w:shd w:val="clear" w:color="auto" w:fill="auto"/>
                  <w:vAlign w:val="center"/>
                </w:tcPr>
                <w:p w14:paraId="71D905C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3BC67D6F">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21003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14E7B5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12</w:t>
                  </w:r>
                </w:p>
              </w:tc>
              <w:tc>
                <w:tcPr>
                  <w:tcW w:w="1475" w:type="pct"/>
                  <w:shd w:val="clear" w:color="auto" w:fill="auto"/>
                  <w:vAlign w:val="center"/>
                </w:tcPr>
                <w:p w14:paraId="534C303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4B31DD3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28</w:t>
                  </w:r>
                  <w:r>
                    <w:rPr>
                      <w:rFonts w:hint="eastAsia" w:ascii="Times New Roman" w:hAnsi="Times New Roman" w:eastAsia="宋体" w:cs="Times New Roman"/>
                      <w:b w:val="0"/>
                      <w:smallCaps w:val="0"/>
                      <w:color w:val="auto"/>
                      <w:kern w:val="2"/>
                      <w:sz w:val="21"/>
                      <w:szCs w:val="21"/>
                      <w:highlight w:val="none"/>
                      <w:lang w:val="en-US" w:eastAsia="zh-CN" w:bidi="ar-SA"/>
                    </w:rPr>
                    <w:t>0t</w:t>
                  </w:r>
                </w:p>
              </w:tc>
              <w:tc>
                <w:tcPr>
                  <w:tcW w:w="450" w:type="pct"/>
                  <w:shd w:val="clear" w:color="auto" w:fill="auto"/>
                  <w:vAlign w:val="center"/>
                </w:tcPr>
                <w:p w14:paraId="66F51B7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58E0EB4C">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27F489B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5992603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63F8DF84">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10B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230225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13</w:t>
                  </w:r>
                </w:p>
              </w:tc>
              <w:tc>
                <w:tcPr>
                  <w:tcW w:w="1475" w:type="pct"/>
                  <w:shd w:val="clear" w:color="auto" w:fill="auto"/>
                  <w:vAlign w:val="center"/>
                </w:tcPr>
                <w:p w14:paraId="67945AA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2474DBA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168</w:t>
                  </w:r>
                  <w:r>
                    <w:rPr>
                      <w:rFonts w:hint="eastAsia" w:ascii="Times New Roman" w:hAnsi="Times New Roman" w:eastAsia="宋体" w:cs="Times New Roman"/>
                      <w:b w:val="0"/>
                      <w:smallCaps w:val="0"/>
                      <w:color w:val="auto"/>
                      <w:kern w:val="2"/>
                      <w:sz w:val="21"/>
                      <w:szCs w:val="21"/>
                      <w:highlight w:val="none"/>
                      <w:lang w:val="en-US" w:eastAsia="zh-CN" w:bidi="ar-SA"/>
                    </w:rPr>
                    <w:t>t</w:t>
                  </w:r>
                </w:p>
              </w:tc>
              <w:tc>
                <w:tcPr>
                  <w:tcW w:w="450" w:type="pct"/>
                  <w:shd w:val="clear" w:color="auto" w:fill="auto"/>
                  <w:vAlign w:val="center"/>
                </w:tcPr>
                <w:p w14:paraId="094B69E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7C68988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603B8A9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22A7632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180A5913">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2A344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BE9875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14</w:t>
                  </w:r>
                </w:p>
              </w:tc>
              <w:tc>
                <w:tcPr>
                  <w:tcW w:w="1475" w:type="pct"/>
                  <w:shd w:val="clear" w:color="auto" w:fill="auto"/>
                  <w:vAlign w:val="center"/>
                </w:tcPr>
                <w:p w14:paraId="565E9FD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4FB2D1B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160</w:t>
                  </w:r>
                  <w:r>
                    <w:rPr>
                      <w:rFonts w:hint="eastAsia" w:ascii="Times New Roman" w:hAnsi="Times New Roman" w:eastAsia="宋体" w:cs="Times New Roman"/>
                      <w:b w:val="0"/>
                      <w:smallCaps w:val="0"/>
                      <w:color w:val="auto"/>
                      <w:kern w:val="2"/>
                      <w:sz w:val="21"/>
                      <w:szCs w:val="21"/>
                      <w:highlight w:val="none"/>
                      <w:lang w:val="en-US" w:eastAsia="zh-CN" w:bidi="ar-SA"/>
                    </w:rPr>
                    <w:t>t</w:t>
                  </w:r>
                </w:p>
              </w:tc>
              <w:tc>
                <w:tcPr>
                  <w:tcW w:w="450" w:type="pct"/>
                  <w:shd w:val="clear" w:color="auto" w:fill="auto"/>
                  <w:vAlign w:val="center"/>
                </w:tcPr>
                <w:p w14:paraId="480AEE1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999869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72" w:type="pct"/>
                  <w:shd w:val="clear" w:color="auto" w:fill="auto"/>
                  <w:vAlign w:val="center"/>
                </w:tcPr>
                <w:p w14:paraId="6B0963F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50E046E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40FB253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淘汰</w:t>
                  </w:r>
                </w:p>
              </w:tc>
            </w:tr>
            <w:tr w14:paraId="0BFF2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C1C1A7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15</w:t>
                  </w:r>
                </w:p>
              </w:tc>
              <w:tc>
                <w:tcPr>
                  <w:tcW w:w="1475" w:type="pct"/>
                  <w:shd w:val="clear" w:color="auto" w:fill="auto"/>
                  <w:vAlign w:val="center"/>
                </w:tcPr>
                <w:p w14:paraId="1ED9EF0E">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7B540E2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63</w:t>
                  </w:r>
                  <w:r>
                    <w:rPr>
                      <w:rFonts w:hint="eastAsia" w:ascii="Times New Roman" w:hAnsi="Times New Roman" w:eastAsia="宋体" w:cs="Times New Roman"/>
                      <w:b w:val="0"/>
                      <w:smallCaps w:val="0"/>
                      <w:color w:val="auto"/>
                      <w:kern w:val="2"/>
                      <w:sz w:val="21"/>
                      <w:szCs w:val="21"/>
                      <w:highlight w:val="none"/>
                      <w:lang w:val="en-US" w:eastAsia="zh-CN" w:bidi="ar-SA"/>
                    </w:rPr>
                    <w:t>t</w:t>
                  </w:r>
                </w:p>
              </w:tc>
              <w:tc>
                <w:tcPr>
                  <w:tcW w:w="450" w:type="pct"/>
                  <w:shd w:val="clear" w:color="auto" w:fill="auto"/>
                  <w:vAlign w:val="center"/>
                </w:tcPr>
                <w:p w14:paraId="64B66DF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50F262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51C5081C">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7404E0E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55FC4948">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淘汰</w:t>
                  </w:r>
                </w:p>
              </w:tc>
            </w:tr>
            <w:tr w14:paraId="644A3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8D2806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16</w:t>
                  </w:r>
                </w:p>
              </w:tc>
              <w:tc>
                <w:tcPr>
                  <w:tcW w:w="1475" w:type="pct"/>
                  <w:shd w:val="clear" w:color="auto" w:fill="auto"/>
                  <w:vAlign w:val="center"/>
                </w:tcPr>
                <w:p w14:paraId="03C89B1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6FB0504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80</w:t>
                  </w:r>
                  <w:r>
                    <w:rPr>
                      <w:rFonts w:hint="eastAsia" w:ascii="Times New Roman" w:hAnsi="Times New Roman" w:eastAsia="宋体" w:cs="Times New Roman"/>
                      <w:b w:val="0"/>
                      <w:smallCaps w:val="0"/>
                      <w:color w:val="auto"/>
                      <w:kern w:val="2"/>
                      <w:sz w:val="21"/>
                      <w:szCs w:val="21"/>
                      <w:highlight w:val="none"/>
                      <w:lang w:val="en-US" w:eastAsia="zh-CN" w:bidi="ar-SA"/>
                    </w:rPr>
                    <w:t>t</w:t>
                  </w:r>
                </w:p>
              </w:tc>
              <w:tc>
                <w:tcPr>
                  <w:tcW w:w="450" w:type="pct"/>
                  <w:shd w:val="clear" w:color="auto" w:fill="auto"/>
                  <w:vAlign w:val="center"/>
                </w:tcPr>
                <w:p w14:paraId="5053937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37AA270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30EDFBA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30231CF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13381908">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淘汰</w:t>
                  </w:r>
                </w:p>
              </w:tc>
            </w:tr>
            <w:tr w14:paraId="0D995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B5A932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17</w:t>
                  </w:r>
                </w:p>
              </w:tc>
              <w:tc>
                <w:tcPr>
                  <w:tcW w:w="1475" w:type="pct"/>
                  <w:shd w:val="clear" w:color="auto" w:fill="auto"/>
                  <w:vAlign w:val="center"/>
                </w:tcPr>
                <w:p w14:paraId="5584E91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压铸机</w:t>
                  </w:r>
                </w:p>
              </w:tc>
              <w:tc>
                <w:tcPr>
                  <w:tcW w:w="795" w:type="pct"/>
                  <w:shd w:val="clear" w:color="auto" w:fill="auto"/>
                  <w:vAlign w:val="center"/>
                </w:tcPr>
                <w:p w14:paraId="4684DFD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45</w:t>
                  </w:r>
                  <w:r>
                    <w:rPr>
                      <w:rFonts w:hint="eastAsia" w:ascii="Times New Roman" w:hAnsi="Times New Roman" w:eastAsia="宋体" w:cs="Times New Roman"/>
                      <w:b w:val="0"/>
                      <w:smallCaps w:val="0"/>
                      <w:color w:val="auto"/>
                      <w:kern w:val="2"/>
                      <w:sz w:val="21"/>
                      <w:szCs w:val="21"/>
                      <w:highlight w:val="none"/>
                      <w:lang w:val="en-US" w:eastAsia="zh-CN" w:bidi="ar-SA"/>
                    </w:rPr>
                    <w:t>t</w:t>
                  </w:r>
                </w:p>
              </w:tc>
              <w:tc>
                <w:tcPr>
                  <w:tcW w:w="450" w:type="pct"/>
                  <w:shd w:val="clear" w:color="auto" w:fill="auto"/>
                  <w:vAlign w:val="center"/>
                </w:tcPr>
                <w:p w14:paraId="368181C5">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8F6332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72" w:type="pct"/>
                  <w:shd w:val="clear" w:color="auto" w:fill="auto"/>
                  <w:vAlign w:val="center"/>
                </w:tcPr>
                <w:p w14:paraId="5C2A77C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13F2F91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4A84FD49">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sz w:val="21"/>
                      <w:szCs w:val="21"/>
                      <w:highlight w:val="none"/>
                      <w:lang w:val="en-US" w:eastAsia="zh-CN"/>
                    </w:rPr>
                    <w:t>淘汰</w:t>
                  </w:r>
                </w:p>
              </w:tc>
            </w:tr>
            <w:tr w14:paraId="13F7C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3CEEAB2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18</w:t>
                  </w:r>
                </w:p>
              </w:tc>
              <w:tc>
                <w:tcPr>
                  <w:tcW w:w="1475" w:type="pct"/>
                  <w:shd w:val="clear" w:color="auto" w:fill="auto"/>
                  <w:vAlign w:val="center"/>
                </w:tcPr>
                <w:p w14:paraId="53B9D51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卧式打磨机</w:t>
                  </w:r>
                </w:p>
              </w:tc>
              <w:tc>
                <w:tcPr>
                  <w:tcW w:w="795" w:type="pct"/>
                  <w:shd w:val="clear" w:color="auto" w:fill="auto"/>
                  <w:vAlign w:val="center"/>
                </w:tcPr>
                <w:p w14:paraId="3B7618E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6CFC475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CC0E94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2F4EE25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B468D0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07FD26FF">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23962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021DE4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19</w:t>
                  </w:r>
                </w:p>
              </w:tc>
              <w:tc>
                <w:tcPr>
                  <w:tcW w:w="1475" w:type="pct"/>
                  <w:shd w:val="clear" w:color="auto" w:fill="auto"/>
                  <w:vAlign w:val="center"/>
                </w:tcPr>
                <w:p w14:paraId="602574D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打磨机</w:t>
                  </w:r>
                </w:p>
              </w:tc>
              <w:tc>
                <w:tcPr>
                  <w:tcW w:w="795" w:type="pct"/>
                  <w:shd w:val="clear" w:color="auto" w:fill="auto"/>
                  <w:vAlign w:val="center"/>
                </w:tcPr>
                <w:p w14:paraId="5453AA1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1EED63A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D2338B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2E6A184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457" w:type="pct"/>
                  <w:shd w:val="clear" w:color="auto" w:fill="auto"/>
                  <w:vAlign w:val="center"/>
                </w:tcPr>
                <w:p w14:paraId="7FE27CF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489" w:type="pct"/>
                  <w:shd w:val="clear" w:color="auto" w:fill="auto"/>
                  <w:vAlign w:val="center"/>
                </w:tcPr>
                <w:p w14:paraId="7CF65102">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47137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B4198C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20</w:t>
                  </w:r>
                </w:p>
              </w:tc>
              <w:tc>
                <w:tcPr>
                  <w:tcW w:w="1475" w:type="pct"/>
                  <w:shd w:val="clear" w:color="auto" w:fill="auto"/>
                  <w:vAlign w:val="center"/>
                </w:tcPr>
                <w:p w14:paraId="19A4A3D6">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抛丸机</w:t>
                  </w:r>
                </w:p>
              </w:tc>
              <w:tc>
                <w:tcPr>
                  <w:tcW w:w="795" w:type="pct"/>
                  <w:shd w:val="clear" w:color="auto" w:fill="auto"/>
                  <w:vAlign w:val="center"/>
                </w:tcPr>
                <w:p w14:paraId="08B77F6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638E6D2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9AA397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75C72B8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85185F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2AFDBC15">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264A8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0A2DDD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21</w:t>
                  </w:r>
                </w:p>
              </w:tc>
              <w:tc>
                <w:tcPr>
                  <w:tcW w:w="1475" w:type="pct"/>
                  <w:shd w:val="clear" w:color="auto" w:fill="auto"/>
                  <w:vAlign w:val="center"/>
                </w:tcPr>
                <w:p w14:paraId="4603C76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冲床</w:t>
                  </w:r>
                </w:p>
              </w:tc>
              <w:tc>
                <w:tcPr>
                  <w:tcW w:w="795" w:type="pct"/>
                  <w:shd w:val="clear" w:color="auto" w:fill="auto"/>
                  <w:vAlign w:val="center"/>
                </w:tcPr>
                <w:p w14:paraId="38C9F71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40T</w:t>
                  </w:r>
                </w:p>
              </w:tc>
              <w:tc>
                <w:tcPr>
                  <w:tcW w:w="450" w:type="pct"/>
                  <w:shd w:val="clear" w:color="auto" w:fill="auto"/>
                  <w:vAlign w:val="center"/>
                </w:tcPr>
                <w:p w14:paraId="409742E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4A4788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5BE59BF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AE90FD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3F879C25">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42C37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6021763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22</w:t>
                  </w:r>
                </w:p>
              </w:tc>
              <w:tc>
                <w:tcPr>
                  <w:tcW w:w="1475" w:type="pct"/>
                  <w:shd w:val="clear" w:color="auto" w:fill="auto"/>
                  <w:vAlign w:val="center"/>
                </w:tcPr>
                <w:p w14:paraId="1208A51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数控车床</w:t>
                  </w:r>
                </w:p>
              </w:tc>
              <w:tc>
                <w:tcPr>
                  <w:tcW w:w="795" w:type="pct"/>
                  <w:shd w:val="clear" w:color="auto" w:fill="auto"/>
                  <w:vAlign w:val="center"/>
                </w:tcPr>
                <w:p w14:paraId="02202AE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SC6163</w:t>
                  </w:r>
                </w:p>
              </w:tc>
              <w:tc>
                <w:tcPr>
                  <w:tcW w:w="450" w:type="pct"/>
                  <w:shd w:val="clear" w:color="auto" w:fill="auto"/>
                  <w:vAlign w:val="center"/>
                </w:tcPr>
                <w:p w14:paraId="24C9296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38E7E46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472" w:type="pct"/>
                  <w:shd w:val="clear" w:color="auto" w:fill="auto"/>
                  <w:vAlign w:val="center"/>
                </w:tcPr>
                <w:p w14:paraId="1493BB9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57" w:type="pct"/>
                  <w:shd w:val="clear" w:color="auto" w:fill="auto"/>
                  <w:vAlign w:val="center"/>
                </w:tcPr>
                <w:p w14:paraId="2AFDE8C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67C9BFF3">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72B6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3D3C10E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23</w:t>
                  </w:r>
                </w:p>
              </w:tc>
              <w:tc>
                <w:tcPr>
                  <w:tcW w:w="1475" w:type="pct"/>
                  <w:shd w:val="clear" w:color="auto" w:fill="auto"/>
                  <w:vAlign w:val="center"/>
                </w:tcPr>
                <w:p w14:paraId="1F7485A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数控车床</w:t>
                  </w:r>
                </w:p>
              </w:tc>
              <w:tc>
                <w:tcPr>
                  <w:tcW w:w="795" w:type="pct"/>
                  <w:shd w:val="clear" w:color="auto" w:fill="auto"/>
                  <w:vAlign w:val="center"/>
                </w:tcPr>
                <w:p w14:paraId="4DA9394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SC6436</w:t>
                  </w:r>
                </w:p>
              </w:tc>
              <w:tc>
                <w:tcPr>
                  <w:tcW w:w="450" w:type="pct"/>
                  <w:shd w:val="clear" w:color="auto" w:fill="auto"/>
                  <w:vAlign w:val="center"/>
                </w:tcPr>
                <w:p w14:paraId="2F17B1CD">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69D61E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0742B23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30D8F80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2F1987A4">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479EF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7651EC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24</w:t>
                  </w:r>
                </w:p>
              </w:tc>
              <w:tc>
                <w:tcPr>
                  <w:tcW w:w="1475" w:type="pct"/>
                  <w:shd w:val="clear" w:color="auto" w:fill="auto"/>
                  <w:vAlign w:val="center"/>
                </w:tcPr>
                <w:p w14:paraId="04332B9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数控车床</w:t>
                  </w:r>
                </w:p>
              </w:tc>
              <w:tc>
                <w:tcPr>
                  <w:tcW w:w="795" w:type="pct"/>
                  <w:shd w:val="clear" w:color="auto" w:fill="auto"/>
                  <w:vAlign w:val="center"/>
                </w:tcPr>
                <w:p w14:paraId="5D46E0F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SC6132</w:t>
                  </w:r>
                </w:p>
              </w:tc>
              <w:tc>
                <w:tcPr>
                  <w:tcW w:w="450" w:type="pct"/>
                  <w:shd w:val="clear" w:color="auto" w:fill="auto"/>
                  <w:vAlign w:val="center"/>
                </w:tcPr>
                <w:p w14:paraId="3688D49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5C22A4EC">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72" w:type="pct"/>
                  <w:shd w:val="clear" w:color="auto" w:fill="auto"/>
                  <w:vAlign w:val="center"/>
                </w:tcPr>
                <w:p w14:paraId="16D3C06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3F6C3B6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601649B4">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755D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0A41629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25</w:t>
                  </w:r>
                </w:p>
              </w:tc>
              <w:tc>
                <w:tcPr>
                  <w:tcW w:w="1475" w:type="pct"/>
                  <w:shd w:val="clear" w:color="auto" w:fill="auto"/>
                  <w:vAlign w:val="center"/>
                </w:tcPr>
                <w:p w14:paraId="18874E5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数控车床</w:t>
                  </w:r>
                </w:p>
              </w:tc>
              <w:tc>
                <w:tcPr>
                  <w:tcW w:w="795" w:type="pct"/>
                  <w:shd w:val="clear" w:color="auto" w:fill="auto"/>
                  <w:vAlign w:val="center"/>
                </w:tcPr>
                <w:p w14:paraId="071FED9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SC6150</w:t>
                  </w:r>
                </w:p>
              </w:tc>
              <w:tc>
                <w:tcPr>
                  <w:tcW w:w="450" w:type="pct"/>
                  <w:shd w:val="clear" w:color="auto" w:fill="auto"/>
                  <w:vAlign w:val="center"/>
                </w:tcPr>
                <w:p w14:paraId="7B32D6E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7C87FA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72" w:type="pct"/>
                  <w:shd w:val="clear" w:color="auto" w:fill="auto"/>
                  <w:vAlign w:val="center"/>
                </w:tcPr>
                <w:p w14:paraId="32DA115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shd w:val="clear" w:color="auto" w:fill="auto"/>
                  <w:vAlign w:val="center"/>
                </w:tcPr>
                <w:p w14:paraId="53CD185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89" w:type="pct"/>
                  <w:shd w:val="clear" w:color="auto" w:fill="auto"/>
                  <w:vAlign w:val="center"/>
                </w:tcPr>
                <w:p w14:paraId="58E79117">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305F79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07C7C6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26</w:t>
                  </w:r>
                </w:p>
              </w:tc>
              <w:tc>
                <w:tcPr>
                  <w:tcW w:w="1475" w:type="pct"/>
                  <w:shd w:val="clear" w:color="auto" w:fill="auto"/>
                  <w:vAlign w:val="center"/>
                </w:tcPr>
                <w:p w14:paraId="75E0A89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数控车床</w:t>
                  </w:r>
                </w:p>
              </w:tc>
              <w:tc>
                <w:tcPr>
                  <w:tcW w:w="795" w:type="pct"/>
                  <w:shd w:val="clear" w:color="auto" w:fill="auto"/>
                  <w:vAlign w:val="center"/>
                </w:tcPr>
                <w:p w14:paraId="2BAA98F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西格玛</w:t>
                  </w:r>
                </w:p>
              </w:tc>
              <w:tc>
                <w:tcPr>
                  <w:tcW w:w="450" w:type="pct"/>
                  <w:shd w:val="clear" w:color="auto" w:fill="auto"/>
                  <w:vAlign w:val="center"/>
                </w:tcPr>
                <w:p w14:paraId="61845A3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2102CA3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7A63531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6</w:t>
                  </w:r>
                </w:p>
              </w:tc>
              <w:tc>
                <w:tcPr>
                  <w:tcW w:w="457" w:type="pct"/>
                  <w:shd w:val="clear" w:color="auto" w:fill="auto"/>
                  <w:vAlign w:val="center"/>
                </w:tcPr>
                <w:p w14:paraId="76D95EB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+6</w:t>
                  </w:r>
                </w:p>
              </w:tc>
              <w:tc>
                <w:tcPr>
                  <w:tcW w:w="489" w:type="pct"/>
                  <w:shd w:val="clear" w:color="auto" w:fill="auto"/>
                  <w:vAlign w:val="center"/>
                </w:tcPr>
                <w:p w14:paraId="75DD142C">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0D78A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6EB63B0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27</w:t>
                  </w:r>
                </w:p>
              </w:tc>
              <w:tc>
                <w:tcPr>
                  <w:tcW w:w="1475" w:type="pct"/>
                  <w:shd w:val="clear" w:color="auto" w:fill="auto"/>
                  <w:vAlign w:val="center"/>
                </w:tcPr>
                <w:p w14:paraId="16DF8F5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加工中心</w:t>
                  </w:r>
                </w:p>
              </w:tc>
              <w:tc>
                <w:tcPr>
                  <w:tcW w:w="795" w:type="pct"/>
                  <w:shd w:val="clear" w:color="auto" w:fill="auto"/>
                  <w:vAlign w:val="center"/>
                </w:tcPr>
                <w:p w14:paraId="3FBF1DD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58E183A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239076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72" w:type="pct"/>
                  <w:shd w:val="clear" w:color="auto" w:fill="auto"/>
                  <w:vAlign w:val="center"/>
                </w:tcPr>
                <w:p w14:paraId="09A7AEB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57" w:type="pct"/>
                  <w:shd w:val="clear" w:color="auto" w:fill="auto"/>
                  <w:vAlign w:val="center"/>
                </w:tcPr>
                <w:p w14:paraId="454E5C0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206B4697">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D5F9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04CEC4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28</w:t>
                  </w:r>
                </w:p>
              </w:tc>
              <w:tc>
                <w:tcPr>
                  <w:tcW w:w="1475" w:type="pct"/>
                  <w:shd w:val="clear" w:color="auto" w:fill="auto"/>
                  <w:vAlign w:val="center"/>
                </w:tcPr>
                <w:p w14:paraId="23B1C26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加工中心</w:t>
                  </w:r>
                </w:p>
              </w:tc>
              <w:tc>
                <w:tcPr>
                  <w:tcW w:w="795" w:type="pct"/>
                  <w:shd w:val="clear" w:color="auto" w:fill="auto"/>
                  <w:vAlign w:val="center"/>
                </w:tcPr>
                <w:p w14:paraId="546F6EA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4轴</w:t>
                  </w:r>
                </w:p>
              </w:tc>
              <w:tc>
                <w:tcPr>
                  <w:tcW w:w="450" w:type="pct"/>
                  <w:shd w:val="clear" w:color="auto" w:fill="auto"/>
                  <w:vAlign w:val="center"/>
                </w:tcPr>
                <w:p w14:paraId="7E13398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115B2D4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472" w:type="pct"/>
                  <w:shd w:val="clear" w:color="auto" w:fill="auto"/>
                  <w:vAlign w:val="center"/>
                </w:tcPr>
                <w:p w14:paraId="3711D75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9</w:t>
                  </w:r>
                </w:p>
              </w:tc>
              <w:tc>
                <w:tcPr>
                  <w:tcW w:w="457" w:type="pct"/>
                  <w:shd w:val="clear" w:color="auto" w:fill="auto"/>
                  <w:vAlign w:val="center"/>
                </w:tcPr>
                <w:p w14:paraId="274930D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489" w:type="pct"/>
                  <w:shd w:val="clear" w:color="auto" w:fill="auto"/>
                  <w:vAlign w:val="center"/>
                </w:tcPr>
                <w:p w14:paraId="25A5B0DC">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4E606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6481CC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29</w:t>
                  </w:r>
                </w:p>
              </w:tc>
              <w:tc>
                <w:tcPr>
                  <w:tcW w:w="1475" w:type="pct"/>
                  <w:shd w:val="clear" w:color="auto" w:fill="auto"/>
                  <w:vAlign w:val="center"/>
                </w:tcPr>
                <w:p w14:paraId="3016B21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加工中心</w:t>
                  </w:r>
                </w:p>
              </w:tc>
              <w:tc>
                <w:tcPr>
                  <w:tcW w:w="795" w:type="pct"/>
                  <w:shd w:val="clear" w:color="auto" w:fill="auto"/>
                  <w:vAlign w:val="center"/>
                </w:tcPr>
                <w:p w14:paraId="44B24C3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3轴</w:t>
                  </w:r>
                </w:p>
              </w:tc>
              <w:tc>
                <w:tcPr>
                  <w:tcW w:w="450" w:type="pct"/>
                  <w:shd w:val="clear" w:color="auto" w:fill="auto"/>
                  <w:vAlign w:val="center"/>
                </w:tcPr>
                <w:p w14:paraId="6DB327D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067F0D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5D94507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457" w:type="pct"/>
                  <w:shd w:val="clear" w:color="auto" w:fill="auto"/>
                  <w:vAlign w:val="center"/>
                </w:tcPr>
                <w:p w14:paraId="69FE98F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89" w:type="pct"/>
                  <w:shd w:val="clear" w:color="auto" w:fill="auto"/>
                  <w:vAlign w:val="center"/>
                </w:tcPr>
                <w:p w14:paraId="77080687">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7A767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A6DAC9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30</w:t>
                  </w:r>
                </w:p>
              </w:tc>
              <w:tc>
                <w:tcPr>
                  <w:tcW w:w="1475" w:type="pct"/>
                  <w:shd w:val="clear" w:color="auto" w:fill="auto"/>
                  <w:vAlign w:val="center"/>
                </w:tcPr>
                <w:p w14:paraId="50A3032C">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切削中心</w:t>
                  </w:r>
                </w:p>
              </w:tc>
              <w:tc>
                <w:tcPr>
                  <w:tcW w:w="795" w:type="pct"/>
                  <w:shd w:val="clear" w:color="auto" w:fill="auto"/>
                  <w:vAlign w:val="center"/>
                </w:tcPr>
                <w:p w14:paraId="1EFF257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68F16BC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09D949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shd w:val="clear" w:color="auto" w:fill="auto"/>
                  <w:vAlign w:val="center"/>
                </w:tcPr>
                <w:p w14:paraId="0BBDC7F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B7B396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289F4186">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6493C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63AAE8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31</w:t>
                  </w:r>
                </w:p>
              </w:tc>
              <w:tc>
                <w:tcPr>
                  <w:tcW w:w="1475" w:type="pct"/>
                  <w:shd w:val="clear" w:color="auto" w:fill="auto"/>
                  <w:vAlign w:val="center"/>
                </w:tcPr>
                <w:p w14:paraId="2A322FA6">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台式钻床</w:t>
                  </w:r>
                </w:p>
              </w:tc>
              <w:tc>
                <w:tcPr>
                  <w:tcW w:w="795" w:type="pct"/>
                  <w:shd w:val="clear" w:color="auto" w:fill="auto"/>
                  <w:vAlign w:val="center"/>
                </w:tcPr>
                <w:p w14:paraId="330C3F3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2FF36EC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106BBD5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472" w:type="pct"/>
                  <w:shd w:val="clear" w:color="auto" w:fill="auto"/>
                  <w:vAlign w:val="center"/>
                </w:tcPr>
                <w:p w14:paraId="5CDFA4B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457" w:type="pct"/>
                  <w:shd w:val="clear" w:color="auto" w:fill="auto"/>
                  <w:vAlign w:val="center"/>
                </w:tcPr>
                <w:p w14:paraId="59AD9A3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70F8A28D">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3E5CB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45CB989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32</w:t>
                  </w:r>
                </w:p>
              </w:tc>
              <w:tc>
                <w:tcPr>
                  <w:tcW w:w="1475" w:type="pct"/>
                  <w:shd w:val="clear" w:color="auto" w:fill="auto"/>
                  <w:vAlign w:val="center"/>
                </w:tcPr>
                <w:p w14:paraId="0A9E05F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台式攻丝机</w:t>
                  </w:r>
                </w:p>
              </w:tc>
              <w:tc>
                <w:tcPr>
                  <w:tcW w:w="795" w:type="pct"/>
                  <w:shd w:val="clear" w:color="auto" w:fill="auto"/>
                  <w:vAlign w:val="center"/>
                </w:tcPr>
                <w:p w14:paraId="0210301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1AEA84A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BC5DA8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72" w:type="pct"/>
                  <w:shd w:val="clear" w:color="auto" w:fill="auto"/>
                  <w:vAlign w:val="center"/>
                </w:tcPr>
                <w:p w14:paraId="379364E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457" w:type="pct"/>
                  <w:shd w:val="clear" w:color="auto" w:fill="auto"/>
                  <w:vAlign w:val="center"/>
                </w:tcPr>
                <w:p w14:paraId="73626FF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6AFAEBCF">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5A1AE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17E2BDC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33</w:t>
                  </w:r>
                </w:p>
              </w:tc>
              <w:tc>
                <w:tcPr>
                  <w:tcW w:w="1475" w:type="pct"/>
                  <w:shd w:val="clear" w:color="auto" w:fill="auto"/>
                  <w:vAlign w:val="center"/>
                </w:tcPr>
                <w:p w14:paraId="6814841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振光机</w:t>
                  </w:r>
                </w:p>
              </w:tc>
              <w:tc>
                <w:tcPr>
                  <w:tcW w:w="795" w:type="pct"/>
                  <w:shd w:val="clear" w:color="auto" w:fill="auto"/>
                  <w:vAlign w:val="center"/>
                </w:tcPr>
                <w:p w14:paraId="7359606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300L</w:t>
                  </w:r>
                </w:p>
              </w:tc>
              <w:tc>
                <w:tcPr>
                  <w:tcW w:w="450" w:type="pct"/>
                  <w:shd w:val="clear" w:color="auto" w:fill="auto"/>
                  <w:vAlign w:val="center"/>
                </w:tcPr>
                <w:p w14:paraId="199EA54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0C65740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3DCBD94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581718C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5B6056EC">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36EB3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09B4D6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34</w:t>
                  </w:r>
                </w:p>
              </w:tc>
              <w:tc>
                <w:tcPr>
                  <w:tcW w:w="1475" w:type="pct"/>
                  <w:shd w:val="clear" w:color="auto" w:fill="auto"/>
                  <w:vAlign w:val="center"/>
                </w:tcPr>
                <w:p w14:paraId="17A61300">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清洗池</w:t>
                  </w:r>
                </w:p>
              </w:tc>
              <w:tc>
                <w:tcPr>
                  <w:tcW w:w="795" w:type="pct"/>
                  <w:shd w:val="clear" w:color="auto" w:fill="auto"/>
                  <w:vAlign w:val="center"/>
                </w:tcPr>
                <w:p w14:paraId="0E323911">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1m</w:t>
                  </w:r>
                  <w:r>
                    <w:rPr>
                      <w:rFonts w:hint="eastAsia" w:cs="Times New Roman"/>
                      <w:b w:val="0"/>
                      <w:smallCaps w:val="0"/>
                      <w:color w:val="auto"/>
                      <w:kern w:val="2"/>
                      <w:sz w:val="21"/>
                      <w:szCs w:val="21"/>
                      <w:highlight w:val="none"/>
                      <w:vertAlign w:val="superscript"/>
                      <w:lang w:val="en-US" w:eastAsia="zh-CN" w:bidi="ar-SA"/>
                    </w:rPr>
                    <w:t>3</w:t>
                  </w:r>
                </w:p>
              </w:tc>
              <w:tc>
                <w:tcPr>
                  <w:tcW w:w="450" w:type="pct"/>
                  <w:shd w:val="clear" w:color="auto" w:fill="auto"/>
                  <w:vAlign w:val="center"/>
                </w:tcPr>
                <w:p w14:paraId="3FBDFD6C">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64043D2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4AAD0CF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5EB8118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358FA59D">
                  <w:pPr>
                    <w:snapToGrid w:val="0"/>
                    <w:jc w:val="center"/>
                    <w:rPr>
                      <w:rFonts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105B3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042757D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35</w:t>
                  </w:r>
                </w:p>
              </w:tc>
              <w:tc>
                <w:tcPr>
                  <w:tcW w:w="1475" w:type="pct"/>
                  <w:shd w:val="clear" w:color="auto" w:fill="auto"/>
                  <w:vAlign w:val="center"/>
                </w:tcPr>
                <w:p w14:paraId="5F31713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烘箱</w:t>
                  </w:r>
                </w:p>
              </w:tc>
              <w:tc>
                <w:tcPr>
                  <w:tcW w:w="795" w:type="pct"/>
                  <w:shd w:val="clear" w:color="auto" w:fill="auto"/>
                  <w:vAlign w:val="center"/>
                </w:tcPr>
                <w:p w14:paraId="001B476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3E35FFA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301E91F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3F195BB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15DC40C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76138FB1">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5CE02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0A9BF0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36</w:t>
                  </w:r>
                </w:p>
              </w:tc>
              <w:tc>
                <w:tcPr>
                  <w:tcW w:w="1475" w:type="pct"/>
                  <w:shd w:val="clear" w:color="auto" w:fill="auto"/>
                  <w:vAlign w:val="center"/>
                </w:tcPr>
                <w:p w14:paraId="4E36A7A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卧式注塑机</w:t>
                  </w:r>
                </w:p>
              </w:tc>
              <w:tc>
                <w:tcPr>
                  <w:tcW w:w="795" w:type="pct"/>
                  <w:shd w:val="clear" w:color="auto" w:fill="auto"/>
                  <w:vAlign w:val="center"/>
                </w:tcPr>
                <w:p w14:paraId="4709C69F">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东华</w:t>
                  </w:r>
                </w:p>
              </w:tc>
              <w:tc>
                <w:tcPr>
                  <w:tcW w:w="450" w:type="pct"/>
                  <w:shd w:val="clear" w:color="auto" w:fill="auto"/>
                  <w:vAlign w:val="center"/>
                </w:tcPr>
                <w:p w14:paraId="7DA474F7">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DDC98F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7</w:t>
                  </w:r>
                </w:p>
              </w:tc>
              <w:tc>
                <w:tcPr>
                  <w:tcW w:w="472" w:type="pct"/>
                  <w:shd w:val="clear" w:color="auto" w:fill="auto"/>
                  <w:vAlign w:val="center"/>
                </w:tcPr>
                <w:p w14:paraId="695643E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7</w:t>
                  </w:r>
                </w:p>
              </w:tc>
              <w:tc>
                <w:tcPr>
                  <w:tcW w:w="457" w:type="pct"/>
                  <w:shd w:val="clear" w:color="auto" w:fill="auto"/>
                  <w:vAlign w:val="center"/>
                </w:tcPr>
                <w:p w14:paraId="4390908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119F9309">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39734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3CA8D61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37</w:t>
                  </w:r>
                </w:p>
              </w:tc>
              <w:tc>
                <w:tcPr>
                  <w:tcW w:w="1475" w:type="pct"/>
                  <w:shd w:val="clear" w:color="auto" w:fill="auto"/>
                  <w:vAlign w:val="center"/>
                </w:tcPr>
                <w:p w14:paraId="3686B748">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立式注塑机</w:t>
                  </w:r>
                </w:p>
              </w:tc>
              <w:tc>
                <w:tcPr>
                  <w:tcW w:w="795" w:type="pct"/>
                  <w:shd w:val="clear" w:color="auto" w:fill="auto"/>
                  <w:vAlign w:val="center"/>
                </w:tcPr>
                <w:p w14:paraId="0DAEB48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精雕</w:t>
                  </w:r>
                </w:p>
              </w:tc>
              <w:tc>
                <w:tcPr>
                  <w:tcW w:w="450" w:type="pct"/>
                  <w:shd w:val="clear" w:color="auto" w:fill="auto"/>
                  <w:vAlign w:val="center"/>
                </w:tcPr>
                <w:p w14:paraId="1F66D65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3966BF8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472" w:type="pct"/>
                  <w:shd w:val="clear" w:color="auto" w:fill="auto"/>
                  <w:vAlign w:val="center"/>
                </w:tcPr>
                <w:p w14:paraId="790D291D">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457" w:type="pct"/>
                  <w:shd w:val="clear" w:color="auto" w:fill="auto"/>
                  <w:vAlign w:val="center"/>
                </w:tcPr>
                <w:p w14:paraId="356F79B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shd w:val="clear" w:color="auto" w:fill="auto"/>
                  <w:vAlign w:val="center"/>
                </w:tcPr>
                <w:p w14:paraId="55D76E18">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4F6EE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6D89CA87">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38</w:t>
                  </w:r>
                </w:p>
              </w:tc>
              <w:tc>
                <w:tcPr>
                  <w:tcW w:w="1475" w:type="pct"/>
                  <w:shd w:val="clear" w:color="auto" w:fill="auto"/>
                  <w:vAlign w:val="center"/>
                </w:tcPr>
                <w:p w14:paraId="4398A5B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打标机</w:t>
                  </w:r>
                </w:p>
              </w:tc>
              <w:tc>
                <w:tcPr>
                  <w:tcW w:w="795" w:type="pct"/>
                  <w:shd w:val="clear" w:color="auto" w:fill="auto"/>
                  <w:vAlign w:val="center"/>
                </w:tcPr>
                <w:p w14:paraId="6D4763B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shd w:val="clear" w:color="auto" w:fill="auto"/>
                  <w:vAlign w:val="center"/>
                </w:tcPr>
                <w:p w14:paraId="73E83DD3">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台</w:t>
                  </w:r>
                </w:p>
              </w:tc>
              <w:tc>
                <w:tcPr>
                  <w:tcW w:w="450" w:type="pct"/>
                  <w:shd w:val="clear" w:color="auto" w:fill="auto"/>
                  <w:vAlign w:val="center"/>
                </w:tcPr>
                <w:p w14:paraId="4E726A7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shd w:val="clear" w:color="auto" w:fill="auto"/>
                  <w:vAlign w:val="center"/>
                </w:tcPr>
                <w:p w14:paraId="61983B8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shd w:val="clear" w:color="auto" w:fill="auto"/>
                  <w:vAlign w:val="center"/>
                </w:tcPr>
                <w:p w14:paraId="70B2BCE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shd w:val="clear" w:color="auto" w:fill="auto"/>
                  <w:vAlign w:val="center"/>
                </w:tcPr>
                <w:p w14:paraId="517A9459">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3A804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70C5C3CB">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辅助设备</w:t>
                  </w:r>
                </w:p>
              </w:tc>
            </w:tr>
            <w:tr w14:paraId="54771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64513A0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1475" w:type="pct"/>
                  <w:vAlign w:val="center"/>
                </w:tcPr>
                <w:p w14:paraId="0C5D538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光谱分析仪</w:t>
                  </w:r>
                </w:p>
              </w:tc>
              <w:tc>
                <w:tcPr>
                  <w:tcW w:w="795" w:type="pct"/>
                  <w:vAlign w:val="center"/>
                </w:tcPr>
                <w:p w14:paraId="58AD5D22">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default" w:ascii="Times New Roman" w:hAnsi="Times New Roman" w:eastAsia="宋体" w:cs="Times New Roman"/>
                      <w:b w:val="0"/>
                      <w:smallCaps w:val="0"/>
                      <w:color w:val="auto"/>
                      <w:kern w:val="2"/>
                      <w:sz w:val="21"/>
                      <w:szCs w:val="21"/>
                      <w:highlight w:val="none"/>
                      <w:lang w:val="en-US" w:eastAsia="zh-CN" w:bidi="ar-SA"/>
                    </w:rPr>
                    <w:t>labspark1000</w:t>
                  </w:r>
                </w:p>
              </w:tc>
              <w:tc>
                <w:tcPr>
                  <w:tcW w:w="450" w:type="pct"/>
                  <w:vAlign w:val="center"/>
                </w:tcPr>
                <w:p w14:paraId="43BEF360">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356EB83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2126F6A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4507031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7C577840">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国内</w:t>
                  </w:r>
                </w:p>
              </w:tc>
            </w:tr>
            <w:tr w14:paraId="1FF9A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3F0D982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1475" w:type="pct"/>
                  <w:vAlign w:val="center"/>
                </w:tcPr>
                <w:p w14:paraId="627F714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三坐标测量仪</w:t>
                  </w:r>
                </w:p>
              </w:tc>
              <w:tc>
                <w:tcPr>
                  <w:tcW w:w="795" w:type="pct"/>
                  <w:vAlign w:val="center"/>
                </w:tcPr>
                <w:p w14:paraId="0330E80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蔡司</w:t>
                  </w:r>
                </w:p>
              </w:tc>
              <w:tc>
                <w:tcPr>
                  <w:tcW w:w="450" w:type="pct"/>
                  <w:vAlign w:val="center"/>
                </w:tcPr>
                <w:p w14:paraId="1CAE17DD">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C331F0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67EBF32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4F3E052D">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41C0CE87">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国内</w:t>
                  </w:r>
                </w:p>
              </w:tc>
            </w:tr>
            <w:tr w14:paraId="4549C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6534DC8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1475" w:type="pct"/>
                  <w:vAlign w:val="center"/>
                </w:tcPr>
                <w:p w14:paraId="51D2F5A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X-Ray</w:t>
                  </w:r>
                  <w:r>
                    <w:rPr>
                      <w:rFonts w:hint="eastAsia" w:ascii="Times New Roman" w:hAnsi="Times New Roman" w:eastAsia="宋体" w:cs="Times New Roman"/>
                      <w:b w:val="0"/>
                      <w:smallCaps w:val="0"/>
                      <w:color w:val="auto"/>
                      <w:kern w:val="2"/>
                      <w:sz w:val="21"/>
                      <w:szCs w:val="21"/>
                      <w:highlight w:val="none"/>
                      <w:lang w:val="en-US" w:eastAsia="zh-CN" w:bidi="ar-SA"/>
                    </w:rPr>
                    <w:t>探伤仪</w:t>
                  </w:r>
                </w:p>
              </w:tc>
              <w:tc>
                <w:tcPr>
                  <w:tcW w:w="795" w:type="pct"/>
                  <w:vAlign w:val="center"/>
                </w:tcPr>
                <w:p w14:paraId="158096F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vAlign w:val="center"/>
                </w:tcPr>
                <w:p w14:paraId="5D89872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16D96F6">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06F3C4EB">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3359E08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77FA9D30">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国内</w:t>
                  </w:r>
                </w:p>
              </w:tc>
            </w:tr>
            <w:tr w14:paraId="1BA72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46A617B6">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1475" w:type="pct"/>
                  <w:vAlign w:val="center"/>
                </w:tcPr>
                <w:p w14:paraId="74026064">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螺杆式空压机</w:t>
                  </w:r>
                </w:p>
              </w:tc>
              <w:tc>
                <w:tcPr>
                  <w:tcW w:w="795" w:type="pct"/>
                  <w:vAlign w:val="center"/>
                </w:tcPr>
                <w:p w14:paraId="0C982B8B">
                  <w:pPr>
                    <w:snapToGrid w:val="0"/>
                    <w:jc w:val="center"/>
                    <w:rPr>
                      <w:rFonts w:hint="eastAsia"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KPT-60A</w:t>
                  </w:r>
                </w:p>
              </w:tc>
              <w:tc>
                <w:tcPr>
                  <w:tcW w:w="450" w:type="pct"/>
                  <w:vAlign w:val="center"/>
                </w:tcPr>
                <w:p w14:paraId="5211877E">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62F190B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248FFA55">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6DBB96BB">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4ED37E9C">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国内</w:t>
                  </w:r>
                </w:p>
              </w:tc>
            </w:tr>
            <w:tr w14:paraId="1C7C8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6EE4ACB7">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1475" w:type="pct"/>
                  <w:vAlign w:val="center"/>
                </w:tcPr>
                <w:p w14:paraId="0CDD6BB6">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循环冷却水池</w:t>
                  </w:r>
                </w:p>
              </w:tc>
              <w:tc>
                <w:tcPr>
                  <w:tcW w:w="795" w:type="pct"/>
                  <w:vAlign w:val="center"/>
                </w:tcPr>
                <w:p w14:paraId="0569E167">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100立方</w:t>
                  </w:r>
                </w:p>
              </w:tc>
              <w:tc>
                <w:tcPr>
                  <w:tcW w:w="450" w:type="pct"/>
                  <w:vAlign w:val="center"/>
                </w:tcPr>
                <w:p w14:paraId="08F775BA">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7C6B1F3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6227FD99">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4A47C8B0">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40BEC86F">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国内</w:t>
                  </w:r>
                </w:p>
              </w:tc>
            </w:tr>
            <w:tr w14:paraId="1EF3E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8"/>
                  <w:vAlign w:val="center"/>
                </w:tcPr>
                <w:p w14:paraId="26776AAC">
                  <w:pPr>
                    <w:snapToGrid w:val="0"/>
                    <w:jc w:val="center"/>
                    <w:rPr>
                      <w:rFonts w:hint="eastAsia" w:ascii="Times New Roman" w:hAnsi="Times New Roman" w:eastAsia="宋体" w:cs="Times New Roman"/>
                      <w:b w:val="0"/>
                      <w:smallCaps w:val="0"/>
                      <w:color w:val="auto"/>
                      <w:sz w:val="21"/>
                      <w:szCs w:val="21"/>
                      <w:highlight w:val="none"/>
                      <w:lang w:val="en-US" w:eastAsia="zh-CN"/>
                    </w:rPr>
                  </w:pPr>
                  <w:r>
                    <w:rPr>
                      <w:rFonts w:hint="eastAsia" w:ascii="Times New Roman" w:hAnsi="Times New Roman" w:eastAsia="宋体" w:cs="Times New Roman"/>
                      <w:b w:val="0"/>
                      <w:smallCaps w:val="0"/>
                      <w:color w:val="auto"/>
                      <w:sz w:val="21"/>
                      <w:szCs w:val="21"/>
                      <w:highlight w:val="none"/>
                      <w:lang w:val="en-US" w:eastAsia="zh-CN"/>
                    </w:rPr>
                    <w:t>环保设施</w:t>
                  </w:r>
                </w:p>
              </w:tc>
            </w:tr>
            <w:tr w14:paraId="599DD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73048451">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1</w:t>
                  </w:r>
                </w:p>
              </w:tc>
              <w:tc>
                <w:tcPr>
                  <w:tcW w:w="1475" w:type="pct"/>
                  <w:vAlign w:val="center"/>
                </w:tcPr>
                <w:p w14:paraId="1D3BD93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水喷淋+15m排气筒FQ-1，处理熔化烟尘、天然气燃烧废气</w:t>
                  </w:r>
                </w:p>
              </w:tc>
              <w:tc>
                <w:tcPr>
                  <w:tcW w:w="795" w:type="pct"/>
                  <w:vAlign w:val="center"/>
                </w:tcPr>
                <w:p w14:paraId="40657CB9">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11247m</w:t>
                  </w:r>
                  <w:r>
                    <w:rPr>
                      <w:rFonts w:hint="eastAsia" w:cs="Times New Roman"/>
                      <w:b w:val="0"/>
                      <w:smallCaps w:val="0"/>
                      <w:color w:val="auto"/>
                      <w:kern w:val="2"/>
                      <w:sz w:val="21"/>
                      <w:szCs w:val="21"/>
                      <w:highlight w:val="none"/>
                      <w:vertAlign w:val="superscript"/>
                      <w:lang w:val="en-US" w:eastAsia="zh-CN" w:bidi="ar-SA"/>
                    </w:rPr>
                    <w:t>3</w:t>
                  </w:r>
                  <w:r>
                    <w:rPr>
                      <w:rFonts w:hint="eastAsia" w:cs="Times New Roman"/>
                      <w:b w:val="0"/>
                      <w:smallCaps w:val="0"/>
                      <w:color w:val="auto"/>
                      <w:kern w:val="2"/>
                      <w:sz w:val="21"/>
                      <w:szCs w:val="21"/>
                      <w:highlight w:val="none"/>
                      <w:lang w:val="en-US" w:eastAsia="zh-CN" w:bidi="ar-SA"/>
                    </w:rPr>
                    <w:t>/h</w:t>
                  </w:r>
                </w:p>
              </w:tc>
              <w:tc>
                <w:tcPr>
                  <w:tcW w:w="450" w:type="pct"/>
                  <w:vAlign w:val="center"/>
                </w:tcPr>
                <w:p w14:paraId="0049C692">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398ED0D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40A0C5DB">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534A89B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5728449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ascii="Times New Roman" w:hAnsi="Times New Roman" w:eastAsia="宋体" w:cs="Times New Roman"/>
                      <w:b w:val="0"/>
                      <w:smallCaps w:val="0"/>
                      <w:color w:val="auto"/>
                      <w:sz w:val="21"/>
                      <w:szCs w:val="21"/>
                      <w:highlight w:val="none"/>
                    </w:rPr>
                    <w:t>国内</w:t>
                  </w:r>
                </w:p>
              </w:tc>
            </w:tr>
            <w:tr w14:paraId="41829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308D8DB3">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2</w:t>
                  </w:r>
                </w:p>
              </w:tc>
              <w:tc>
                <w:tcPr>
                  <w:tcW w:w="1475" w:type="pct"/>
                  <w:vAlign w:val="center"/>
                </w:tcPr>
                <w:p w14:paraId="647DD66A">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布袋除尘器+静电除油+二级活性炭+15m高排气筒FQ-1，处理压铸粉尘、脱模剂废气</w:t>
                  </w:r>
                </w:p>
              </w:tc>
              <w:tc>
                <w:tcPr>
                  <w:tcW w:w="795" w:type="pct"/>
                  <w:vAlign w:val="center"/>
                </w:tcPr>
                <w:p w14:paraId="315DF34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10000m</w:t>
                  </w:r>
                  <w:r>
                    <w:rPr>
                      <w:rFonts w:hint="eastAsia" w:cs="Times New Roman"/>
                      <w:b w:val="0"/>
                      <w:smallCaps w:val="0"/>
                      <w:color w:val="auto"/>
                      <w:kern w:val="2"/>
                      <w:sz w:val="21"/>
                      <w:szCs w:val="21"/>
                      <w:highlight w:val="none"/>
                      <w:vertAlign w:val="superscript"/>
                      <w:lang w:val="en-US" w:eastAsia="zh-CN" w:bidi="ar-SA"/>
                    </w:rPr>
                    <w:t>3</w:t>
                  </w:r>
                  <w:r>
                    <w:rPr>
                      <w:rFonts w:hint="eastAsia" w:cs="Times New Roman"/>
                      <w:b w:val="0"/>
                      <w:smallCaps w:val="0"/>
                      <w:color w:val="auto"/>
                      <w:kern w:val="2"/>
                      <w:sz w:val="21"/>
                      <w:szCs w:val="21"/>
                      <w:highlight w:val="none"/>
                      <w:lang w:val="en-US" w:eastAsia="zh-CN" w:bidi="ar-SA"/>
                    </w:rPr>
                    <w:t>/h</w:t>
                  </w:r>
                </w:p>
              </w:tc>
              <w:tc>
                <w:tcPr>
                  <w:tcW w:w="450" w:type="pct"/>
                  <w:vAlign w:val="center"/>
                </w:tcPr>
                <w:p w14:paraId="1C63554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74432C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09292984">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57" w:type="pct"/>
                  <w:vAlign w:val="center"/>
                </w:tcPr>
                <w:p w14:paraId="07A5041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581F1D3D">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2E810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53018811">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3</w:t>
                  </w:r>
                </w:p>
              </w:tc>
              <w:tc>
                <w:tcPr>
                  <w:tcW w:w="1475" w:type="pct"/>
                  <w:vAlign w:val="center"/>
                </w:tcPr>
                <w:p w14:paraId="5737A064">
                  <w:pPr>
                    <w:snapToGrid w:val="0"/>
                    <w:jc w:val="center"/>
                    <w:rPr>
                      <w:rFonts w:hint="eastAsia"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静电除油+水喷淋+除湿+二级活性炭+15m高排气筒FQ-1，处理压铸粉尘、脱模剂废气</w:t>
                  </w:r>
                </w:p>
              </w:tc>
              <w:tc>
                <w:tcPr>
                  <w:tcW w:w="795" w:type="pct"/>
                  <w:vAlign w:val="center"/>
                </w:tcPr>
                <w:p w14:paraId="03AC69E2">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10000m</w:t>
                  </w:r>
                  <w:r>
                    <w:rPr>
                      <w:rFonts w:hint="eastAsia" w:cs="Times New Roman"/>
                      <w:b w:val="0"/>
                      <w:smallCaps w:val="0"/>
                      <w:color w:val="auto"/>
                      <w:kern w:val="2"/>
                      <w:sz w:val="21"/>
                      <w:szCs w:val="21"/>
                      <w:highlight w:val="none"/>
                      <w:vertAlign w:val="superscript"/>
                      <w:lang w:val="en-US" w:eastAsia="zh-CN" w:bidi="ar-SA"/>
                    </w:rPr>
                    <w:t>3</w:t>
                  </w:r>
                  <w:r>
                    <w:rPr>
                      <w:rFonts w:hint="eastAsia" w:cs="Times New Roman"/>
                      <w:b w:val="0"/>
                      <w:smallCaps w:val="0"/>
                      <w:color w:val="auto"/>
                      <w:kern w:val="2"/>
                      <w:sz w:val="21"/>
                      <w:szCs w:val="21"/>
                      <w:highlight w:val="none"/>
                      <w:lang w:val="en-US" w:eastAsia="zh-CN" w:bidi="ar-SA"/>
                    </w:rPr>
                    <w:t>/h</w:t>
                  </w:r>
                </w:p>
              </w:tc>
              <w:tc>
                <w:tcPr>
                  <w:tcW w:w="450" w:type="pct"/>
                  <w:vAlign w:val="center"/>
                </w:tcPr>
                <w:p w14:paraId="24053EB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AC63EEF">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3D6CFA73">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04C094A7">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61563E8F">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47389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029C79C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4</w:t>
                  </w:r>
                </w:p>
              </w:tc>
              <w:tc>
                <w:tcPr>
                  <w:tcW w:w="1475" w:type="pct"/>
                  <w:vAlign w:val="center"/>
                </w:tcPr>
                <w:p w14:paraId="65D10141">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二级活性炭+15m高排气筒FQ-2，处理注塑废气</w:t>
                  </w:r>
                </w:p>
              </w:tc>
              <w:tc>
                <w:tcPr>
                  <w:tcW w:w="795" w:type="pct"/>
                  <w:vAlign w:val="center"/>
                </w:tcPr>
                <w:p w14:paraId="75B8901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10000m</w:t>
                  </w:r>
                  <w:r>
                    <w:rPr>
                      <w:rFonts w:hint="eastAsia" w:cs="Times New Roman"/>
                      <w:b w:val="0"/>
                      <w:smallCaps w:val="0"/>
                      <w:color w:val="auto"/>
                      <w:kern w:val="2"/>
                      <w:sz w:val="21"/>
                      <w:szCs w:val="21"/>
                      <w:highlight w:val="none"/>
                      <w:vertAlign w:val="superscript"/>
                      <w:lang w:val="en-US" w:eastAsia="zh-CN" w:bidi="ar-SA"/>
                    </w:rPr>
                    <w:t>3</w:t>
                  </w:r>
                  <w:r>
                    <w:rPr>
                      <w:rFonts w:hint="eastAsia" w:cs="Times New Roman"/>
                      <w:b w:val="0"/>
                      <w:smallCaps w:val="0"/>
                      <w:color w:val="auto"/>
                      <w:kern w:val="2"/>
                      <w:sz w:val="21"/>
                      <w:szCs w:val="21"/>
                      <w:highlight w:val="none"/>
                      <w:lang w:val="en-US" w:eastAsia="zh-CN" w:bidi="ar-SA"/>
                    </w:rPr>
                    <w:t>/h</w:t>
                  </w:r>
                </w:p>
              </w:tc>
              <w:tc>
                <w:tcPr>
                  <w:tcW w:w="450" w:type="pct"/>
                  <w:vAlign w:val="center"/>
                </w:tcPr>
                <w:p w14:paraId="771D496B">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C7C17C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72" w:type="pct"/>
                  <w:vAlign w:val="center"/>
                </w:tcPr>
                <w:p w14:paraId="5722122A">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615D422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89" w:type="pct"/>
                  <w:vAlign w:val="center"/>
                </w:tcPr>
                <w:p w14:paraId="730F7B52">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64CB1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2796E7B8">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w:t>
                  </w:r>
                </w:p>
              </w:tc>
              <w:tc>
                <w:tcPr>
                  <w:tcW w:w="1475" w:type="pct"/>
                  <w:vAlign w:val="center"/>
                </w:tcPr>
                <w:p w14:paraId="07AF950C">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湿式除尘器+15m高排气筒FQ-3，处理抛丸粉尘</w:t>
                  </w:r>
                </w:p>
              </w:tc>
              <w:tc>
                <w:tcPr>
                  <w:tcW w:w="795" w:type="pct"/>
                  <w:vAlign w:val="center"/>
                </w:tcPr>
                <w:p w14:paraId="0BF7C97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5000m</w:t>
                  </w:r>
                  <w:r>
                    <w:rPr>
                      <w:rFonts w:hint="eastAsia" w:cs="Times New Roman"/>
                      <w:b w:val="0"/>
                      <w:smallCaps w:val="0"/>
                      <w:color w:val="auto"/>
                      <w:kern w:val="2"/>
                      <w:sz w:val="21"/>
                      <w:szCs w:val="21"/>
                      <w:highlight w:val="none"/>
                      <w:vertAlign w:val="superscript"/>
                      <w:lang w:val="en-US" w:eastAsia="zh-CN" w:bidi="ar-SA"/>
                    </w:rPr>
                    <w:t>3</w:t>
                  </w:r>
                  <w:r>
                    <w:rPr>
                      <w:rFonts w:hint="eastAsia" w:cs="Times New Roman"/>
                      <w:b w:val="0"/>
                      <w:smallCaps w:val="0"/>
                      <w:color w:val="auto"/>
                      <w:kern w:val="2"/>
                      <w:sz w:val="21"/>
                      <w:szCs w:val="21"/>
                      <w:highlight w:val="none"/>
                      <w:lang w:val="en-US" w:eastAsia="zh-CN" w:bidi="ar-SA"/>
                    </w:rPr>
                    <w:t>/h</w:t>
                  </w:r>
                </w:p>
              </w:tc>
              <w:tc>
                <w:tcPr>
                  <w:tcW w:w="450" w:type="pct"/>
                  <w:vAlign w:val="center"/>
                </w:tcPr>
                <w:p w14:paraId="26DC62E0">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7E864A91">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0FE30C05">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103922B6">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5E02FB47">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0C1A6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68449AF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6</w:t>
                  </w:r>
                </w:p>
              </w:tc>
              <w:tc>
                <w:tcPr>
                  <w:tcW w:w="1475" w:type="pct"/>
                  <w:vAlign w:val="center"/>
                </w:tcPr>
                <w:p w14:paraId="40690AF0">
                  <w:pPr>
                    <w:snapToGrid w:val="0"/>
                    <w:jc w:val="center"/>
                    <w:rPr>
                      <w:rFonts w:hint="default"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水膜除尘器，处理1台卧式打磨机产生的打磨粉尘</w:t>
                  </w:r>
                </w:p>
              </w:tc>
              <w:tc>
                <w:tcPr>
                  <w:tcW w:w="795" w:type="pct"/>
                  <w:vAlign w:val="center"/>
                </w:tcPr>
                <w:p w14:paraId="60DA33CE">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vAlign w:val="center"/>
                </w:tcPr>
                <w:p w14:paraId="448EABC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44AA6A1B">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5E2995C2">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781D702F">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7AFE90E3">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5B300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shd w:val="clear" w:color="auto" w:fill="auto"/>
                  <w:vAlign w:val="center"/>
                </w:tcPr>
                <w:p w14:paraId="7F60740D">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7</w:t>
                  </w:r>
                </w:p>
              </w:tc>
              <w:tc>
                <w:tcPr>
                  <w:tcW w:w="1475" w:type="pct"/>
                  <w:vAlign w:val="center"/>
                </w:tcPr>
                <w:p w14:paraId="6DBBB029">
                  <w:pPr>
                    <w:snapToGrid w:val="0"/>
                    <w:jc w:val="center"/>
                    <w:rPr>
                      <w:rFonts w:hint="default"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湿式打磨台及水膜除尘器，处理5台打磨机产生的打磨粉尘</w:t>
                  </w:r>
                </w:p>
              </w:tc>
              <w:tc>
                <w:tcPr>
                  <w:tcW w:w="795" w:type="pct"/>
                  <w:vAlign w:val="center"/>
                </w:tcPr>
                <w:p w14:paraId="1A7CF9CC">
                  <w:pPr>
                    <w:snapToGrid w:val="0"/>
                    <w:jc w:val="center"/>
                    <w:rPr>
                      <w:rFonts w:hint="default" w:ascii="Times New Roman" w:hAnsi="Times New Roman" w:eastAsia="宋体"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w:t>
                  </w:r>
                </w:p>
              </w:tc>
              <w:tc>
                <w:tcPr>
                  <w:tcW w:w="450" w:type="pct"/>
                  <w:vAlign w:val="center"/>
                </w:tcPr>
                <w:p w14:paraId="3CD1E909">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1E49153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3F5BC18A">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0A2F16ED">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56603C6D">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r w14:paraId="47CDF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0" w:type="pct"/>
                  <w:vAlign w:val="center"/>
                </w:tcPr>
                <w:p w14:paraId="55697895">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8</w:t>
                  </w:r>
                </w:p>
              </w:tc>
              <w:tc>
                <w:tcPr>
                  <w:tcW w:w="1475" w:type="pct"/>
                  <w:vAlign w:val="center"/>
                </w:tcPr>
                <w:p w14:paraId="6E36158A">
                  <w:pPr>
                    <w:snapToGrid w:val="0"/>
                    <w:jc w:val="center"/>
                    <w:rPr>
                      <w:rFonts w:hint="default" w:cs="Times New Roman"/>
                      <w:b w:val="0"/>
                      <w:smallCaps w:val="0"/>
                      <w:color w:val="auto"/>
                      <w:kern w:val="2"/>
                      <w:sz w:val="21"/>
                      <w:szCs w:val="21"/>
                      <w:highlight w:val="none"/>
                      <w:lang w:val="en-US" w:eastAsia="zh-CN" w:bidi="ar-SA"/>
                    </w:rPr>
                  </w:pPr>
                  <w:r>
                    <w:rPr>
                      <w:rFonts w:hint="eastAsia" w:ascii="Times New Roman" w:hAnsi="Times New Roman" w:cs="宋体"/>
                      <w:b w:val="0"/>
                      <w:smallCaps w:val="0"/>
                      <w:color w:val="auto"/>
                      <w:lang w:val="en-US" w:eastAsia="zh-CN"/>
                    </w:rPr>
                    <w:t>精密过滤+炭滤+砂滤+RO</w:t>
                  </w:r>
                </w:p>
              </w:tc>
              <w:tc>
                <w:tcPr>
                  <w:tcW w:w="795" w:type="pct"/>
                  <w:vAlign w:val="center"/>
                </w:tcPr>
                <w:p w14:paraId="18D2DABB">
                  <w:pPr>
                    <w:snapToGrid w:val="0"/>
                    <w:jc w:val="center"/>
                    <w:rPr>
                      <w:rFonts w:hint="default"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1t/d</w:t>
                  </w:r>
                </w:p>
              </w:tc>
              <w:tc>
                <w:tcPr>
                  <w:tcW w:w="450" w:type="pct"/>
                  <w:vAlign w:val="center"/>
                </w:tcPr>
                <w:p w14:paraId="64F4F63F">
                  <w:pPr>
                    <w:snapToGrid w:val="0"/>
                    <w:jc w:val="center"/>
                    <w:rPr>
                      <w:rFonts w:hint="eastAsia" w:ascii="Times New Roman" w:hAnsi="Times New Roman" w:eastAsia="宋体" w:cs="Times New Roman"/>
                      <w:b w:val="0"/>
                      <w:smallCaps w:val="0"/>
                      <w:color w:val="auto"/>
                      <w:kern w:val="2"/>
                      <w:sz w:val="21"/>
                      <w:szCs w:val="21"/>
                      <w:highlight w:val="none"/>
                      <w:lang w:val="en-US" w:eastAsia="zh-CN" w:bidi="ar-SA"/>
                    </w:rPr>
                  </w:pPr>
                  <w:r>
                    <w:rPr>
                      <w:rFonts w:hint="eastAsia" w:ascii="Times New Roman" w:hAnsi="Times New Roman" w:eastAsia="宋体" w:cs="Times New Roman"/>
                      <w:b w:val="0"/>
                      <w:smallCaps w:val="0"/>
                      <w:color w:val="auto"/>
                      <w:kern w:val="2"/>
                      <w:sz w:val="21"/>
                      <w:szCs w:val="21"/>
                      <w:highlight w:val="none"/>
                      <w:lang w:val="en-US" w:eastAsia="zh-CN" w:bidi="ar-SA"/>
                    </w:rPr>
                    <w:t>台</w:t>
                  </w:r>
                </w:p>
              </w:tc>
              <w:tc>
                <w:tcPr>
                  <w:tcW w:w="450" w:type="pct"/>
                  <w:vAlign w:val="center"/>
                </w:tcPr>
                <w:p w14:paraId="7CB349BD">
                  <w:pPr>
                    <w:snapToGrid w:val="0"/>
                    <w:jc w:val="center"/>
                    <w:rPr>
                      <w:rFonts w:hint="eastAsia"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0</w:t>
                  </w:r>
                </w:p>
              </w:tc>
              <w:tc>
                <w:tcPr>
                  <w:tcW w:w="472" w:type="pct"/>
                  <w:vAlign w:val="center"/>
                </w:tcPr>
                <w:p w14:paraId="4459ABD8">
                  <w:pPr>
                    <w:snapToGrid w:val="0"/>
                    <w:jc w:val="center"/>
                    <w:rPr>
                      <w:rFonts w:hint="eastAsia"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57" w:type="pct"/>
                  <w:vAlign w:val="center"/>
                </w:tcPr>
                <w:p w14:paraId="5C8B970F">
                  <w:pPr>
                    <w:snapToGrid w:val="0"/>
                    <w:jc w:val="center"/>
                    <w:rPr>
                      <w:rFonts w:hint="eastAsia" w:cs="Times New Roman"/>
                      <w:b w:val="0"/>
                      <w:smallCaps w:val="0"/>
                      <w:color w:val="auto"/>
                      <w:kern w:val="2"/>
                      <w:sz w:val="21"/>
                      <w:szCs w:val="21"/>
                      <w:highlight w:val="none"/>
                      <w:lang w:val="en-US" w:eastAsia="zh-CN" w:bidi="ar-SA"/>
                    </w:rPr>
                  </w:pPr>
                  <w:r>
                    <w:rPr>
                      <w:rFonts w:hint="eastAsia" w:cs="Times New Roman"/>
                      <w:b w:val="0"/>
                      <w:smallCaps w:val="0"/>
                      <w:color w:val="auto"/>
                      <w:kern w:val="2"/>
                      <w:sz w:val="21"/>
                      <w:szCs w:val="21"/>
                      <w:highlight w:val="none"/>
                      <w:lang w:val="en-US" w:eastAsia="zh-CN" w:bidi="ar-SA"/>
                    </w:rPr>
                    <w:t>+1</w:t>
                  </w:r>
                </w:p>
              </w:tc>
              <w:tc>
                <w:tcPr>
                  <w:tcW w:w="489" w:type="pct"/>
                  <w:vAlign w:val="center"/>
                </w:tcPr>
                <w:p w14:paraId="0EE63096">
                  <w:pPr>
                    <w:snapToGrid w:val="0"/>
                    <w:jc w:val="center"/>
                    <w:rPr>
                      <w:rFonts w:ascii="Times New Roman" w:hAnsi="Times New Roman" w:eastAsia="宋体" w:cs="Times New Roman"/>
                      <w:b w:val="0"/>
                      <w:smallCaps w:val="0"/>
                      <w:color w:val="auto"/>
                      <w:sz w:val="21"/>
                      <w:szCs w:val="21"/>
                      <w:highlight w:val="none"/>
                    </w:rPr>
                  </w:pPr>
                  <w:r>
                    <w:rPr>
                      <w:rFonts w:ascii="Times New Roman" w:hAnsi="Times New Roman" w:eastAsia="宋体" w:cs="Times New Roman"/>
                      <w:b w:val="0"/>
                      <w:smallCaps w:val="0"/>
                      <w:color w:val="auto"/>
                      <w:sz w:val="21"/>
                      <w:szCs w:val="21"/>
                      <w:highlight w:val="none"/>
                    </w:rPr>
                    <w:t>国内</w:t>
                  </w:r>
                </w:p>
              </w:tc>
            </w:tr>
          </w:tbl>
          <w:p w14:paraId="7D7E69B6">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宋体"/>
                <w:b w:val="0"/>
                <w:bCs w:val="0"/>
                <w:color w:val="auto"/>
                <w:sz w:val="24"/>
                <w:highlight w:val="none"/>
                <w:lang w:val="en-US" w:eastAsia="zh-CN"/>
              </w:rPr>
            </w:pPr>
            <w:r>
              <w:rPr>
                <w:rFonts w:hint="eastAsia" w:cs="宋体"/>
                <w:b w:val="0"/>
                <w:bCs w:val="0"/>
                <w:color w:val="auto"/>
                <w:sz w:val="24"/>
                <w:highlight w:val="none"/>
                <w:lang w:val="en-US" w:eastAsia="zh-CN"/>
              </w:rPr>
              <w:t>本次技改后根据产品，不同型号压铸机及熔炉分配不同产品，具体产品和压铸机匹配情况见下表。</w:t>
            </w:r>
          </w:p>
          <w:p w14:paraId="288A7277">
            <w:pPr>
              <w:spacing w:line="240" w:lineRule="auto"/>
              <w:ind w:firstLine="406" w:firstLineChars="200"/>
              <w:jc w:val="center"/>
              <w:rPr>
                <w:rFonts w:hint="eastAsia" w:ascii="Times New Roman" w:hAnsi="Times New Roman" w:eastAsia="宋体" w:cs="宋体"/>
                <w:b/>
                <w:bCs w:val="0"/>
                <w:color w:val="auto"/>
                <w:sz w:val="24"/>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2.1-</w:t>
            </w:r>
            <w:r>
              <w:rPr>
                <w:rFonts w:hint="eastAsia" w:cs="宋体"/>
                <w:b/>
                <w:bCs w:val="0"/>
                <w:color w:val="auto"/>
                <w:spacing w:val="-4"/>
                <w:szCs w:val="21"/>
                <w:highlight w:val="none"/>
                <w:lang w:val="en-US" w:eastAsia="zh-CN"/>
              </w:rPr>
              <w:t>8</w:t>
            </w:r>
            <w:r>
              <w:rPr>
                <w:rFonts w:hint="eastAsia" w:ascii="Times New Roman" w:hAnsi="Times New Roman" w:eastAsia="宋体" w:cs="宋体"/>
                <w:b/>
                <w:bCs w:val="0"/>
                <w:color w:val="auto"/>
                <w:spacing w:val="-4"/>
                <w:szCs w:val="21"/>
                <w:highlight w:val="none"/>
              </w:rPr>
              <w:t xml:space="preserve">  </w:t>
            </w:r>
            <w:r>
              <w:rPr>
                <w:rFonts w:hint="eastAsia" w:cs="宋体"/>
                <w:b/>
                <w:bCs w:val="0"/>
                <w:color w:val="auto"/>
                <w:spacing w:val="-4"/>
                <w:szCs w:val="21"/>
                <w:highlight w:val="none"/>
                <w:lang w:val="en-US" w:eastAsia="zh-CN"/>
              </w:rPr>
              <w:t>产品及压铸机使用情况</w:t>
            </w:r>
            <w:r>
              <w:rPr>
                <w:rFonts w:ascii="Times New Roman" w:hAnsi="Times New Roman" w:eastAsia="宋体" w:cs="宋体"/>
                <w:b/>
                <w:bCs w:val="0"/>
                <w:color w:val="auto"/>
                <w:spacing w:val="-4"/>
                <w:szCs w:val="21"/>
                <w:highlight w:val="none"/>
              </w:rPr>
              <w:t>一览表</w:t>
            </w:r>
          </w:p>
          <w:tbl>
            <w:tblPr>
              <w:tblStyle w:val="22"/>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490"/>
              <w:gridCol w:w="1490"/>
              <w:gridCol w:w="2379"/>
              <w:gridCol w:w="2084"/>
            </w:tblGrid>
            <w:tr w14:paraId="4F228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1BD7D0BC">
                  <w:pPr>
                    <w:spacing w:line="240" w:lineRule="auto"/>
                    <w:jc w:val="center"/>
                    <w:rPr>
                      <w:rFonts w:hint="eastAsia"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序号</w:t>
                  </w:r>
                </w:p>
              </w:tc>
              <w:tc>
                <w:tcPr>
                  <w:tcW w:w="893" w:type="pct"/>
                  <w:tcBorders>
                    <w:tl2br w:val="nil"/>
                    <w:tr2bl w:val="nil"/>
                  </w:tcBorders>
                  <w:vAlign w:val="center"/>
                </w:tcPr>
                <w:p w14:paraId="199365ED">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产品类型</w:t>
                  </w:r>
                </w:p>
              </w:tc>
              <w:tc>
                <w:tcPr>
                  <w:tcW w:w="893" w:type="pct"/>
                  <w:tcBorders>
                    <w:tl2br w:val="nil"/>
                    <w:tr2bl w:val="nil"/>
                  </w:tcBorders>
                  <w:vAlign w:val="center"/>
                </w:tcPr>
                <w:p w14:paraId="147F3270">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产品名称</w:t>
                  </w:r>
                </w:p>
              </w:tc>
              <w:tc>
                <w:tcPr>
                  <w:tcW w:w="1426" w:type="pct"/>
                  <w:tcBorders>
                    <w:tl2br w:val="nil"/>
                    <w:tr2bl w:val="nil"/>
                  </w:tcBorders>
                  <w:vAlign w:val="center"/>
                </w:tcPr>
                <w:p w14:paraId="335DAC40">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压铸机使用型号</w:t>
                  </w:r>
                </w:p>
              </w:tc>
              <w:tc>
                <w:tcPr>
                  <w:tcW w:w="1249" w:type="pct"/>
                  <w:tcBorders>
                    <w:tl2br w:val="nil"/>
                    <w:tr2bl w:val="nil"/>
                  </w:tcBorders>
                  <w:vAlign w:val="center"/>
                </w:tcPr>
                <w:p w14:paraId="4375560D">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熔炉使用型号</w:t>
                  </w:r>
                </w:p>
              </w:tc>
            </w:tr>
            <w:tr w14:paraId="577B3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restart"/>
                  <w:tcBorders>
                    <w:tl2br w:val="nil"/>
                    <w:tr2bl w:val="nil"/>
                  </w:tcBorders>
                  <w:vAlign w:val="center"/>
                </w:tcPr>
                <w:p w14:paraId="7DBB95C9">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893" w:type="pct"/>
                  <w:vMerge w:val="restart"/>
                  <w:tcBorders>
                    <w:tl2br w:val="nil"/>
                    <w:tr2bl w:val="nil"/>
                  </w:tcBorders>
                  <w:vAlign w:val="center"/>
                </w:tcPr>
                <w:p w14:paraId="63C82B22">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新能源光伏配套压铸件</w:t>
                  </w:r>
                </w:p>
              </w:tc>
              <w:tc>
                <w:tcPr>
                  <w:tcW w:w="893" w:type="pct"/>
                  <w:tcBorders>
                    <w:tl2br w:val="nil"/>
                    <w:tr2bl w:val="nil"/>
                  </w:tcBorders>
                  <w:vAlign w:val="center"/>
                </w:tcPr>
                <w:p w14:paraId="7354C164">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大圈</w:t>
                  </w:r>
                </w:p>
              </w:tc>
              <w:tc>
                <w:tcPr>
                  <w:tcW w:w="1426" w:type="pct"/>
                  <w:vMerge w:val="restart"/>
                  <w:tcBorders>
                    <w:tl2br w:val="nil"/>
                    <w:tr2bl w:val="nil"/>
                  </w:tcBorders>
                  <w:vAlign w:val="center"/>
                </w:tcPr>
                <w:p w14:paraId="20039D43">
                  <w:pPr>
                    <w:spacing w:line="240" w:lineRule="auto"/>
                    <w:jc w:val="center"/>
                    <w:rPr>
                      <w:rFonts w:hint="default" w:ascii="Times New Roman" w:hAnsi="Times New Roman" w:eastAsia="宋体" w:cs="宋体"/>
                      <w:b w:val="0"/>
                      <w:bCs w:val="0"/>
                      <w:strike w:val="0"/>
                      <w:color w:val="auto"/>
                      <w:sz w:val="21"/>
                      <w:szCs w:val="21"/>
                      <w:highlight w:val="none"/>
                      <w:vertAlign w:val="baseline"/>
                      <w:lang w:val="en-US" w:eastAsia="zh-CN"/>
                    </w:rPr>
                  </w:pPr>
                  <w:r>
                    <w:rPr>
                      <w:rFonts w:hint="eastAsia" w:cs="宋体"/>
                      <w:b w:val="0"/>
                      <w:bCs w:val="0"/>
                      <w:strike w:val="0"/>
                      <w:dstrike w:val="0"/>
                      <w:color w:val="auto"/>
                      <w:sz w:val="21"/>
                      <w:szCs w:val="21"/>
                      <w:highlight w:val="none"/>
                      <w:vertAlign w:val="baseline"/>
                      <w:lang w:val="en-US" w:eastAsia="zh-CN"/>
                    </w:rPr>
                    <w:t>280t</w:t>
                  </w:r>
                </w:p>
              </w:tc>
              <w:tc>
                <w:tcPr>
                  <w:tcW w:w="1249" w:type="pct"/>
                  <w:vMerge w:val="restart"/>
                  <w:tcBorders>
                    <w:tl2br w:val="nil"/>
                    <w:tr2bl w:val="nil"/>
                  </w:tcBorders>
                  <w:vAlign w:val="center"/>
                </w:tcPr>
                <w:p w14:paraId="2C7B46B9">
                  <w:pPr>
                    <w:spacing w:line="240" w:lineRule="auto"/>
                    <w:jc w:val="center"/>
                    <w:rPr>
                      <w:rFonts w:hint="default" w:ascii="Times New Roman" w:hAnsi="Times New Roman" w:eastAsia="宋体" w:cs="宋体"/>
                      <w:b w:val="0"/>
                      <w:bCs w:val="0"/>
                      <w:strike w:val="0"/>
                      <w:color w:val="auto"/>
                      <w:sz w:val="21"/>
                      <w:szCs w:val="21"/>
                      <w:highlight w:val="none"/>
                      <w:vertAlign w:val="baseline"/>
                      <w:lang w:val="en-US" w:eastAsia="zh-CN"/>
                    </w:rPr>
                  </w:pPr>
                  <w:r>
                    <w:rPr>
                      <w:rFonts w:hint="eastAsia" w:cs="宋体"/>
                      <w:b w:val="0"/>
                      <w:bCs w:val="0"/>
                      <w:strike w:val="0"/>
                      <w:color w:val="auto"/>
                      <w:sz w:val="21"/>
                      <w:szCs w:val="21"/>
                      <w:highlight w:val="none"/>
                      <w:vertAlign w:val="baseline"/>
                      <w:lang w:val="en-US" w:eastAsia="zh-CN"/>
                    </w:rPr>
                    <w:t>300kg</w:t>
                  </w:r>
                </w:p>
              </w:tc>
            </w:tr>
            <w:tr w14:paraId="242D4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6CACD273">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2BC8E39F">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vAlign w:val="center"/>
                </w:tcPr>
                <w:p w14:paraId="4079FD1F">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小圈</w:t>
                  </w:r>
                </w:p>
              </w:tc>
              <w:tc>
                <w:tcPr>
                  <w:tcW w:w="1426" w:type="pct"/>
                  <w:vMerge w:val="continue"/>
                  <w:tcBorders>
                    <w:tl2br w:val="nil"/>
                    <w:tr2bl w:val="nil"/>
                  </w:tcBorders>
                  <w:vAlign w:val="center"/>
                </w:tcPr>
                <w:p w14:paraId="017933EA">
                  <w:pPr>
                    <w:spacing w:line="240" w:lineRule="auto"/>
                    <w:jc w:val="center"/>
                    <w:rPr>
                      <w:rFonts w:hint="eastAsia" w:ascii="Times New Roman" w:hAnsi="Times New Roman" w:eastAsia="宋体" w:cs="宋体"/>
                      <w:b w:val="0"/>
                      <w:bCs w:val="0"/>
                      <w:strike w:val="0"/>
                      <w:color w:val="auto"/>
                      <w:sz w:val="21"/>
                      <w:szCs w:val="21"/>
                      <w:highlight w:val="none"/>
                      <w:vertAlign w:val="baseline"/>
                    </w:rPr>
                  </w:pPr>
                </w:p>
              </w:tc>
              <w:tc>
                <w:tcPr>
                  <w:tcW w:w="1249" w:type="pct"/>
                  <w:vMerge w:val="continue"/>
                  <w:tcBorders>
                    <w:tl2br w:val="nil"/>
                    <w:tr2bl w:val="nil"/>
                  </w:tcBorders>
                  <w:vAlign w:val="center"/>
                </w:tcPr>
                <w:p w14:paraId="6D23ACE1">
                  <w:pPr>
                    <w:spacing w:line="240" w:lineRule="auto"/>
                    <w:jc w:val="center"/>
                    <w:rPr>
                      <w:rFonts w:hint="eastAsia" w:ascii="Times New Roman" w:hAnsi="Times New Roman" w:eastAsia="宋体" w:cs="宋体"/>
                      <w:b w:val="0"/>
                      <w:bCs w:val="0"/>
                      <w:strike w:val="0"/>
                      <w:color w:val="auto"/>
                      <w:sz w:val="21"/>
                      <w:szCs w:val="21"/>
                      <w:highlight w:val="none"/>
                      <w:vertAlign w:val="baseline"/>
                    </w:rPr>
                  </w:pPr>
                </w:p>
              </w:tc>
            </w:tr>
            <w:tr w14:paraId="3E657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restart"/>
                  <w:tcBorders>
                    <w:tl2br w:val="nil"/>
                    <w:tr2bl w:val="nil"/>
                  </w:tcBorders>
                  <w:vAlign w:val="center"/>
                </w:tcPr>
                <w:p w14:paraId="27EA3F90">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2</w:t>
                  </w:r>
                </w:p>
              </w:tc>
              <w:tc>
                <w:tcPr>
                  <w:tcW w:w="893" w:type="pct"/>
                  <w:vMerge w:val="restart"/>
                  <w:tcBorders>
                    <w:tl2br w:val="nil"/>
                    <w:tr2bl w:val="nil"/>
                  </w:tcBorders>
                  <w:vAlign w:val="center"/>
                </w:tcPr>
                <w:p w14:paraId="1F2CCBA1">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电机壳体配套压铸件</w:t>
                  </w:r>
                </w:p>
              </w:tc>
              <w:tc>
                <w:tcPr>
                  <w:tcW w:w="893" w:type="pct"/>
                  <w:tcBorders>
                    <w:tl2br w:val="nil"/>
                    <w:tr2bl w:val="nil"/>
                  </w:tcBorders>
                  <w:vAlign w:val="center"/>
                </w:tcPr>
                <w:p w14:paraId="2B4136EB">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控制盒盖</w:t>
                  </w:r>
                </w:p>
              </w:tc>
              <w:tc>
                <w:tcPr>
                  <w:tcW w:w="1426" w:type="pct"/>
                  <w:vMerge w:val="restart"/>
                  <w:tcBorders>
                    <w:tl2br w:val="nil"/>
                    <w:tr2bl w:val="nil"/>
                  </w:tcBorders>
                  <w:vAlign w:val="center"/>
                </w:tcPr>
                <w:p w14:paraId="58ADBCCE">
                  <w:pPr>
                    <w:spacing w:line="240" w:lineRule="auto"/>
                    <w:jc w:val="center"/>
                    <w:rPr>
                      <w:rFonts w:hint="default" w:ascii="Times New Roman" w:hAnsi="Times New Roman" w:eastAsia="宋体" w:cs="宋体"/>
                      <w:b w:val="0"/>
                      <w:bCs w:val="0"/>
                      <w:strike w:val="0"/>
                      <w:color w:val="auto"/>
                      <w:sz w:val="21"/>
                      <w:szCs w:val="21"/>
                      <w:highlight w:val="none"/>
                      <w:vertAlign w:val="baseline"/>
                      <w:lang w:val="en-US" w:eastAsia="zh-CN"/>
                    </w:rPr>
                  </w:pPr>
                  <w:r>
                    <w:rPr>
                      <w:rFonts w:hint="eastAsia" w:cs="宋体"/>
                      <w:b w:val="0"/>
                      <w:bCs w:val="0"/>
                      <w:strike w:val="0"/>
                      <w:dstrike w:val="0"/>
                      <w:color w:val="auto"/>
                      <w:sz w:val="21"/>
                      <w:szCs w:val="21"/>
                      <w:highlight w:val="none"/>
                      <w:vertAlign w:val="baseline"/>
                      <w:lang w:val="en-US" w:eastAsia="zh-CN"/>
                    </w:rPr>
                    <w:t>300t</w:t>
                  </w:r>
                </w:p>
              </w:tc>
              <w:tc>
                <w:tcPr>
                  <w:tcW w:w="1249" w:type="pct"/>
                  <w:vMerge w:val="restart"/>
                  <w:tcBorders>
                    <w:tl2br w:val="nil"/>
                    <w:tr2bl w:val="nil"/>
                  </w:tcBorders>
                  <w:vAlign w:val="center"/>
                </w:tcPr>
                <w:p w14:paraId="5FDB9105">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500kg</w:t>
                  </w:r>
                </w:p>
              </w:tc>
            </w:tr>
            <w:tr w14:paraId="1B800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27D7D1C0">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20C975F8">
                  <w:pPr>
                    <w:spacing w:line="240" w:lineRule="auto"/>
                    <w:jc w:val="center"/>
                    <w:rPr>
                      <w:rFonts w:hint="eastAsia" w:cs="宋体"/>
                      <w:b w:val="0"/>
                      <w:bCs w:val="0"/>
                      <w:color w:val="auto"/>
                      <w:sz w:val="21"/>
                      <w:szCs w:val="21"/>
                      <w:highlight w:val="none"/>
                      <w:vertAlign w:val="baseline"/>
                      <w:lang w:val="en-US" w:eastAsia="zh-CN"/>
                    </w:rPr>
                  </w:pPr>
                </w:p>
              </w:tc>
              <w:tc>
                <w:tcPr>
                  <w:tcW w:w="893" w:type="pct"/>
                  <w:tcBorders>
                    <w:tl2br w:val="nil"/>
                    <w:tr2bl w:val="nil"/>
                  </w:tcBorders>
                  <w:vAlign w:val="center"/>
                </w:tcPr>
                <w:p w14:paraId="5D353DD5">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4.1后端盖</w:t>
                  </w:r>
                </w:p>
              </w:tc>
              <w:tc>
                <w:tcPr>
                  <w:tcW w:w="1426" w:type="pct"/>
                  <w:vMerge w:val="continue"/>
                  <w:tcBorders>
                    <w:tl2br w:val="nil"/>
                    <w:tr2bl w:val="nil"/>
                  </w:tcBorders>
                  <w:vAlign w:val="center"/>
                </w:tcPr>
                <w:p w14:paraId="2D56E03F">
                  <w:pPr>
                    <w:spacing w:line="240" w:lineRule="auto"/>
                    <w:jc w:val="center"/>
                    <w:rPr>
                      <w:rFonts w:hint="eastAsia" w:cs="宋体"/>
                      <w:b w:val="0"/>
                      <w:bCs w:val="0"/>
                      <w:strike w:val="0"/>
                      <w:dstrike w:val="0"/>
                      <w:color w:val="auto"/>
                      <w:sz w:val="21"/>
                      <w:szCs w:val="21"/>
                      <w:highlight w:val="none"/>
                      <w:vertAlign w:val="baseline"/>
                      <w:lang w:val="en-US" w:eastAsia="zh-CN"/>
                    </w:rPr>
                  </w:pPr>
                </w:p>
              </w:tc>
              <w:tc>
                <w:tcPr>
                  <w:tcW w:w="1249" w:type="pct"/>
                  <w:vMerge w:val="continue"/>
                  <w:tcBorders>
                    <w:tl2br w:val="nil"/>
                    <w:tr2bl w:val="nil"/>
                  </w:tcBorders>
                  <w:vAlign w:val="center"/>
                </w:tcPr>
                <w:p w14:paraId="643E3099">
                  <w:pPr>
                    <w:spacing w:line="240" w:lineRule="auto"/>
                    <w:jc w:val="center"/>
                    <w:rPr>
                      <w:rFonts w:hint="eastAsia" w:cs="宋体"/>
                      <w:b w:val="0"/>
                      <w:bCs w:val="0"/>
                      <w:strike w:val="0"/>
                      <w:dstrike w:val="0"/>
                      <w:color w:val="auto"/>
                      <w:sz w:val="21"/>
                      <w:szCs w:val="21"/>
                      <w:highlight w:val="none"/>
                      <w:vertAlign w:val="baseline"/>
                      <w:lang w:val="en-US" w:eastAsia="zh-CN"/>
                    </w:rPr>
                  </w:pPr>
                </w:p>
              </w:tc>
            </w:tr>
            <w:tr w14:paraId="60A65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582B3713">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0AFFD97D">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vAlign w:val="center"/>
                </w:tcPr>
                <w:p w14:paraId="412E93C0">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控制盒</w:t>
                  </w:r>
                </w:p>
              </w:tc>
              <w:tc>
                <w:tcPr>
                  <w:tcW w:w="1426" w:type="pct"/>
                  <w:vMerge w:val="restart"/>
                  <w:tcBorders>
                    <w:tl2br w:val="nil"/>
                    <w:tr2bl w:val="nil"/>
                  </w:tcBorders>
                  <w:vAlign w:val="center"/>
                </w:tcPr>
                <w:p w14:paraId="28F3976F">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500t</w:t>
                  </w:r>
                </w:p>
              </w:tc>
              <w:tc>
                <w:tcPr>
                  <w:tcW w:w="1249" w:type="pct"/>
                  <w:vMerge w:val="restart"/>
                  <w:tcBorders>
                    <w:tl2br w:val="nil"/>
                    <w:tr2bl w:val="nil"/>
                  </w:tcBorders>
                  <w:vAlign w:val="center"/>
                </w:tcPr>
                <w:p w14:paraId="523E5A0A">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600kg</w:t>
                  </w:r>
                </w:p>
              </w:tc>
            </w:tr>
            <w:tr w14:paraId="0FD1C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606BAB12">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7B979B45">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vAlign w:val="center"/>
                </w:tcPr>
                <w:p w14:paraId="128A8795">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4.1机壳</w:t>
                  </w:r>
                </w:p>
              </w:tc>
              <w:tc>
                <w:tcPr>
                  <w:tcW w:w="1426" w:type="pct"/>
                  <w:vMerge w:val="continue"/>
                  <w:tcBorders>
                    <w:tl2br w:val="nil"/>
                    <w:tr2bl w:val="nil"/>
                  </w:tcBorders>
                  <w:vAlign w:val="center"/>
                </w:tcPr>
                <w:p w14:paraId="4F2AC6EA">
                  <w:pPr>
                    <w:spacing w:line="240" w:lineRule="auto"/>
                    <w:jc w:val="center"/>
                    <w:rPr>
                      <w:rFonts w:hint="eastAsia" w:cs="宋体"/>
                      <w:b w:val="0"/>
                      <w:bCs w:val="0"/>
                      <w:strike w:val="0"/>
                      <w:dstrike w:val="0"/>
                      <w:color w:val="auto"/>
                      <w:sz w:val="21"/>
                      <w:szCs w:val="21"/>
                      <w:highlight w:val="none"/>
                      <w:vertAlign w:val="baseline"/>
                      <w:lang w:val="en-US" w:eastAsia="zh-CN"/>
                    </w:rPr>
                  </w:pPr>
                </w:p>
              </w:tc>
              <w:tc>
                <w:tcPr>
                  <w:tcW w:w="1249" w:type="pct"/>
                  <w:vMerge w:val="continue"/>
                  <w:tcBorders>
                    <w:tl2br w:val="nil"/>
                    <w:tr2bl w:val="nil"/>
                  </w:tcBorders>
                  <w:vAlign w:val="center"/>
                </w:tcPr>
                <w:p w14:paraId="64C27D54">
                  <w:pPr>
                    <w:spacing w:line="240" w:lineRule="auto"/>
                    <w:jc w:val="center"/>
                    <w:rPr>
                      <w:rFonts w:hint="eastAsia" w:cs="宋体"/>
                      <w:b w:val="0"/>
                      <w:bCs w:val="0"/>
                      <w:strike w:val="0"/>
                      <w:dstrike w:val="0"/>
                      <w:color w:val="auto"/>
                      <w:sz w:val="21"/>
                      <w:szCs w:val="21"/>
                      <w:highlight w:val="none"/>
                      <w:vertAlign w:val="baseline"/>
                      <w:lang w:val="en-US" w:eastAsia="zh-CN"/>
                    </w:rPr>
                  </w:pPr>
                </w:p>
              </w:tc>
            </w:tr>
            <w:tr w14:paraId="1865A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2FE545A9">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64C6E6C9">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vAlign w:val="center"/>
                </w:tcPr>
                <w:p w14:paraId="1FB64707">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4.1前端盖</w:t>
                  </w:r>
                </w:p>
              </w:tc>
              <w:tc>
                <w:tcPr>
                  <w:tcW w:w="1426" w:type="pct"/>
                  <w:tcBorders>
                    <w:tl2br w:val="nil"/>
                    <w:tr2bl w:val="nil"/>
                  </w:tcBorders>
                  <w:vAlign w:val="center"/>
                </w:tcPr>
                <w:p w14:paraId="626CF13C">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280t</w:t>
                  </w:r>
                </w:p>
              </w:tc>
              <w:tc>
                <w:tcPr>
                  <w:tcW w:w="1249" w:type="pct"/>
                  <w:tcBorders>
                    <w:tl2br w:val="nil"/>
                    <w:tr2bl w:val="nil"/>
                  </w:tcBorders>
                  <w:vAlign w:val="center"/>
                </w:tcPr>
                <w:p w14:paraId="312B65EC">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600kg</w:t>
                  </w:r>
                </w:p>
              </w:tc>
            </w:tr>
            <w:tr w14:paraId="6C293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5B359245">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1C30E847">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shd w:val="clear" w:color="auto" w:fill="auto"/>
                  <w:vAlign w:val="center"/>
                </w:tcPr>
                <w:p w14:paraId="18BCE28B">
                  <w:pPr>
                    <w:spacing w:line="240" w:lineRule="auto"/>
                    <w:jc w:val="center"/>
                    <w:rPr>
                      <w:rFonts w:hint="eastAsia" w:ascii="Times New Roman" w:hAnsi="Times New Roman" w:eastAsia="宋体" w:cs="宋体"/>
                      <w:b w:val="0"/>
                      <w:bCs w:val="0"/>
                      <w:color w:val="auto"/>
                      <w:kern w:val="2"/>
                      <w:sz w:val="21"/>
                      <w:szCs w:val="21"/>
                      <w:highlight w:val="none"/>
                      <w:vertAlign w:val="baseline"/>
                      <w:lang w:val="en-US" w:eastAsia="zh-CN" w:bidi="ar-SA"/>
                    </w:rPr>
                  </w:pPr>
                  <w:r>
                    <w:rPr>
                      <w:rFonts w:hint="eastAsia" w:cs="宋体"/>
                      <w:b w:val="0"/>
                      <w:bCs w:val="0"/>
                      <w:color w:val="auto"/>
                      <w:sz w:val="21"/>
                      <w:szCs w:val="21"/>
                      <w:highlight w:val="none"/>
                      <w:vertAlign w:val="baseline"/>
                      <w:lang w:val="en-US" w:eastAsia="zh-CN"/>
                    </w:rPr>
                    <w:t>4.8机壳</w:t>
                  </w:r>
                </w:p>
              </w:tc>
              <w:tc>
                <w:tcPr>
                  <w:tcW w:w="1426" w:type="pct"/>
                  <w:tcBorders>
                    <w:tl2br w:val="nil"/>
                    <w:tr2bl w:val="nil"/>
                  </w:tcBorders>
                  <w:shd w:val="clear" w:color="auto" w:fill="auto"/>
                  <w:vAlign w:val="center"/>
                </w:tcPr>
                <w:p w14:paraId="62C09CE8">
                  <w:pPr>
                    <w:spacing w:line="240" w:lineRule="auto"/>
                    <w:jc w:val="center"/>
                    <w:rPr>
                      <w:rFonts w:hint="eastAsia" w:ascii="Times New Roman" w:hAnsi="Times New Roman" w:eastAsia="宋体" w:cs="宋体"/>
                      <w:b w:val="0"/>
                      <w:bCs w:val="0"/>
                      <w:strike w:val="0"/>
                      <w:color w:val="auto"/>
                      <w:kern w:val="2"/>
                      <w:sz w:val="21"/>
                      <w:szCs w:val="21"/>
                      <w:highlight w:val="none"/>
                      <w:vertAlign w:val="baseline"/>
                      <w:lang w:val="en-US" w:eastAsia="zh-CN" w:bidi="ar-SA"/>
                    </w:rPr>
                  </w:pPr>
                  <w:r>
                    <w:rPr>
                      <w:rFonts w:hint="eastAsia" w:cs="宋体"/>
                      <w:b w:val="0"/>
                      <w:bCs w:val="0"/>
                      <w:strike w:val="0"/>
                      <w:dstrike w:val="0"/>
                      <w:color w:val="auto"/>
                      <w:sz w:val="21"/>
                      <w:szCs w:val="21"/>
                      <w:highlight w:val="none"/>
                      <w:vertAlign w:val="baseline"/>
                      <w:lang w:val="en-US" w:eastAsia="zh-CN"/>
                    </w:rPr>
                    <w:t>400t</w:t>
                  </w:r>
                </w:p>
              </w:tc>
              <w:tc>
                <w:tcPr>
                  <w:tcW w:w="1249" w:type="pct"/>
                  <w:tcBorders>
                    <w:tl2br w:val="nil"/>
                    <w:tr2bl w:val="nil"/>
                  </w:tcBorders>
                  <w:shd w:val="clear" w:color="auto" w:fill="auto"/>
                  <w:vAlign w:val="center"/>
                </w:tcPr>
                <w:p w14:paraId="69483348">
                  <w:pPr>
                    <w:spacing w:line="240" w:lineRule="auto"/>
                    <w:jc w:val="center"/>
                    <w:rPr>
                      <w:rFonts w:hint="eastAsia" w:ascii="Times New Roman" w:hAnsi="Times New Roman" w:eastAsia="宋体" w:cs="宋体"/>
                      <w:b w:val="0"/>
                      <w:bCs w:val="0"/>
                      <w:strike w:val="0"/>
                      <w:dstrike w:val="0"/>
                      <w:color w:val="auto"/>
                      <w:kern w:val="2"/>
                      <w:sz w:val="21"/>
                      <w:szCs w:val="21"/>
                      <w:highlight w:val="none"/>
                      <w:vertAlign w:val="baseline"/>
                      <w:lang w:val="en-US" w:eastAsia="zh-CN" w:bidi="ar-SA"/>
                    </w:rPr>
                  </w:pPr>
                  <w:r>
                    <w:rPr>
                      <w:rFonts w:hint="eastAsia" w:cs="宋体"/>
                      <w:b w:val="0"/>
                      <w:bCs w:val="0"/>
                      <w:strike w:val="0"/>
                      <w:dstrike w:val="0"/>
                      <w:color w:val="auto"/>
                      <w:sz w:val="21"/>
                      <w:szCs w:val="21"/>
                      <w:highlight w:val="none"/>
                      <w:vertAlign w:val="baseline"/>
                      <w:lang w:val="en-US" w:eastAsia="zh-CN"/>
                    </w:rPr>
                    <w:t>600kg</w:t>
                  </w:r>
                </w:p>
              </w:tc>
            </w:tr>
            <w:tr w14:paraId="7FFA4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vMerge w:val="continue"/>
                  <w:tcBorders>
                    <w:tl2br w:val="nil"/>
                    <w:tr2bl w:val="nil"/>
                  </w:tcBorders>
                  <w:vAlign w:val="center"/>
                </w:tcPr>
                <w:p w14:paraId="095B0982">
                  <w:pPr>
                    <w:spacing w:line="240" w:lineRule="auto"/>
                    <w:jc w:val="center"/>
                    <w:rPr>
                      <w:rFonts w:hint="eastAsia" w:cs="宋体"/>
                      <w:b w:val="0"/>
                      <w:bCs w:val="0"/>
                      <w:color w:val="auto"/>
                      <w:sz w:val="21"/>
                      <w:szCs w:val="21"/>
                      <w:highlight w:val="none"/>
                      <w:vertAlign w:val="baseline"/>
                      <w:lang w:val="en-US" w:eastAsia="zh-CN"/>
                    </w:rPr>
                  </w:pPr>
                </w:p>
              </w:tc>
              <w:tc>
                <w:tcPr>
                  <w:tcW w:w="893" w:type="pct"/>
                  <w:vMerge w:val="continue"/>
                  <w:tcBorders>
                    <w:tl2br w:val="nil"/>
                    <w:tr2bl w:val="nil"/>
                  </w:tcBorders>
                  <w:vAlign w:val="center"/>
                </w:tcPr>
                <w:p w14:paraId="6F015D96">
                  <w:pPr>
                    <w:spacing w:line="240" w:lineRule="auto"/>
                    <w:jc w:val="center"/>
                    <w:rPr>
                      <w:rFonts w:hint="eastAsia" w:ascii="Times New Roman" w:hAnsi="Times New Roman" w:eastAsia="宋体" w:cs="宋体"/>
                      <w:b w:val="0"/>
                      <w:bCs w:val="0"/>
                      <w:color w:val="auto"/>
                      <w:sz w:val="21"/>
                      <w:szCs w:val="21"/>
                      <w:highlight w:val="none"/>
                      <w:vertAlign w:val="baseline"/>
                    </w:rPr>
                  </w:pPr>
                </w:p>
              </w:tc>
              <w:tc>
                <w:tcPr>
                  <w:tcW w:w="893" w:type="pct"/>
                  <w:tcBorders>
                    <w:tl2br w:val="nil"/>
                    <w:tr2bl w:val="nil"/>
                  </w:tcBorders>
                  <w:shd w:val="clear" w:color="auto" w:fill="auto"/>
                  <w:vAlign w:val="center"/>
                </w:tcPr>
                <w:p w14:paraId="0AF03DDC">
                  <w:pPr>
                    <w:spacing w:line="240" w:lineRule="auto"/>
                    <w:jc w:val="center"/>
                    <w:rPr>
                      <w:rFonts w:hint="default" w:ascii="Times New Roman" w:hAnsi="Times New Roman" w:eastAsia="宋体" w:cs="宋体"/>
                      <w:b w:val="0"/>
                      <w:bCs w:val="0"/>
                      <w:color w:val="auto"/>
                      <w:kern w:val="2"/>
                      <w:sz w:val="21"/>
                      <w:szCs w:val="21"/>
                      <w:highlight w:val="none"/>
                      <w:vertAlign w:val="baseline"/>
                      <w:lang w:val="en-US" w:eastAsia="zh-CN" w:bidi="ar-SA"/>
                    </w:rPr>
                  </w:pPr>
                  <w:r>
                    <w:rPr>
                      <w:rFonts w:hint="eastAsia" w:cs="宋体"/>
                      <w:b w:val="0"/>
                      <w:bCs w:val="0"/>
                      <w:color w:val="auto"/>
                      <w:sz w:val="21"/>
                      <w:szCs w:val="21"/>
                      <w:highlight w:val="none"/>
                      <w:vertAlign w:val="baseline"/>
                      <w:lang w:val="en-US" w:eastAsia="zh-CN"/>
                    </w:rPr>
                    <w:t>其它小杂件</w:t>
                  </w:r>
                </w:p>
              </w:tc>
              <w:tc>
                <w:tcPr>
                  <w:tcW w:w="1426" w:type="pct"/>
                  <w:tcBorders>
                    <w:tl2br w:val="nil"/>
                    <w:tr2bl w:val="nil"/>
                  </w:tcBorders>
                  <w:shd w:val="clear" w:color="auto" w:fill="auto"/>
                  <w:vAlign w:val="center"/>
                </w:tcPr>
                <w:p w14:paraId="02427CBD">
                  <w:pPr>
                    <w:spacing w:line="240" w:lineRule="auto"/>
                    <w:jc w:val="center"/>
                    <w:rPr>
                      <w:rFonts w:hint="eastAsia" w:ascii="Times New Roman" w:hAnsi="Times New Roman" w:eastAsia="宋体" w:cs="宋体"/>
                      <w:b w:val="0"/>
                      <w:bCs w:val="0"/>
                      <w:strike w:val="0"/>
                      <w:color w:val="auto"/>
                      <w:kern w:val="2"/>
                      <w:sz w:val="21"/>
                      <w:szCs w:val="21"/>
                      <w:highlight w:val="none"/>
                      <w:vertAlign w:val="baseline"/>
                      <w:lang w:val="en-US" w:eastAsia="zh-CN" w:bidi="ar-SA"/>
                    </w:rPr>
                  </w:pPr>
                  <w:r>
                    <w:rPr>
                      <w:rFonts w:hint="eastAsia" w:cs="宋体"/>
                      <w:b w:val="0"/>
                      <w:bCs w:val="0"/>
                      <w:strike w:val="0"/>
                      <w:dstrike w:val="0"/>
                      <w:color w:val="auto"/>
                      <w:sz w:val="21"/>
                      <w:szCs w:val="21"/>
                      <w:highlight w:val="none"/>
                      <w:vertAlign w:val="baseline"/>
                      <w:lang w:val="en-US" w:eastAsia="zh-CN"/>
                    </w:rPr>
                    <w:t>168t</w:t>
                  </w:r>
                </w:p>
              </w:tc>
              <w:tc>
                <w:tcPr>
                  <w:tcW w:w="1249" w:type="pct"/>
                  <w:tcBorders>
                    <w:tl2br w:val="nil"/>
                    <w:tr2bl w:val="nil"/>
                  </w:tcBorders>
                  <w:shd w:val="clear" w:color="auto" w:fill="auto"/>
                  <w:vAlign w:val="center"/>
                </w:tcPr>
                <w:p w14:paraId="18218A8B">
                  <w:pPr>
                    <w:spacing w:line="240" w:lineRule="auto"/>
                    <w:jc w:val="center"/>
                    <w:rPr>
                      <w:rFonts w:hint="eastAsia" w:ascii="Times New Roman" w:hAnsi="Times New Roman" w:eastAsia="宋体" w:cs="宋体"/>
                      <w:b w:val="0"/>
                      <w:bCs w:val="0"/>
                      <w:strike w:val="0"/>
                      <w:color w:val="auto"/>
                      <w:kern w:val="2"/>
                      <w:sz w:val="21"/>
                      <w:szCs w:val="21"/>
                      <w:highlight w:val="none"/>
                      <w:vertAlign w:val="baseline"/>
                      <w:lang w:val="en-US" w:eastAsia="zh-CN" w:bidi="ar-SA"/>
                    </w:rPr>
                  </w:pPr>
                  <w:r>
                    <w:rPr>
                      <w:rFonts w:hint="eastAsia" w:cs="宋体"/>
                      <w:b w:val="0"/>
                      <w:bCs w:val="0"/>
                      <w:strike w:val="0"/>
                      <w:dstrike w:val="0"/>
                      <w:color w:val="auto"/>
                      <w:sz w:val="21"/>
                      <w:szCs w:val="21"/>
                      <w:highlight w:val="none"/>
                      <w:vertAlign w:val="baseline"/>
                      <w:lang w:val="en-US" w:eastAsia="zh-CN"/>
                    </w:rPr>
                    <w:t>150kg</w:t>
                  </w:r>
                </w:p>
              </w:tc>
            </w:tr>
            <w:tr w14:paraId="4B7C6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63121D6E">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3</w:t>
                  </w:r>
                </w:p>
              </w:tc>
              <w:tc>
                <w:tcPr>
                  <w:tcW w:w="893" w:type="pct"/>
                  <w:tcBorders>
                    <w:tl2br w:val="nil"/>
                    <w:tr2bl w:val="nil"/>
                  </w:tcBorders>
                  <w:vAlign w:val="center"/>
                </w:tcPr>
                <w:p w14:paraId="4C2C1467">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医疗器械配套压铸件</w:t>
                  </w:r>
                </w:p>
              </w:tc>
              <w:tc>
                <w:tcPr>
                  <w:tcW w:w="893" w:type="pct"/>
                  <w:tcBorders>
                    <w:tl2br w:val="nil"/>
                    <w:tr2bl w:val="nil"/>
                  </w:tcBorders>
                  <w:vAlign w:val="center"/>
                </w:tcPr>
                <w:p w14:paraId="342FFF40">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医学支架</w:t>
                  </w:r>
                </w:p>
              </w:tc>
              <w:tc>
                <w:tcPr>
                  <w:tcW w:w="1426" w:type="pct"/>
                  <w:tcBorders>
                    <w:tl2br w:val="nil"/>
                    <w:tr2bl w:val="nil"/>
                  </w:tcBorders>
                  <w:vAlign w:val="center"/>
                </w:tcPr>
                <w:p w14:paraId="44012153">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900t</w:t>
                  </w:r>
                </w:p>
              </w:tc>
              <w:tc>
                <w:tcPr>
                  <w:tcW w:w="1249" w:type="pct"/>
                  <w:tcBorders>
                    <w:tl2br w:val="nil"/>
                    <w:tr2bl w:val="nil"/>
                  </w:tcBorders>
                  <w:vAlign w:val="center"/>
                </w:tcPr>
                <w:p w14:paraId="55921607">
                  <w:pPr>
                    <w:spacing w:line="240" w:lineRule="auto"/>
                    <w:jc w:val="center"/>
                    <w:rPr>
                      <w:rFonts w:hint="default" w:ascii="Times New Roman" w:hAnsi="Times New Roman" w:eastAsia="宋体" w:cs="宋体"/>
                      <w:b w:val="0"/>
                      <w:bCs w:val="0"/>
                      <w:strike w:val="0"/>
                      <w:color w:val="auto"/>
                      <w:sz w:val="21"/>
                      <w:szCs w:val="21"/>
                      <w:highlight w:val="none"/>
                      <w:vertAlign w:val="baseline"/>
                      <w:lang w:val="en-US" w:eastAsia="zh-CN"/>
                    </w:rPr>
                  </w:pPr>
                  <w:r>
                    <w:rPr>
                      <w:rFonts w:hint="eastAsia" w:cs="宋体"/>
                      <w:b w:val="0"/>
                      <w:bCs w:val="0"/>
                      <w:strike w:val="0"/>
                      <w:dstrike w:val="0"/>
                      <w:color w:val="auto"/>
                      <w:sz w:val="21"/>
                      <w:szCs w:val="21"/>
                      <w:highlight w:val="none"/>
                      <w:vertAlign w:val="baseline"/>
                      <w:lang w:val="en-US" w:eastAsia="zh-CN"/>
                    </w:rPr>
                    <w:t>1000kg</w:t>
                  </w:r>
                </w:p>
              </w:tc>
            </w:tr>
            <w:tr w14:paraId="5E1CA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6F06A23C">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w:t>
                  </w:r>
                </w:p>
              </w:tc>
              <w:tc>
                <w:tcPr>
                  <w:tcW w:w="893" w:type="pct"/>
                  <w:tcBorders>
                    <w:tl2br w:val="nil"/>
                    <w:tr2bl w:val="nil"/>
                  </w:tcBorders>
                  <w:vAlign w:val="center"/>
                </w:tcPr>
                <w:p w14:paraId="569A2106">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氢能源汽车配套压铸件</w:t>
                  </w:r>
                </w:p>
              </w:tc>
              <w:tc>
                <w:tcPr>
                  <w:tcW w:w="893" w:type="pct"/>
                  <w:tcBorders>
                    <w:tl2br w:val="nil"/>
                    <w:tr2bl w:val="nil"/>
                  </w:tcBorders>
                  <w:vAlign w:val="center"/>
                </w:tcPr>
                <w:p w14:paraId="46EB9B9C">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PM90-004前端盖</w:t>
                  </w:r>
                </w:p>
              </w:tc>
              <w:tc>
                <w:tcPr>
                  <w:tcW w:w="1426" w:type="pct"/>
                  <w:tcBorders>
                    <w:tl2br w:val="nil"/>
                    <w:tr2bl w:val="nil"/>
                  </w:tcBorders>
                  <w:vAlign w:val="center"/>
                </w:tcPr>
                <w:p w14:paraId="49AA00CB">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300t</w:t>
                  </w:r>
                </w:p>
              </w:tc>
              <w:tc>
                <w:tcPr>
                  <w:tcW w:w="1249" w:type="pct"/>
                  <w:tcBorders>
                    <w:tl2br w:val="nil"/>
                    <w:tr2bl w:val="nil"/>
                  </w:tcBorders>
                  <w:vAlign w:val="center"/>
                </w:tcPr>
                <w:p w14:paraId="26B1B0A5">
                  <w:pPr>
                    <w:spacing w:line="240" w:lineRule="auto"/>
                    <w:jc w:val="center"/>
                    <w:rPr>
                      <w:rFonts w:hint="eastAsia" w:ascii="Times New Roman" w:hAnsi="Times New Roman" w:eastAsia="宋体" w:cs="宋体"/>
                      <w:b w:val="0"/>
                      <w:bCs w:val="0"/>
                      <w:strike w:val="0"/>
                      <w:color w:val="auto"/>
                      <w:sz w:val="21"/>
                      <w:szCs w:val="21"/>
                      <w:highlight w:val="none"/>
                      <w:vertAlign w:val="baseline"/>
                    </w:rPr>
                  </w:pPr>
                  <w:r>
                    <w:rPr>
                      <w:rFonts w:hint="eastAsia" w:cs="宋体"/>
                      <w:b w:val="0"/>
                      <w:bCs w:val="0"/>
                      <w:strike w:val="0"/>
                      <w:dstrike w:val="0"/>
                      <w:color w:val="auto"/>
                      <w:sz w:val="21"/>
                      <w:szCs w:val="21"/>
                      <w:highlight w:val="none"/>
                      <w:vertAlign w:val="baseline"/>
                      <w:lang w:val="en-US" w:eastAsia="zh-CN"/>
                    </w:rPr>
                    <w:t>400kg</w:t>
                  </w:r>
                </w:p>
              </w:tc>
            </w:tr>
          </w:tbl>
          <w:p w14:paraId="3B87B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宋体"/>
                <w:b w:val="0"/>
                <w:bCs w:val="0"/>
                <w:color w:val="auto"/>
                <w:sz w:val="24"/>
                <w:highlight w:val="none"/>
                <w:lang w:val="en-US" w:eastAsia="zh-CN"/>
              </w:rPr>
            </w:pPr>
            <w:r>
              <w:rPr>
                <w:rFonts w:hint="eastAsia" w:cs="宋体"/>
                <w:b w:val="0"/>
                <w:bCs w:val="0"/>
                <w:color w:val="auto"/>
                <w:sz w:val="24"/>
                <w:highlight w:val="none"/>
                <w:lang w:val="en-US" w:eastAsia="zh-CN"/>
              </w:rPr>
              <w:t>本次技改采用一台压铸机配套一台熔化炉的工艺，熔化炉在固定的时间内把铝液熔化，然后通过自动舀料机根据产品所需要铝液的量舀入压射杆进行压铸作业，剩余的铝液始终处于保温状态。</w:t>
            </w:r>
          </w:p>
          <w:p w14:paraId="799BAC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b w:val="0"/>
                <w:bCs w:val="0"/>
                <w:color w:val="auto"/>
                <w:sz w:val="24"/>
                <w:highlight w:val="none"/>
                <w:lang w:val="en-US" w:eastAsia="zh-CN"/>
              </w:rPr>
            </w:pPr>
            <w:r>
              <w:rPr>
                <w:rFonts w:hint="eastAsia" w:cs="宋体"/>
                <w:b w:val="0"/>
                <w:bCs w:val="0"/>
                <w:color w:val="auto"/>
                <w:sz w:val="24"/>
                <w:highlight w:val="none"/>
                <w:lang w:val="en-US" w:eastAsia="zh-CN"/>
              </w:rPr>
              <w:t>本项目产能主要由熔化炉的熔化量决定，本次以熔化炉的产量核定本项目的产能，具体产能匹配性分析见下表。</w:t>
            </w:r>
          </w:p>
          <w:p w14:paraId="3D31A51E">
            <w:pPr>
              <w:spacing w:line="240" w:lineRule="auto"/>
              <w:ind w:firstLine="406" w:firstLineChars="200"/>
              <w:jc w:val="center"/>
              <w:rPr>
                <w:rFonts w:hint="eastAsia" w:ascii="Times New Roman" w:hAnsi="Times New Roman" w:eastAsia="宋体" w:cs="宋体"/>
                <w:b/>
                <w:bCs w:val="0"/>
                <w:color w:val="auto"/>
                <w:sz w:val="24"/>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2.1-</w:t>
            </w:r>
            <w:r>
              <w:rPr>
                <w:rFonts w:hint="eastAsia" w:cs="宋体"/>
                <w:b/>
                <w:bCs w:val="0"/>
                <w:color w:val="auto"/>
                <w:spacing w:val="-4"/>
                <w:szCs w:val="21"/>
                <w:highlight w:val="none"/>
                <w:lang w:val="en-US" w:eastAsia="zh-CN"/>
              </w:rPr>
              <w:t>9</w:t>
            </w:r>
            <w:r>
              <w:rPr>
                <w:rFonts w:hint="eastAsia" w:ascii="Times New Roman" w:hAnsi="Times New Roman" w:eastAsia="宋体" w:cs="宋体"/>
                <w:b/>
                <w:bCs w:val="0"/>
                <w:color w:val="auto"/>
                <w:spacing w:val="-4"/>
                <w:szCs w:val="21"/>
                <w:highlight w:val="none"/>
              </w:rPr>
              <w:t xml:space="preserve">  </w:t>
            </w:r>
            <w:r>
              <w:rPr>
                <w:rFonts w:hint="eastAsia" w:cs="宋体"/>
                <w:b/>
                <w:bCs w:val="0"/>
                <w:color w:val="auto"/>
                <w:spacing w:val="-4"/>
                <w:szCs w:val="21"/>
                <w:highlight w:val="none"/>
                <w:lang w:val="en-US" w:eastAsia="zh-CN"/>
              </w:rPr>
              <w:t>产能匹配性分析</w:t>
            </w:r>
            <w:r>
              <w:rPr>
                <w:rFonts w:ascii="Times New Roman" w:hAnsi="Times New Roman" w:eastAsia="宋体" w:cs="宋体"/>
                <w:b/>
                <w:bCs w:val="0"/>
                <w:color w:val="auto"/>
                <w:spacing w:val="-4"/>
                <w:szCs w:val="21"/>
                <w:highlight w:val="none"/>
              </w:rPr>
              <w:t>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301"/>
              <w:gridCol w:w="1225"/>
              <w:gridCol w:w="1465"/>
              <w:gridCol w:w="1238"/>
              <w:gridCol w:w="1272"/>
              <w:gridCol w:w="1272"/>
            </w:tblGrid>
            <w:tr w14:paraId="399F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top w:val="single" w:color="auto" w:sz="12" w:space="0"/>
                  </w:tcBorders>
                  <w:vAlign w:val="center"/>
                </w:tcPr>
                <w:p w14:paraId="58933C7F">
                  <w:pPr>
                    <w:spacing w:line="240" w:lineRule="auto"/>
                    <w:jc w:val="center"/>
                    <w:rPr>
                      <w:rFonts w:hint="eastAsia"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序号</w:t>
                  </w:r>
                </w:p>
              </w:tc>
              <w:tc>
                <w:tcPr>
                  <w:tcW w:w="1301" w:type="dxa"/>
                  <w:tcBorders>
                    <w:top w:val="single" w:color="auto" w:sz="12" w:space="0"/>
                  </w:tcBorders>
                  <w:vAlign w:val="center"/>
                </w:tcPr>
                <w:p w14:paraId="2586CB50">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熔化炉型号</w:t>
                  </w:r>
                </w:p>
              </w:tc>
              <w:tc>
                <w:tcPr>
                  <w:tcW w:w="1225" w:type="dxa"/>
                  <w:tcBorders>
                    <w:top w:val="single" w:color="auto" w:sz="12" w:space="0"/>
                  </w:tcBorders>
                  <w:vAlign w:val="center"/>
                </w:tcPr>
                <w:p w14:paraId="59044ADB">
                  <w:pPr>
                    <w:spacing w:line="240" w:lineRule="auto"/>
                    <w:jc w:val="center"/>
                    <w:rPr>
                      <w:rFonts w:hint="default"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设备数量（台）</w:t>
                  </w:r>
                </w:p>
              </w:tc>
              <w:tc>
                <w:tcPr>
                  <w:tcW w:w="1465" w:type="dxa"/>
                  <w:tcBorders>
                    <w:top w:val="single" w:color="auto" w:sz="12" w:space="0"/>
                  </w:tcBorders>
                  <w:vAlign w:val="center"/>
                </w:tcPr>
                <w:p w14:paraId="6B036B73">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熔铝量（t/h·台）</w:t>
                  </w:r>
                </w:p>
              </w:tc>
              <w:tc>
                <w:tcPr>
                  <w:tcW w:w="1238" w:type="dxa"/>
                  <w:tcBorders>
                    <w:top w:val="single" w:color="auto" w:sz="12" w:space="0"/>
                    <w:right w:val="nil"/>
                  </w:tcBorders>
                  <w:vAlign w:val="center"/>
                </w:tcPr>
                <w:p w14:paraId="5A7C0CBD">
                  <w:pPr>
                    <w:spacing w:line="240" w:lineRule="auto"/>
                    <w:jc w:val="center"/>
                    <w:rPr>
                      <w:rFonts w:hint="default" w:ascii="Times New Roman" w:hAnsi="Times New Roman" w:eastAsia="宋体"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每日工作时间（h）</w:t>
                  </w:r>
                </w:p>
              </w:tc>
              <w:tc>
                <w:tcPr>
                  <w:tcW w:w="1272" w:type="dxa"/>
                  <w:tcBorders>
                    <w:top w:val="single" w:color="auto" w:sz="12" w:space="0"/>
                    <w:right w:val="nil"/>
                  </w:tcBorders>
                  <w:vAlign w:val="center"/>
                </w:tcPr>
                <w:p w14:paraId="577DECFA">
                  <w:pPr>
                    <w:spacing w:line="240" w:lineRule="auto"/>
                    <w:jc w:val="center"/>
                    <w:rPr>
                      <w:rFonts w:hint="default"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生产节拍（次/d）</w:t>
                  </w:r>
                </w:p>
              </w:tc>
              <w:tc>
                <w:tcPr>
                  <w:tcW w:w="1272" w:type="dxa"/>
                  <w:tcBorders>
                    <w:top w:val="single" w:color="auto" w:sz="12" w:space="0"/>
                    <w:right w:val="nil"/>
                  </w:tcBorders>
                  <w:vAlign w:val="center"/>
                </w:tcPr>
                <w:p w14:paraId="27ADA323">
                  <w:pPr>
                    <w:spacing w:line="240" w:lineRule="auto"/>
                    <w:jc w:val="center"/>
                    <w:rPr>
                      <w:rFonts w:hint="default" w:cs="宋体"/>
                      <w:b/>
                      <w:bCs w:val="0"/>
                      <w:color w:val="auto"/>
                      <w:sz w:val="21"/>
                      <w:szCs w:val="21"/>
                      <w:highlight w:val="none"/>
                      <w:vertAlign w:val="baseline"/>
                      <w:lang w:val="en-US" w:eastAsia="zh-CN"/>
                    </w:rPr>
                  </w:pPr>
                  <w:r>
                    <w:rPr>
                      <w:rFonts w:hint="eastAsia" w:cs="宋体"/>
                      <w:b/>
                      <w:bCs w:val="0"/>
                      <w:color w:val="auto"/>
                      <w:sz w:val="21"/>
                      <w:szCs w:val="21"/>
                      <w:highlight w:val="none"/>
                      <w:vertAlign w:val="baseline"/>
                      <w:lang w:val="en-US" w:eastAsia="zh-CN"/>
                    </w:rPr>
                    <w:t>核算产能（t/a）</w:t>
                  </w:r>
                </w:p>
              </w:tc>
            </w:tr>
            <w:tr w14:paraId="492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4B73FDBE">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301" w:type="dxa"/>
                  <w:vAlign w:val="center"/>
                </w:tcPr>
                <w:p w14:paraId="1CBE590A">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1000kg</w:t>
                  </w:r>
                </w:p>
              </w:tc>
              <w:tc>
                <w:tcPr>
                  <w:tcW w:w="1225" w:type="dxa"/>
                  <w:vAlign w:val="center"/>
                </w:tcPr>
                <w:p w14:paraId="4A75FB9A">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465" w:type="dxa"/>
                  <w:vAlign w:val="center"/>
                </w:tcPr>
                <w:p w14:paraId="30B114F1">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0.12</w:t>
                  </w:r>
                </w:p>
              </w:tc>
              <w:tc>
                <w:tcPr>
                  <w:tcW w:w="1238" w:type="dxa"/>
                  <w:tcBorders>
                    <w:right w:val="nil"/>
                  </w:tcBorders>
                  <w:vAlign w:val="center"/>
                </w:tcPr>
                <w:p w14:paraId="651C38A6">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6472707E">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1611C0CA">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144</w:t>
                  </w:r>
                </w:p>
              </w:tc>
            </w:tr>
            <w:tr w14:paraId="1378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1EAC267C">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2</w:t>
                  </w:r>
                </w:p>
              </w:tc>
              <w:tc>
                <w:tcPr>
                  <w:tcW w:w="1301" w:type="dxa"/>
                  <w:vAlign w:val="center"/>
                </w:tcPr>
                <w:p w14:paraId="347A76CD">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600kg</w:t>
                  </w:r>
                </w:p>
              </w:tc>
              <w:tc>
                <w:tcPr>
                  <w:tcW w:w="1225" w:type="dxa"/>
                  <w:vAlign w:val="center"/>
                </w:tcPr>
                <w:p w14:paraId="5A827C76">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3</w:t>
                  </w:r>
                </w:p>
              </w:tc>
              <w:tc>
                <w:tcPr>
                  <w:tcW w:w="1465" w:type="dxa"/>
                  <w:vAlign w:val="center"/>
                </w:tcPr>
                <w:p w14:paraId="00CB4C6F">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0.072</w:t>
                  </w:r>
                </w:p>
              </w:tc>
              <w:tc>
                <w:tcPr>
                  <w:tcW w:w="1238" w:type="dxa"/>
                  <w:tcBorders>
                    <w:right w:val="nil"/>
                  </w:tcBorders>
                  <w:vAlign w:val="center"/>
                </w:tcPr>
                <w:p w14:paraId="60DC3781">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11E21741">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3AB397C6">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259.2</w:t>
                  </w:r>
                </w:p>
              </w:tc>
            </w:tr>
            <w:tr w14:paraId="4632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6E4FBA7D">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3</w:t>
                  </w:r>
                </w:p>
              </w:tc>
              <w:tc>
                <w:tcPr>
                  <w:tcW w:w="1301" w:type="dxa"/>
                  <w:vAlign w:val="center"/>
                </w:tcPr>
                <w:p w14:paraId="31B6C307">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500kg</w:t>
                  </w:r>
                </w:p>
              </w:tc>
              <w:tc>
                <w:tcPr>
                  <w:tcW w:w="1225" w:type="dxa"/>
                  <w:vAlign w:val="center"/>
                </w:tcPr>
                <w:p w14:paraId="01258CB7">
                  <w:pPr>
                    <w:spacing w:line="240" w:lineRule="auto"/>
                    <w:jc w:val="center"/>
                    <w:rPr>
                      <w:rFonts w:hint="eastAsia"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465" w:type="dxa"/>
                  <w:vAlign w:val="center"/>
                </w:tcPr>
                <w:p w14:paraId="7308B49B">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0.06</w:t>
                  </w:r>
                </w:p>
              </w:tc>
              <w:tc>
                <w:tcPr>
                  <w:tcW w:w="1238" w:type="dxa"/>
                  <w:tcBorders>
                    <w:right w:val="nil"/>
                  </w:tcBorders>
                  <w:vAlign w:val="center"/>
                </w:tcPr>
                <w:p w14:paraId="516AF7FE">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3266E7AC">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090E76B5">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72</w:t>
                  </w:r>
                </w:p>
              </w:tc>
            </w:tr>
            <w:tr w14:paraId="405E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4DE921D3">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w:t>
                  </w:r>
                </w:p>
              </w:tc>
              <w:tc>
                <w:tcPr>
                  <w:tcW w:w="1301" w:type="dxa"/>
                  <w:vAlign w:val="center"/>
                </w:tcPr>
                <w:p w14:paraId="44B63A16">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400kg</w:t>
                  </w:r>
                </w:p>
              </w:tc>
              <w:tc>
                <w:tcPr>
                  <w:tcW w:w="1225" w:type="dxa"/>
                  <w:vAlign w:val="center"/>
                </w:tcPr>
                <w:p w14:paraId="482998C3">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465" w:type="dxa"/>
                  <w:vAlign w:val="center"/>
                </w:tcPr>
                <w:p w14:paraId="3E7F991C">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0.048</w:t>
                  </w:r>
                </w:p>
              </w:tc>
              <w:tc>
                <w:tcPr>
                  <w:tcW w:w="1238" w:type="dxa"/>
                  <w:tcBorders>
                    <w:right w:val="nil"/>
                  </w:tcBorders>
                  <w:vAlign w:val="center"/>
                </w:tcPr>
                <w:p w14:paraId="6B6531D9">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6ED2CC5C">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79001548">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57.6</w:t>
                  </w:r>
                </w:p>
              </w:tc>
            </w:tr>
            <w:tr w14:paraId="43AB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0ABD1AFD">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5</w:t>
                  </w:r>
                </w:p>
              </w:tc>
              <w:tc>
                <w:tcPr>
                  <w:tcW w:w="1301" w:type="dxa"/>
                  <w:vAlign w:val="center"/>
                </w:tcPr>
                <w:p w14:paraId="3F67E7BF">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300kg</w:t>
                  </w:r>
                </w:p>
              </w:tc>
              <w:tc>
                <w:tcPr>
                  <w:tcW w:w="1225" w:type="dxa"/>
                  <w:vAlign w:val="center"/>
                </w:tcPr>
                <w:p w14:paraId="298CF6B6">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465" w:type="dxa"/>
                  <w:vAlign w:val="center"/>
                </w:tcPr>
                <w:p w14:paraId="148C7753">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0.036</w:t>
                  </w:r>
                </w:p>
              </w:tc>
              <w:tc>
                <w:tcPr>
                  <w:tcW w:w="1238" w:type="dxa"/>
                  <w:tcBorders>
                    <w:right w:val="nil"/>
                  </w:tcBorders>
                  <w:vAlign w:val="center"/>
                </w:tcPr>
                <w:p w14:paraId="00CCFD82">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51015156">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2A5F8076">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43.2</w:t>
                  </w:r>
                </w:p>
              </w:tc>
            </w:tr>
            <w:tr w14:paraId="04DD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dxa"/>
                  <w:tcBorders>
                    <w:left w:val="nil"/>
                  </w:tcBorders>
                  <w:vAlign w:val="center"/>
                </w:tcPr>
                <w:p w14:paraId="14392014">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6</w:t>
                  </w:r>
                </w:p>
              </w:tc>
              <w:tc>
                <w:tcPr>
                  <w:tcW w:w="1301" w:type="dxa"/>
                  <w:vAlign w:val="center"/>
                </w:tcPr>
                <w:p w14:paraId="38CF7104">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150kg</w:t>
                  </w:r>
                </w:p>
              </w:tc>
              <w:tc>
                <w:tcPr>
                  <w:tcW w:w="1225" w:type="dxa"/>
                  <w:vAlign w:val="center"/>
                </w:tcPr>
                <w:p w14:paraId="09133A26">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465" w:type="dxa"/>
                  <w:vAlign w:val="center"/>
                </w:tcPr>
                <w:p w14:paraId="77F041D7">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0.018</w:t>
                  </w:r>
                </w:p>
              </w:tc>
              <w:tc>
                <w:tcPr>
                  <w:tcW w:w="1238" w:type="dxa"/>
                  <w:tcBorders>
                    <w:right w:val="nil"/>
                  </w:tcBorders>
                  <w:vAlign w:val="center"/>
                </w:tcPr>
                <w:p w14:paraId="252FA11B">
                  <w:pPr>
                    <w:spacing w:line="240" w:lineRule="auto"/>
                    <w:jc w:val="center"/>
                    <w:rPr>
                      <w:rFonts w:hint="eastAsia" w:ascii="Times New Roman" w:hAnsi="Times New Roman" w:eastAsia="宋体" w:cs="宋体"/>
                      <w:b w:val="0"/>
                      <w:bCs w:val="0"/>
                      <w:color w:val="auto"/>
                      <w:sz w:val="21"/>
                      <w:szCs w:val="21"/>
                      <w:highlight w:val="none"/>
                      <w:vertAlign w:val="baseline"/>
                    </w:rPr>
                  </w:pPr>
                  <w:r>
                    <w:rPr>
                      <w:rFonts w:hint="eastAsia" w:cs="宋体"/>
                      <w:b w:val="0"/>
                      <w:bCs w:val="0"/>
                      <w:color w:val="auto"/>
                      <w:sz w:val="21"/>
                      <w:szCs w:val="21"/>
                      <w:highlight w:val="none"/>
                      <w:vertAlign w:val="baseline"/>
                      <w:lang w:val="en-US" w:eastAsia="zh-CN"/>
                    </w:rPr>
                    <w:t>4</w:t>
                  </w:r>
                </w:p>
              </w:tc>
              <w:tc>
                <w:tcPr>
                  <w:tcW w:w="1272" w:type="dxa"/>
                  <w:tcBorders>
                    <w:right w:val="nil"/>
                  </w:tcBorders>
                  <w:vAlign w:val="center"/>
                </w:tcPr>
                <w:p w14:paraId="3E4A6497">
                  <w:pPr>
                    <w:spacing w:line="240" w:lineRule="auto"/>
                    <w:jc w:val="center"/>
                    <w:rPr>
                      <w:rFonts w:hint="default"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1</w:t>
                  </w:r>
                </w:p>
              </w:tc>
              <w:tc>
                <w:tcPr>
                  <w:tcW w:w="1272" w:type="dxa"/>
                  <w:tcBorders>
                    <w:right w:val="nil"/>
                  </w:tcBorders>
                  <w:vAlign w:val="center"/>
                </w:tcPr>
                <w:p w14:paraId="7B83286E">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21.6</w:t>
                  </w:r>
                </w:p>
              </w:tc>
            </w:tr>
            <w:tr w14:paraId="6820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8" w:type="dxa"/>
                  <w:gridSpan w:val="6"/>
                  <w:tcBorders>
                    <w:left w:val="nil"/>
                    <w:bottom w:val="single" w:color="auto" w:sz="12" w:space="0"/>
                    <w:right w:val="nil"/>
                  </w:tcBorders>
                  <w:vAlign w:val="center"/>
                </w:tcPr>
                <w:p w14:paraId="0A708F15">
                  <w:pPr>
                    <w:spacing w:line="240" w:lineRule="auto"/>
                    <w:jc w:val="center"/>
                    <w:rPr>
                      <w:rFonts w:hint="eastAsia"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合计</w:t>
                  </w:r>
                </w:p>
              </w:tc>
              <w:tc>
                <w:tcPr>
                  <w:tcW w:w="1272" w:type="dxa"/>
                  <w:tcBorders>
                    <w:bottom w:val="single" w:color="auto" w:sz="12" w:space="0"/>
                    <w:right w:val="nil"/>
                  </w:tcBorders>
                  <w:vAlign w:val="center"/>
                </w:tcPr>
                <w:p w14:paraId="7ACA7F1F">
                  <w:pPr>
                    <w:spacing w:line="240" w:lineRule="auto"/>
                    <w:jc w:val="center"/>
                    <w:rPr>
                      <w:rFonts w:hint="default" w:ascii="Times New Roman" w:hAnsi="Times New Roman" w:eastAsia="宋体" w:cs="宋体"/>
                      <w:b w:val="0"/>
                      <w:bCs w:val="0"/>
                      <w:color w:val="auto"/>
                      <w:sz w:val="21"/>
                      <w:szCs w:val="21"/>
                      <w:highlight w:val="none"/>
                      <w:vertAlign w:val="baseline"/>
                      <w:lang w:val="en-US" w:eastAsia="zh-CN"/>
                    </w:rPr>
                  </w:pPr>
                  <w:r>
                    <w:rPr>
                      <w:rFonts w:hint="eastAsia" w:cs="宋体"/>
                      <w:b w:val="0"/>
                      <w:bCs w:val="0"/>
                      <w:color w:val="auto"/>
                      <w:sz w:val="21"/>
                      <w:szCs w:val="21"/>
                      <w:highlight w:val="none"/>
                      <w:vertAlign w:val="baseline"/>
                      <w:lang w:val="en-US" w:eastAsia="zh-CN"/>
                    </w:rPr>
                    <w:t>597.6</w:t>
                  </w:r>
                </w:p>
              </w:tc>
            </w:tr>
          </w:tbl>
          <w:p w14:paraId="29ACDB9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宋体"/>
                <w:b w:val="0"/>
                <w:bCs w:val="0"/>
                <w:color w:val="auto"/>
                <w:sz w:val="24"/>
                <w:highlight w:val="none"/>
                <w:lang w:val="en-US" w:eastAsia="zh-CN"/>
              </w:rPr>
            </w:pPr>
            <w:r>
              <w:rPr>
                <w:rFonts w:hint="eastAsia" w:cs="宋体"/>
                <w:b w:val="0"/>
                <w:bCs w:val="0"/>
                <w:color w:val="auto"/>
                <w:sz w:val="24"/>
                <w:highlight w:val="none"/>
                <w:lang w:val="en-US" w:eastAsia="zh-CN"/>
              </w:rPr>
              <w:t>注：根据产品特性，每日的工作时间或有调整，但年工作时间不超过1200h。</w:t>
            </w:r>
          </w:p>
          <w:p w14:paraId="21733250">
            <w:pPr>
              <w:spacing w:line="360" w:lineRule="auto"/>
              <w:ind w:firstLine="480" w:firstLineChars="200"/>
              <w:rPr>
                <w:rFonts w:hint="eastAsia" w:ascii="Times New Roman" w:hAnsi="Times New Roman" w:eastAsia="宋体" w:cs="宋体"/>
                <w:b w:val="0"/>
                <w:bCs w:val="0"/>
                <w:color w:val="auto"/>
                <w:sz w:val="24"/>
                <w:highlight w:val="none"/>
                <w:lang w:val="en-US" w:eastAsia="zh-CN"/>
              </w:rPr>
            </w:pPr>
            <w:r>
              <w:rPr>
                <w:rFonts w:hint="eastAsia" w:cs="宋体"/>
                <w:b w:val="0"/>
                <w:bCs w:val="0"/>
                <w:color w:val="auto"/>
                <w:sz w:val="24"/>
                <w:highlight w:val="none"/>
                <w:lang w:val="en-US" w:eastAsia="zh-CN"/>
              </w:rPr>
              <w:t>根据上述计算，与本次评价的600t/a的压铸件产能基本持平，设备产能与</w:t>
            </w:r>
            <w:r>
              <w:rPr>
                <w:rFonts w:hint="eastAsia" w:ascii="Times New Roman" w:hAnsi="Times New Roman" w:eastAsia="宋体" w:cs="Times New Roman"/>
                <w:b w:val="0"/>
                <w:color w:val="auto"/>
                <w:sz w:val="24"/>
              </w:rPr>
              <w:t>设计产能</w:t>
            </w:r>
            <w:r>
              <w:rPr>
                <w:rFonts w:hint="eastAsia" w:eastAsia="宋体" w:cs="Times New Roman"/>
                <w:b w:val="0"/>
                <w:color w:val="auto"/>
                <w:sz w:val="24"/>
                <w:lang w:val="en-US" w:eastAsia="zh-CN"/>
              </w:rPr>
              <w:t>600t/a压铸件</w:t>
            </w:r>
            <w:r>
              <w:rPr>
                <w:rFonts w:hint="eastAsia" w:ascii="Times New Roman" w:hAnsi="Times New Roman" w:eastAsia="宋体" w:cs="Times New Roman"/>
                <w:b w:val="0"/>
                <w:color w:val="auto"/>
                <w:sz w:val="24"/>
              </w:rPr>
              <w:t>是相匹配的</w:t>
            </w:r>
            <w:r>
              <w:rPr>
                <w:rFonts w:hint="eastAsia" w:eastAsia="宋体" w:cs="Times New Roman"/>
                <w:b w:val="0"/>
                <w:color w:val="auto"/>
                <w:sz w:val="24"/>
                <w:lang w:eastAsia="zh-CN"/>
              </w:rPr>
              <w:t>。</w:t>
            </w:r>
          </w:p>
          <w:p w14:paraId="4C93FF4C">
            <w:pPr>
              <w:spacing w:line="360" w:lineRule="auto"/>
              <w:ind w:firstLine="480" w:firstLineChars="200"/>
              <w:rPr>
                <w:rFonts w:ascii="Times New Roman" w:hAnsi="Times New Roman" w:eastAsia="宋体" w:cs="宋体"/>
                <w:b w:val="0"/>
                <w:bCs/>
                <w:color w:val="auto"/>
                <w:sz w:val="24"/>
                <w:highlight w:val="none"/>
              </w:rPr>
            </w:pPr>
            <w:r>
              <w:rPr>
                <w:rFonts w:hint="eastAsia" w:ascii="Times New Roman" w:hAnsi="Times New Roman" w:eastAsia="宋体" w:cs="宋体"/>
                <w:b w:val="0"/>
                <w:bCs/>
                <w:color w:val="auto"/>
                <w:sz w:val="24"/>
                <w:highlight w:val="none"/>
              </w:rPr>
              <w:t>7</w:t>
            </w:r>
            <w:r>
              <w:rPr>
                <w:rFonts w:ascii="Times New Roman" w:hAnsi="Times New Roman" w:eastAsia="宋体" w:cs="宋体"/>
                <w:b w:val="0"/>
                <w:bCs/>
                <w:color w:val="auto"/>
                <w:sz w:val="24"/>
                <w:highlight w:val="none"/>
              </w:rPr>
              <w:t>、</w:t>
            </w:r>
            <w:r>
              <w:rPr>
                <w:rFonts w:hint="eastAsia" w:ascii="Times New Roman" w:hAnsi="Times New Roman" w:eastAsia="宋体" w:cs="宋体"/>
                <w:b w:val="0"/>
                <w:bCs/>
                <w:color w:val="auto"/>
                <w:sz w:val="24"/>
                <w:highlight w:val="none"/>
              </w:rPr>
              <w:t>项目地理位置、周边环境状况</w:t>
            </w:r>
          </w:p>
          <w:p w14:paraId="7043378F">
            <w:pPr>
              <w:tabs>
                <w:tab w:val="left" w:pos="960"/>
              </w:tabs>
              <w:spacing w:line="360" w:lineRule="auto"/>
              <w:ind w:firstLine="480" w:firstLineChars="200"/>
              <w:jc w:val="left"/>
              <w:rPr>
                <w:rFonts w:ascii="Times New Roman" w:hAnsi="Times New Roman" w:eastAsia="宋体" w:cs="宋体"/>
                <w:b w:val="0"/>
                <w:color w:val="auto"/>
                <w:sz w:val="24"/>
                <w:highlight w:val="none"/>
              </w:rPr>
            </w:pPr>
            <w:r>
              <w:rPr>
                <w:rFonts w:hint="eastAsia" w:ascii="Times New Roman" w:hAnsi="Times New Roman" w:eastAsia="宋体" w:cs="宋体"/>
                <w:b w:val="0"/>
                <w:color w:val="auto"/>
                <w:sz w:val="24"/>
                <w:szCs w:val="32"/>
                <w:highlight w:val="none"/>
              </w:rPr>
              <w:t>本项目位于</w:t>
            </w:r>
            <w:r>
              <w:rPr>
                <w:rFonts w:hint="eastAsia" w:ascii="Times New Roman" w:hAnsi="Times New Roman" w:eastAsia="宋体" w:cs="宋体"/>
                <w:b w:val="0"/>
                <w:color w:val="auto"/>
                <w:sz w:val="24"/>
                <w:highlight w:val="none"/>
                <w:lang w:eastAsia="zh-CN"/>
              </w:rPr>
              <w:t>江苏省</w:t>
            </w:r>
            <w:r>
              <w:rPr>
                <w:rFonts w:hint="eastAsia" w:cs="宋体"/>
                <w:b w:val="0"/>
                <w:color w:val="auto"/>
                <w:sz w:val="24"/>
                <w:highlight w:val="none"/>
                <w:lang w:eastAsia="zh-CN"/>
              </w:rPr>
              <w:t>常州市金坛区河山环路26号</w:t>
            </w:r>
            <w:r>
              <w:rPr>
                <w:rFonts w:hint="eastAsia" w:ascii="Times New Roman" w:hAnsi="Times New Roman" w:eastAsia="宋体" w:cs="宋体"/>
                <w:b w:val="0"/>
                <w:color w:val="auto"/>
                <w:sz w:val="24"/>
                <w:highlight w:val="none"/>
              </w:rPr>
              <w:t>，详见附图1项目地理位置图。</w:t>
            </w:r>
          </w:p>
          <w:p w14:paraId="67D62A30">
            <w:pPr>
              <w:tabs>
                <w:tab w:val="left" w:pos="960"/>
              </w:tabs>
              <w:spacing w:line="360" w:lineRule="auto"/>
              <w:ind w:firstLine="480" w:firstLineChars="200"/>
              <w:jc w:val="left"/>
              <w:rPr>
                <w:rFonts w:ascii="Times New Roman" w:hAnsi="Times New Roman" w:eastAsia="宋体" w:cs="宋体"/>
                <w:b w:val="0"/>
                <w:color w:val="auto"/>
                <w:sz w:val="24"/>
                <w:szCs w:val="32"/>
                <w:highlight w:val="none"/>
              </w:rPr>
            </w:pPr>
            <w:r>
              <w:rPr>
                <w:rFonts w:hint="eastAsia" w:ascii="Times New Roman" w:hAnsi="Times New Roman" w:eastAsia="宋体" w:cs="宋体"/>
                <w:b w:val="0"/>
                <w:color w:val="auto"/>
                <w:sz w:val="24"/>
                <w:highlight w:val="none"/>
              </w:rPr>
              <w:t>本项目东侧为</w:t>
            </w:r>
            <w:r>
              <w:rPr>
                <w:rFonts w:hint="eastAsia" w:cs="宋体"/>
                <w:b w:val="0"/>
                <w:color w:val="auto"/>
                <w:sz w:val="24"/>
                <w:highlight w:val="none"/>
                <w:lang w:val="en-US" w:eastAsia="zh-CN"/>
              </w:rPr>
              <w:t>常州正隆粉体工程有限公司</w:t>
            </w:r>
            <w:r>
              <w:rPr>
                <w:rFonts w:hint="eastAsia" w:ascii="Times New Roman" w:hAnsi="Times New Roman" w:eastAsia="宋体" w:cs="宋体"/>
                <w:b w:val="0"/>
                <w:color w:val="auto"/>
                <w:sz w:val="24"/>
                <w:highlight w:val="none"/>
              </w:rPr>
              <w:t>，南侧为</w:t>
            </w:r>
            <w:r>
              <w:rPr>
                <w:rFonts w:hint="eastAsia" w:cs="宋体"/>
                <w:b w:val="0"/>
                <w:color w:val="auto"/>
                <w:sz w:val="24"/>
                <w:highlight w:val="none"/>
                <w:lang w:val="en-US" w:eastAsia="zh-CN"/>
              </w:rPr>
              <w:t>河山环路</w:t>
            </w:r>
            <w:r>
              <w:rPr>
                <w:rFonts w:hint="eastAsia" w:ascii="Times New Roman" w:hAnsi="Times New Roman" w:eastAsia="宋体" w:cs="宋体"/>
                <w:b w:val="0"/>
                <w:color w:val="auto"/>
                <w:sz w:val="24"/>
                <w:highlight w:val="none"/>
              </w:rPr>
              <w:t>，</w:t>
            </w:r>
            <w:r>
              <w:rPr>
                <w:rFonts w:hint="eastAsia" w:ascii="Times New Roman" w:hAnsi="Times New Roman" w:eastAsia="宋体" w:cs="宋体"/>
                <w:b w:val="0"/>
                <w:color w:val="auto"/>
                <w:sz w:val="24"/>
                <w:highlight w:val="none"/>
                <w:lang w:val="en-US" w:eastAsia="zh-CN"/>
              </w:rPr>
              <w:t>隔路为</w:t>
            </w:r>
            <w:r>
              <w:rPr>
                <w:rFonts w:hint="eastAsia" w:cs="宋体"/>
                <w:b w:val="0"/>
                <w:color w:val="auto"/>
                <w:sz w:val="24"/>
                <w:highlight w:val="none"/>
                <w:lang w:val="en-US" w:eastAsia="zh-CN"/>
              </w:rPr>
              <w:t>江苏喆瑞照明科技有限公司</w:t>
            </w:r>
            <w:r>
              <w:rPr>
                <w:rFonts w:hint="eastAsia" w:ascii="Times New Roman" w:hAnsi="Times New Roman" w:eastAsia="宋体" w:cs="宋体"/>
                <w:b w:val="0"/>
                <w:color w:val="auto"/>
                <w:sz w:val="24"/>
                <w:highlight w:val="none"/>
                <w:lang w:val="en-US" w:eastAsia="zh-CN"/>
              </w:rPr>
              <w:t>，</w:t>
            </w:r>
            <w:r>
              <w:rPr>
                <w:rFonts w:hint="eastAsia" w:ascii="Times New Roman" w:hAnsi="Times New Roman" w:eastAsia="宋体" w:cs="宋体"/>
                <w:b w:val="0"/>
                <w:color w:val="auto"/>
                <w:sz w:val="24"/>
                <w:highlight w:val="none"/>
              </w:rPr>
              <w:t>西侧为</w:t>
            </w:r>
            <w:r>
              <w:rPr>
                <w:rFonts w:hint="eastAsia" w:cs="宋体"/>
                <w:b w:val="0"/>
                <w:color w:val="auto"/>
                <w:sz w:val="24"/>
                <w:highlight w:val="none"/>
                <w:lang w:val="en-US" w:eastAsia="zh-CN"/>
              </w:rPr>
              <w:t>龙湖路，隔路为常州市科慧汽车电器有限公司</w:t>
            </w:r>
            <w:r>
              <w:rPr>
                <w:rFonts w:hint="eastAsia" w:ascii="Times New Roman" w:hAnsi="Times New Roman" w:eastAsia="宋体" w:cs="宋体"/>
                <w:b w:val="0"/>
                <w:color w:val="auto"/>
                <w:sz w:val="24"/>
                <w:highlight w:val="none"/>
              </w:rPr>
              <w:t>，北侧为</w:t>
            </w:r>
            <w:r>
              <w:rPr>
                <w:rFonts w:hint="eastAsia" w:cs="宋体"/>
                <w:b w:val="0"/>
                <w:color w:val="auto"/>
                <w:sz w:val="24"/>
                <w:highlight w:val="none"/>
                <w:lang w:val="en-US" w:eastAsia="zh-CN"/>
              </w:rPr>
              <w:t>常州市勤邦新材料科技有限公司</w:t>
            </w:r>
            <w:r>
              <w:rPr>
                <w:rFonts w:hint="eastAsia" w:ascii="Times New Roman" w:hAnsi="Times New Roman" w:eastAsia="宋体" w:cs="宋体"/>
                <w:b w:val="0"/>
                <w:color w:val="auto"/>
                <w:sz w:val="24"/>
                <w:highlight w:val="none"/>
              </w:rPr>
              <w:t>。本项目最近的敏感点为西侧的</w:t>
            </w:r>
            <w:r>
              <w:rPr>
                <w:rFonts w:hint="eastAsia" w:cs="宋体"/>
                <w:b w:val="0"/>
                <w:color w:val="auto"/>
                <w:sz w:val="24"/>
                <w:highlight w:val="none"/>
                <w:lang w:val="en-US" w:eastAsia="zh-CN"/>
              </w:rPr>
              <w:t>蓝岭公寓</w:t>
            </w:r>
            <w:r>
              <w:rPr>
                <w:rFonts w:hint="eastAsia" w:ascii="Times New Roman" w:hAnsi="Times New Roman" w:eastAsia="宋体" w:cs="宋体"/>
                <w:b w:val="0"/>
                <w:color w:val="auto"/>
                <w:sz w:val="24"/>
                <w:highlight w:val="none"/>
              </w:rPr>
              <w:t>，距离为</w:t>
            </w:r>
            <w:r>
              <w:rPr>
                <w:rFonts w:hint="eastAsia" w:cs="宋体"/>
                <w:b w:val="0"/>
                <w:color w:val="auto"/>
                <w:sz w:val="24"/>
                <w:highlight w:val="none"/>
                <w:lang w:val="en-US" w:eastAsia="zh-CN"/>
              </w:rPr>
              <w:t>450</w:t>
            </w:r>
            <w:r>
              <w:rPr>
                <w:rFonts w:hint="eastAsia" w:ascii="Times New Roman" w:hAnsi="Times New Roman" w:eastAsia="宋体" w:cs="宋体"/>
                <w:b w:val="0"/>
                <w:color w:val="auto"/>
                <w:sz w:val="24"/>
                <w:highlight w:val="none"/>
              </w:rPr>
              <w:t>m，详见附图2项目周边环境状况图</w:t>
            </w:r>
            <w:r>
              <w:rPr>
                <w:rFonts w:ascii="Times New Roman" w:hAnsi="Times New Roman" w:eastAsia="宋体" w:cs="宋体"/>
                <w:b w:val="0"/>
                <w:color w:val="auto"/>
                <w:sz w:val="24"/>
                <w:szCs w:val="32"/>
                <w:highlight w:val="none"/>
              </w:rPr>
              <w:t>。</w:t>
            </w:r>
          </w:p>
          <w:p w14:paraId="4AACB03E">
            <w:pPr>
              <w:spacing w:line="360" w:lineRule="auto"/>
              <w:ind w:firstLine="480" w:firstLineChars="200"/>
              <w:rPr>
                <w:rFonts w:ascii="Times New Roman" w:hAnsi="Times New Roman" w:eastAsia="宋体" w:cs="宋体"/>
                <w:b w:val="0"/>
                <w:bCs/>
                <w:color w:val="auto"/>
                <w:sz w:val="24"/>
                <w:highlight w:val="none"/>
              </w:rPr>
            </w:pPr>
            <w:r>
              <w:rPr>
                <w:rFonts w:hint="eastAsia" w:ascii="Times New Roman" w:hAnsi="Times New Roman" w:eastAsia="宋体" w:cs="宋体"/>
                <w:b w:val="0"/>
                <w:bCs/>
                <w:color w:val="auto"/>
                <w:sz w:val="24"/>
                <w:highlight w:val="none"/>
              </w:rPr>
              <w:t>8</w:t>
            </w:r>
            <w:r>
              <w:rPr>
                <w:rFonts w:ascii="Times New Roman" w:hAnsi="Times New Roman" w:eastAsia="宋体" w:cs="宋体"/>
                <w:b w:val="0"/>
                <w:bCs/>
                <w:color w:val="auto"/>
                <w:sz w:val="24"/>
                <w:highlight w:val="none"/>
              </w:rPr>
              <w:t>、厂区</w:t>
            </w:r>
            <w:r>
              <w:rPr>
                <w:rFonts w:hint="eastAsia" w:ascii="Times New Roman" w:hAnsi="Times New Roman" w:eastAsia="宋体" w:cs="宋体"/>
                <w:b w:val="0"/>
                <w:bCs/>
                <w:color w:val="auto"/>
                <w:sz w:val="24"/>
                <w:highlight w:val="none"/>
              </w:rPr>
              <w:t>平面</w:t>
            </w:r>
            <w:r>
              <w:rPr>
                <w:rFonts w:ascii="Times New Roman" w:hAnsi="Times New Roman" w:eastAsia="宋体" w:cs="宋体"/>
                <w:b w:val="0"/>
                <w:bCs/>
                <w:color w:val="auto"/>
                <w:sz w:val="24"/>
                <w:highlight w:val="none"/>
              </w:rPr>
              <w:t>布置</w:t>
            </w:r>
          </w:p>
          <w:p w14:paraId="065DEA77">
            <w:pPr>
              <w:tabs>
                <w:tab w:val="left" w:pos="960"/>
              </w:tabs>
              <w:spacing w:line="360" w:lineRule="auto"/>
              <w:ind w:firstLine="480" w:firstLineChars="200"/>
              <w:jc w:val="left"/>
              <w:rPr>
                <w:rFonts w:ascii="Times New Roman" w:hAnsi="Times New Roman" w:eastAsia="宋体" w:cs="宋体"/>
                <w:b w:val="0"/>
                <w:color w:val="auto"/>
                <w:sz w:val="24"/>
                <w:szCs w:val="32"/>
                <w:highlight w:val="none"/>
              </w:rPr>
            </w:pPr>
            <w:r>
              <w:rPr>
                <w:rFonts w:hint="eastAsia" w:ascii="Times New Roman" w:hAnsi="Times New Roman" w:eastAsia="宋体" w:cs="宋体"/>
                <w:b w:val="0"/>
                <w:color w:val="auto"/>
                <w:sz w:val="24"/>
                <w:szCs w:val="32"/>
                <w:highlight w:val="none"/>
              </w:rPr>
              <w:t>本项目</w:t>
            </w:r>
            <w:r>
              <w:rPr>
                <w:rFonts w:hint="eastAsia" w:cs="宋体"/>
                <w:b w:val="0"/>
                <w:color w:val="auto"/>
                <w:sz w:val="24"/>
                <w:highlight w:val="none"/>
                <w:lang w:val="en-US" w:eastAsia="zh-CN"/>
              </w:rPr>
              <w:t>利用自有厂房对现有项目进行改造提升</w:t>
            </w:r>
            <w:r>
              <w:rPr>
                <w:rFonts w:hint="eastAsia" w:ascii="Times New Roman" w:hAnsi="Times New Roman" w:eastAsia="宋体" w:cs="宋体"/>
                <w:b w:val="0"/>
                <w:color w:val="auto"/>
                <w:sz w:val="24"/>
                <w:highlight w:val="none"/>
              </w:rPr>
              <w:t>，</w:t>
            </w:r>
            <w:r>
              <w:rPr>
                <w:rFonts w:hint="eastAsia" w:cs="宋体"/>
                <w:b w:val="0"/>
                <w:color w:val="auto"/>
                <w:sz w:val="24"/>
                <w:highlight w:val="none"/>
                <w:lang w:val="en-US" w:eastAsia="zh-CN"/>
              </w:rPr>
              <w:t>厂区西侧厂房由南至北依次布置办公楼、2#生产车间，东侧厂房为1#生产车间</w:t>
            </w:r>
            <w:r>
              <w:rPr>
                <w:rFonts w:hint="eastAsia" w:ascii="Times New Roman" w:hAnsi="Times New Roman" w:eastAsia="宋体" w:cs="宋体"/>
                <w:b w:val="0"/>
                <w:color w:val="auto"/>
                <w:sz w:val="24"/>
                <w:szCs w:val="32"/>
                <w:highlight w:val="none"/>
              </w:rPr>
              <w:t>。本项目平面布置做到工艺流程顺畅，结构紧凑，便于操作控制与集中管理；项目设计遵循相关规定，详见附图3厂区平面布置图及附图4车间设备布置图</w:t>
            </w:r>
            <w:r>
              <w:rPr>
                <w:rFonts w:ascii="Times New Roman" w:hAnsi="Times New Roman" w:eastAsia="宋体" w:cs="宋体"/>
                <w:b w:val="0"/>
                <w:color w:val="auto"/>
                <w:sz w:val="24"/>
                <w:szCs w:val="32"/>
                <w:highlight w:val="none"/>
              </w:rPr>
              <w:t>。</w:t>
            </w:r>
          </w:p>
          <w:p w14:paraId="1779919F">
            <w:pPr>
              <w:spacing w:line="360" w:lineRule="auto"/>
              <w:ind w:firstLine="480" w:firstLineChars="200"/>
              <w:rPr>
                <w:rFonts w:hint="default" w:ascii="Times New Roman" w:hAnsi="Times New Roman" w:eastAsia="宋体" w:cs="宋体"/>
                <w:b w:val="0"/>
                <w:bCs/>
                <w:color w:val="auto"/>
                <w:sz w:val="24"/>
                <w:highlight w:val="none"/>
                <w:lang w:val="en-US" w:eastAsia="zh-CN"/>
              </w:rPr>
            </w:pPr>
            <w:r>
              <w:rPr>
                <w:rFonts w:hint="eastAsia" w:ascii="Times New Roman" w:hAnsi="Times New Roman" w:eastAsia="宋体" w:cs="宋体"/>
                <w:b w:val="0"/>
                <w:bCs/>
                <w:color w:val="auto"/>
                <w:sz w:val="24"/>
                <w:highlight w:val="none"/>
                <w:lang w:val="en-US" w:eastAsia="zh-CN"/>
              </w:rPr>
              <w:t>9、水平衡</w:t>
            </w:r>
          </w:p>
          <w:p w14:paraId="6BF4BBE6">
            <w:pPr>
              <w:tabs>
                <w:tab w:val="left" w:pos="960"/>
              </w:tabs>
              <w:jc w:val="center"/>
              <w:rPr>
                <w:rFonts w:ascii="Times New Roman" w:hAnsi="Times New Roman" w:eastAsia="宋体" w:cs="宋体"/>
                <w:b w:val="0"/>
                <w:bCs/>
                <w:color w:val="auto"/>
                <w:highlight w:val="none"/>
              </w:rPr>
            </w:pPr>
            <w:r>
              <w:rPr>
                <w:color w:val="auto"/>
              </w:rPr>
              <w:drawing>
                <wp:inline distT="0" distB="0" distL="114300" distR="114300">
                  <wp:extent cx="4943475" cy="3404235"/>
                  <wp:effectExtent l="0" t="0" r="0" b="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5"/>
                          <a:srcRect l="4613" t="2845" r="3777"/>
                          <a:stretch>
                            <a:fillRect/>
                          </a:stretch>
                        </pic:blipFill>
                        <pic:spPr>
                          <a:xfrm>
                            <a:off x="0" y="0"/>
                            <a:ext cx="4943475" cy="3404235"/>
                          </a:xfrm>
                          <a:prstGeom prst="rect">
                            <a:avLst/>
                          </a:prstGeom>
                          <a:noFill/>
                          <a:ln>
                            <a:noFill/>
                          </a:ln>
                        </pic:spPr>
                      </pic:pic>
                    </a:graphicData>
                  </a:graphic>
                </wp:inline>
              </w:drawing>
            </w:r>
          </w:p>
          <w:p w14:paraId="33E8B842">
            <w:pPr>
              <w:tabs>
                <w:tab w:val="left" w:pos="960"/>
              </w:tabs>
              <w:jc w:val="center"/>
              <w:rPr>
                <w:rFonts w:hint="eastAsia" w:ascii="Times New Roman" w:hAnsi="Times New Roman" w:eastAsia="宋体" w:cs="宋体"/>
                <w:b w:val="0"/>
                <w:bCs/>
                <w:color w:val="auto"/>
                <w:spacing w:val="-4"/>
                <w:szCs w:val="21"/>
                <w:highlight w:val="none"/>
              </w:rPr>
            </w:pPr>
            <w:r>
              <w:rPr>
                <w:rFonts w:hint="eastAsia" w:ascii="Times New Roman" w:hAnsi="Times New Roman" w:eastAsia="宋体" w:cs="宋体"/>
                <w:b/>
                <w:bCs w:val="0"/>
                <w:color w:val="auto"/>
                <w:spacing w:val="-4"/>
                <w:szCs w:val="21"/>
                <w:highlight w:val="none"/>
              </w:rPr>
              <w:t xml:space="preserve">图2.1-1  </w:t>
            </w:r>
            <w:r>
              <w:rPr>
                <w:rFonts w:hint="eastAsia" w:cs="宋体"/>
                <w:b/>
                <w:bCs w:val="0"/>
                <w:color w:val="auto"/>
                <w:spacing w:val="-4"/>
                <w:szCs w:val="21"/>
                <w:highlight w:val="none"/>
                <w:lang w:val="en-US" w:eastAsia="zh-CN"/>
              </w:rPr>
              <w:t>本项目</w:t>
            </w:r>
            <w:r>
              <w:rPr>
                <w:rFonts w:hint="eastAsia" w:ascii="Times New Roman" w:hAnsi="Times New Roman" w:eastAsia="宋体" w:cs="宋体"/>
                <w:b/>
                <w:bCs w:val="0"/>
                <w:color w:val="auto"/>
                <w:spacing w:val="-4"/>
                <w:szCs w:val="21"/>
                <w:highlight w:val="none"/>
              </w:rPr>
              <w:t>水平衡图  单位：</w:t>
            </w:r>
            <w:r>
              <w:rPr>
                <w:rFonts w:hint="eastAsia" w:cs="宋体"/>
                <w:b/>
                <w:bCs w:val="0"/>
                <w:color w:val="auto"/>
                <w:spacing w:val="-4"/>
                <w:szCs w:val="21"/>
                <w:highlight w:val="none"/>
                <w:lang w:val="en-US" w:eastAsia="zh-CN"/>
              </w:rPr>
              <w:t>t</w:t>
            </w:r>
            <w:r>
              <w:rPr>
                <w:rFonts w:hint="eastAsia" w:ascii="Times New Roman" w:hAnsi="Times New Roman" w:eastAsia="宋体" w:cs="宋体"/>
                <w:b/>
                <w:bCs w:val="0"/>
                <w:color w:val="auto"/>
                <w:spacing w:val="-4"/>
                <w:szCs w:val="21"/>
                <w:highlight w:val="none"/>
              </w:rPr>
              <w:t>/a</w:t>
            </w:r>
          </w:p>
          <w:p w14:paraId="30306121">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35A9868A">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68249883">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17A6393E">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69483CF6">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284292CD">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029CBA4A">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4FFCEB18">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42D66335">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04025C04">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1416D94D">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79904929">
            <w:pPr>
              <w:pStyle w:val="11"/>
              <w:widowControl w:val="0"/>
              <w:numPr>
                <w:ilvl w:val="0"/>
                <w:numId w:val="0"/>
              </w:numPr>
              <w:jc w:val="both"/>
              <w:rPr>
                <w:rFonts w:hint="eastAsia" w:ascii="Times New Roman" w:hAnsi="Times New Roman" w:eastAsia="宋体" w:cs="宋体"/>
                <w:b w:val="0"/>
                <w:bCs/>
                <w:color w:val="auto"/>
                <w:spacing w:val="-4"/>
                <w:szCs w:val="21"/>
                <w:highlight w:val="none"/>
              </w:rPr>
            </w:pPr>
          </w:p>
          <w:p w14:paraId="6770F490">
            <w:pPr>
              <w:tabs>
                <w:tab w:val="left" w:pos="960"/>
              </w:tabs>
              <w:jc w:val="center"/>
              <w:rPr>
                <w:b w:val="0"/>
                <w:color w:val="auto"/>
              </w:rPr>
            </w:pPr>
            <w:r>
              <w:rPr>
                <w:color w:val="auto"/>
              </w:rPr>
              <w:drawing>
                <wp:inline distT="0" distB="0" distL="114300" distR="114300">
                  <wp:extent cx="5092065" cy="6172835"/>
                  <wp:effectExtent l="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6"/>
                          <a:srcRect l="5637" t="845" b="173"/>
                          <a:stretch>
                            <a:fillRect/>
                          </a:stretch>
                        </pic:blipFill>
                        <pic:spPr>
                          <a:xfrm>
                            <a:off x="0" y="0"/>
                            <a:ext cx="5092065" cy="6172835"/>
                          </a:xfrm>
                          <a:prstGeom prst="rect">
                            <a:avLst/>
                          </a:prstGeom>
                          <a:noFill/>
                          <a:ln>
                            <a:noFill/>
                          </a:ln>
                        </pic:spPr>
                      </pic:pic>
                    </a:graphicData>
                  </a:graphic>
                </wp:inline>
              </w:drawing>
            </w:r>
          </w:p>
          <w:p w14:paraId="2E1EB4A6">
            <w:pPr>
              <w:tabs>
                <w:tab w:val="left" w:pos="960"/>
              </w:tabs>
              <w:jc w:val="center"/>
              <w:rPr>
                <w:rFonts w:hint="eastAsia" w:ascii="Times New Roman" w:hAnsi="Times New Roman" w:eastAsia="宋体" w:cs="宋体"/>
                <w:b/>
                <w:bCs w:val="0"/>
                <w:color w:val="auto"/>
                <w:spacing w:val="-4"/>
                <w:szCs w:val="21"/>
                <w:highlight w:val="none"/>
              </w:rPr>
            </w:pPr>
            <w:r>
              <w:rPr>
                <w:rFonts w:hint="eastAsia" w:ascii="Times New Roman" w:hAnsi="Times New Roman" w:eastAsia="宋体" w:cs="宋体"/>
                <w:b/>
                <w:bCs w:val="0"/>
                <w:color w:val="auto"/>
                <w:spacing w:val="-4"/>
                <w:szCs w:val="21"/>
                <w:highlight w:val="none"/>
              </w:rPr>
              <w:t>图2.1-</w:t>
            </w:r>
            <w:r>
              <w:rPr>
                <w:rFonts w:hint="eastAsia" w:ascii="Times New Roman" w:hAnsi="Times New Roman" w:eastAsia="宋体" w:cs="宋体"/>
                <w:b/>
                <w:bCs w:val="0"/>
                <w:color w:val="auto"/>
                <w:spacing w:val="-4"/>
                <w:szCs w:val="21"/>
                <w:highlight w:val="none"/>
                <w:lang w:val="en-US" w:eastAsia="zh-CN"/>
              </w:rPr>
              <w:t>2</w:t>
            </w:r>
            <w:r>
              <w:rPr>
                <w:rFonts w:hint="eastAsia" w:ascii="Times New Roman" w:hAnsi="Times New Roman" w:eastAsia="宋体" w:cs="宋体"/>
                <w:b/>
                <w:bCs w:val="0"/>
                <w:color w:val="auto"/>
                <w:spacing w:val="-4"/>
                <w:szCs w:val="21"/>
                <w:highlight w:val="none"/>
              </w:rPr>
              <w:t xml:space="preserve">  </w:t>
            </w:r>
            <w:r>
              <w:rPr>
                <w:rFonts w:hint="eastAsia" w:cs="宋体"/>
                <w:b/>
                <w:bCs w:val="0"/>
                <w:color w:val="auto"/>
                <w:spacing w:val="-4"/>
                <w:szCs w:val="21"/>
                <w:highlight w:val="none"/>
                <w:lang w:val="en-US" w:eastAsia="zh-CN"/>
              </w:rPr>
              <w:t>全厂项目</w:t>
            </w:r>
            <w:r>
              <w:rPr>
                <w:rFonts w:hint="eastAsia" w:ascii="Times New Roman" w:hAnsi="Times New Roman" w:eastAsia="宋体" w:cs="宋体"/>
                <w:b/>
                <w:bCs w:val="0"/>
                <w:color w:val="auto"/>
                <w:spacing w:val="-4"/>
                <w:szCs w:val="21"/>
                <w:highlight w:val="none"/>
              </w:rPr>
              <w:t>水平衡图  单位：</w:t>
            </w:r>
            <w:r>
              <w:rPr>
                <w:rFonts w:hint="eastAsia" w:cs="宋体"/>
                <w:b/>
                <w:bCs w:val="0"/>
                <w:color w:val="auto"/>
                <w:spacing w:val="-4"/>
                <w:szCs w:val="21"/>
                <w:highlight w:val="none"/>
                <w:lang w:val="en-US" w:eastAsia="zh-CN"/>
              </w:rPr>
              <w:t>t</w:t>
            </w:r>
            <w:r>
              <w:rPr>
                <w:rFonts w:hint="eastAsia" w:ascii="Times New Roman" w:hAnsi="Times New Roman" w:eastAsia="宋体" w:cs="宋体"/>
                <w:b/>
                <w:bCs w:val="0"/>
                <w:color w:val="auto"/>
                <w:spacing w:val="-4"/>
                <w:szCs w:val="21"/>
                <w:highlight w:val="none"/>
              </w:rPr>
              <w:t>/a</w:t>
            </w:r>
          </w:p>
          <w:p w14:paraId="4ADE18B6">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1D677241">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1006C308">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6437F298">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465E8553">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64478A77">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6CE45BCA">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61AE1118">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536E5437">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41747DE1">
            <w:pPr>
              <w:tabs>
                <w:tab w:val="left" w:pos="960"/>
              </w:tabs>
              <w:jc w:val="center"/>
              <w:rPr>
                <w:rFonts w:hint="eastAsia" w:ascii="Times New Roman" w:hAnsi="Times New Roman" w:eastAsia="宋体" w:cs="宋体"/>
                <w:b w:val="0"/>
                <w:bCs/>
                <w:color w:val="auto"/>
                <w:spacing w:val="-4"/>
                <w:szCs w:val="21"/>
                <w:highlight w:val="none"/>
                <w:lang w:val="en-US" w:eastAsia="zh-CN"/>
              </w:rPr>
            </w:pPr>
          </w:p>
          <w:p w14:paraId="058D064A">
            <w:pPr>
              <w:tabs>
                <w:tab w:val="left" w:pos="960"/>
              </w:tabs>
              <w:jc w:val="center"/>
              <w:rPr>
                <w:rFonts w:hint="eastAsia" w:ascii="Times New Roman" w:hAnsi="Times New Roman" w:eastAsia="宋体" w:cs="宋体"/>
                <w:b w:val="0"/>
                <w:bCs/>
                <w:color w:val="auto"/>
                <w:spacing w:val="-4"/>
                <w:szCs w:val="21"/>
                <w:highlight w:val="none"/>
                <w:lang w:val="en-US" w:eastAsia="zh-CN"/>
              </w:rPr>
            </w:pPr>
          </w:p>
        </w:tc>
      </w:tr>
      <w:tr w14:paraId="448F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D2397">
            <w:pPr>
              <w:pStyle w:val="19"/>
              <w:widowControl w:val="0"/>
              <w:adjustRightInd w:val="0"/>
              <w:snapToGrid w:val="0"/>
              <w:spacing w:before="0" w:beforeAutospacing="0" w:after="0" w:afterAutospacing="0"/>
              <w:jc w:val="center"/>
              <w:rPr>
                <w:rFonts w:ascii="Times New Roman" w:hAnsi="Times New Roman" w:eastAsia="宋体" w:cs="宋体"/>
                <w:b w:val="0"/>
                <w:color w:val="auto"/>
                <w:sz w:val="21"/>
                <w:szCs w:val="21"/>
                <w:highlight w:val="none"/>
              </w:rPr>
            </w:pPr>
            <w:r>
              <w:rPr>
                <w:rFonts w:hint="eastAsia" w:ascii="Times New Roman" w:hAnsi="Times New Roman" w:eastAsia="宋体" w:cs="宋体"/>
                <w:b w:val="0"/>
                <w:color w:val="auto"/>
                <w:sz w:val="21"/>
                <w:szCs w:val="21"/>
                <w:highlight w:val="none"/>
              </w:rPr>
              <w:t>工艺流程和产排污环节</w:t>
            </w:r>
          </w:p>
        </w:tc>
        <w:tc>
          <w:tcPr>
            <w:tcW w:w="8430" w:type="dxa"/>
            <w:tcBorders>
              <w:top w:val="single" w:color="000000" w:sz="4" w:space="0"/>
              <w:left w:val="single" w:color="000000" w:sz="4" w:space="0"/>
              <w:bottom w:val="single" w:color="000000" w:sz="4" w:space="0"/>
              <w:right w:val="single" w:color="000000" w:sz="4" w:space="0"/>
            </w:tcBorders>
            <w:shd w:val="clear" w:color="auto" w:fill="FFFFFF"/>
          </w:tcPr>
          <w:p w14:paraId="78DB3B62">
            <w:pPr>
              <w:keepNext w:val="0"/>
              <w:keepLines w:val="0"/>
              <w:pageBreakBefore w:val="0"/>
              <w:widowControl w:val="0"/>
              <w:tabs>
                <w:tab w:val="left" w:pos="960"/>
              </w:tabs>
              <w:kinsoku/>
              <w:wordWrap/>
              <w:overflowPunct/>
              <w:topLinePunct w:val="0"/>
              <w:autoSpaceDE/>
              <w:autoSpaceDN/>
              <w:bidi w:val="0"/>
              <w:adjustRightInd/>
              <w:snapToGrid/>
              <w:spacing w:line="360" w:lineRule="auto"/>
              <w:ind w:firstLine="464" w:firstLineChars="200"/>
              <w:jc w:val="left"/>
              <w:textAlignment w:val="auto"/>
              <w:rPr>
                <w:rFonts w:hint="eastAsia" w:ascii="Times New Roman" w:hAnsi="Times New Roman" w:eastAsia="宋体" w:cs="宋体"/>
                <w:b w:val="0"/>
                <w:bCs w:val="0"/>
                <w:color w:val="auto"/>
                <w:spacing w:val="-4"/>
                <w:sz w:val="24"/>
                <w:szCs w:val="24"/>
                <w:highlight w:val="none"/>
              </w:rPr>
            </w:pPr>
            <w:r>
              <w:rPr>
                <w:rFonts w:hint="eastAsia" w:ascii="Times New Roman" w:hAnsi="Times New Roman" w:eastAsia="宋体" w:cs="宋体"/>
                <w:b w:val="0"/>
                <w:bCs w:val="0"/>
                <w:color w:val="auto"/>
                <w:spacing w:val="-4"/>
                <w:sz w:val="24"/>
                <w:szCs w:val="24"/>
                <w:highlight w:val="none"/>
              </w:rPr>
              <w:t>本次技改后压铸机工作时间内采用连续压铸工艺替代原有整炉熔化间歇压铸工艺，</w:t>
            </w:r>
            <w:r>
              <w:rPr>
                <w:rFonts w:hint="eastAsia" w:cs="宋体"/>
                <w:b w:val="0"/>
                <w:bCs w:val="0"/>
                <w:color w:val="auto"/>
                <w:spacing w:val="-4"/>
                <w:sz w:val="24"/>
                <w:szCs w:val="24"/>
                <w:highlight w:val="none"/>
                <w:lang w:val="en-US" w:eastAsia="zh-CN"/>
              </w:rPr>
              <w:t>可减少天然气的消耗量，并采用液态脱模剂替代原有T800脱模涂料粉末</w:t>
            </w:r>
            <w:r>
              <w:rPr>
                <w:rFonts w:hint="eastAsia" w:ascii="Times New Roman" w:hAnsi="Times New Roman" w:eastAsia="宋体" w:cs="宋体"/>
                <w:b w:val="0"/>
                <w:bCs w:val="0"/>
                <w:color w:val="auto"/>
                <w:spacing w:val="-4"/>
                <w:sz w:val="24"/>
                <w:szCs w:val="24"/>
                <w:highlight w:val="none"/>
              </w:rPr>
              <w:t>。</w:t>
            </w:r>
          </w:p>
          <w:p w14:paraId="262C2142">
            <w:pPr>
              <w:tabs>
                <w:tab w:val="left" w:pos="960"/>
              </w:tabs>
              <w:jc w:val="center"/>
              <w:rPr>
                <w:rFonts w:hint="eastAsia" w:ascii="Times New Roman" w:hAnsi="Times New Roman" w:eastAsia="宋体" w:cs="宋体"/>
                <w:b w:val="0"/>
                <w:bCs/>
                <w:color w:val="auto"/>
                <w:spacing w:val="-4"/>
                <w:szCs w:val="21"/>
                <w:highlight w:val="none"/>
              </w:rPr>
            </w:pPr>
            <w:r>
              <w:rPr>
                <w:b w:val="0"/>
                <w:color w:val="auto"/>
                <w:sz w:val="21"/>
              </w:rPr>
              <mc:AlternateContent>
                <mc:Choice Requires="wps">
                  <w:drawing>
                    <wp:anchor distT="0" distB="0" distL="114300" distR="114300" simplePos="0" relativeHeight="251688960" behindDoc="0" locked="0" layoutInCell="1" allowOverlap="1">
                      <wp:simplePos x="0" y="0"/>
                      <wp:positionH relativeFrom="column">
                        <wp:posOffset>4034155</wp:posOffset>
                      </wp:positionH>
                      <wp:positionV relativeFrom="paragraph">
                        <wp:posOffset>3458210</wp:posOffset>
                      </wp:positionV>
                      <wp:extent cx="582295" cy="273050"/>
                      <wp:effectExtent l="0" t="0" r="8255" b="12700"/>
                      <wp:wrapNone/>
                      <wp:docPr id="8" name="文本框 8"/>
                      <wp:cNvGraphicFramePr/>
                      <a:graphic xmlns:a="http://schemas.openxmlformats.org/drawingml/2006/main">
                        <a:graphicData uri="http://schemas.microsoft.com/office/word/2010/wordprocessingShape">
                          <wps:wsp>
                            <wps:cNvSpPr txBox="1"/>
                            <wps:spPr>
                              <a:xfrm>
                                <a:off x="0" y="0"/>
                                <a:ext cx="58229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718FE39">
                                  <w:pPr>
                                    <w:rPr>
                                      <w:rFonts w:hint="default" w:eastAsia="宋体"/>
                                      <w:sz w:val="15"/>
                                      <w:szCs w:val="15"/>
                                      <w:lang w:val="en-US" w:eastAsia="zh-CN"/>
                                    </w:rPr>
                                  </w:pPr>
                                  <w:r>
                                    <w:rPr>
                                      <w:rFonts w:hint="eastAsia"/>
                                      <w:sz w:val="15"/>
                                      <w:szCs w:val="15"/>
                                      <w:lang w:val="en-US" w:eastAsia="zh-CN"/>
                                    </w:rPr>
                                    <w:t>部分产品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65pt;margin-top:272.3pt;height:21.5pt;width:45.85pt;z-index:251688960;mso-width-relative:page;mso-height-relative:page;" fillcolor="#FFFFFF [3201]" filled="t" stroked="f" coordsize="21600,21600" o:gfxdata="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7qR+9cAAAALAQAADwAA&#10;AAAAAAABACAAAAAiAAAAZHJzL2Rvd25yZXYueG1sUEsBAhQAFAAAAAgAh07iQPa5ki1QAgAAjgQA&#10;AA4AAAAAAAAAAQAgAAAAJgEAAGRycy9lMm9Eb2MueG1sUEsFBgAAAAAGAAYAWQEAAOgFAAAAAA==&#10;">
                      <v:fill on="t" focussize="0,0"/>
                      <v:stroke on="f" weight="0.5pt"/>
                      <v:imagedata o:title=""/>
                      <o:lock v:ext="edit" aspectratio="f"/>
                      <v:textbox>
                        <w:txbxContent>
                          <w:p w14:paraId="6718FE39">
                            <w:pPr>
                              <w:rPr>
                                <w:rFonts w:hint="default" w:eastAsia="宋体"/>
                                <w:sz w:val="15"/>
                                <w:szCs w:val="15"/>
                                <w:lang w:val="en-US" w:eastAsia="zh-CN"/>
                              </w:rPr>
                            </w:pPr>
                            <w:r>
                              <w:rPr>
                                <w:rFonts w:hint="eastAsia"/>
                                <w:sz w:val="15"/>
                                <w:szCs w:val="15"/>
                                <w:lang w:val="en-US" w:eastAsia="zh-CN"/>
                              </w:rPr>
                              <w:t>部分产品</w:t>
                            </w:r>
                          </w:p>
                        </w:txbxContent>
                      </v:textbox>
                    </v:shape>
                  </w:pict>
                </mc:Fallback>
              </mc:AlternateContent>
            </w:r>
            <w:r>
              <w:rPr>
                <w:b w:val="0"/>
                <w:color w:val="auto"/>
                <w:sz w:val="21"/>
              </w:rPr>
              <mc:AlternateContent>
                <mc:Choice Requires="wps">
                  <w:drawing>
                    <wp:anchor distT="0" distB="0" distL="114300" distR="114300" simplePos="0" relativeHeight="251660288" behindDoc="0" locked="0" layoutInCell="1" allowOverlap="1">
                      <wp:simplePos x="0" y="0"/>
                      <wp:positionH relativeFrom="column">
                        <wp:posOffset>4396105</wp:posOffset>
                      </wp:positionH>
                      <wp:positionV relativeFrom="paragraph">
                        <wp:posOffset>4886960</wp:posOffset>
                      </wp:positionV>
                      <wp:extent cx="582295" cy="273050"/>
                      <wp:effectExtent l="0" t="0" r="1905" b="6350"/>
                      <wp:wrapNone/>
                      <wp:docPr id="85" name="文本框 85"/>
                      <wp:cNvGraphicFramePr/>
                      <a:graphic xmlns:a="http://schemas.openxmlformats.org/drawingml/2006/main">
                        <a:graphicData uri="http://schemas.microsoft.com/office/word/2010/wordprocessingShape">
                          <wps:wsp>
                            <wps:cNvSpPr txBox="1"/>
                            <wps:spPr>
                              <a:xfrm>
                                <a:off x="0" y="0"/>
                                <a:ext cx="58229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8089C9">
                                  <w:pPr>
                                    <w:rPr>
                                      <w:rFonts w:hint="default" w:eastAsia="宋体"/>
                                      <w:sz w:val="15"/>
                                      <w:szCs w:val="15"/>
                                      <w:lang w:val="en-US" w:eastAsia="zh-CN"/>
                                    </w:rPr>
                                  </w:pPr>
                                  <w:r>
                                    <w:rPr>
                                      <w:rFonts w:hint="eastAsia"/>
                                      <w:sz w:val="15"/>
                                      <w:szCs w:val="15"/>
                                      <w:lang w:val="en-US" w:eastAsia="zh-CN"/>
                                    </w:rPr>
                                    <w:t>本次技改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15pt;margin-top:384.8pt;height:21.5pt;width:45.85pt;z-index:251660288;mso-width-relative:page;mso-height-relative:page;" fillcolor="#FFFFFF [3201]" filled="t" stroked="f" coordsize="21600,21600" o:gfxdata="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DCdozXAAAACwEAAA8A&#10;AAAAAAAAAQAgAAAAIgAAAGRycy9kb3ducmV2LnhtbFBLAQIUABQAAAAIAIdO4kDSzQdwUQIAAJAE&#10;AAAOAAAAAAAAAAEAIAAAACYBAABkcnMvZTJvRG9jLnhtbFBLBQYAAAAABgAGAFkBAADpBQAAAAA=&#10;">
                      <v:fill on="t" focussize="0,0"/>
                      <v:stroke on="f" weight="0.5pt"/>
                      <v:imagedata o:title=""/>
                      <o:lock v:ext="edit" aspectratio="f"/>
                      <v:textbox>
                        <w:txbxContent>
                          <w:p w14:paraId="448089C9">
                            <w:pPr>
                              <w:rPr>
                                <w:rFonts w:hint="default" w:eastAsia="宋体"/>
                                <w:sz w:val="15"/>
                                <w:szCs w:val="15"/>
                                <w:lang w:val="en-US" w:eastAsia="zh-CN"/>
                              </w:rPr>
                            </w:pPr>
                            <w:r>
                              <w:rPr>
                                <w:rFonts w:hint="eastAsia"/>
                                <w:sz w:val="15"/>
                                <w:szCs w:val="15"/>
                                <w:lang w:val="en-US" w:eastAsia="zh-CN"/>
                              </w:rPr>
                              <w:t>本次技改</w:t>
                            </w:r>
                          </w:p>
                        </w:txbxContent>
                      </v:textbox>
                    </v:shape>
                  </w:pict>
                </mc:Fallback>
              </mc:AlternateContent>
            </w:r>
            <w:r>
              <w:rPr>
                <w:b w:val="0"/>
                <w:color w:val="auto"/>
                <w:sz w:val="21"/>
              </w:rPr>
              <mc:AlternateContent>
                <mc:Choice Requires="wps">
                  <w:drawing>
                    <wp:anchor distT="0" distB="0" distL="114300" distR="114300" simplePos="0" relativeHeight="251687936" behindDoc="0" locked="0" layoutInCell="1" allowOverlap="1">
                      <wp:simplePos x="0" y="0"/>
                      <wp:positionH relativeFrom="column">
                        <wp:posOffset>4199890</wp:posOffset>
                      </wp:positionH>
                      <wp:positionV relativeFrom="paragraph">
                        <wp:posOffset>4919980</wp:posOffset>
                      </wp:positionV>
                      <wp:extent cx="206375" cy="142240"/>
                      <wp:effectExtent l="4445" t="4445" r="5080" b="5715"/>
                      <wp:wrapNone/>
                      <wp:docPr id="84" name="矩形 84"/>
                      <wp:cNvGraphicFramePr/>
                      <a:graphic xmlns:a="http://schemas.openxmlformats.org/drawingml/2006/main">
                        <a:graphicData uri="http://schemas.microsoft.com/office/word/2010/wordprocessingShape">
                          <wps:wsp>
                            <wps:cNvSpPr/>
                            <wps:spPr>
                              <a:xfrm>
                                <a:off x="2630805" y="4204970"/>
                                <a:ext cx="206375" cy="142240"/>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7pt;margin-top:387.4pt;height:11.2pt;width:16.25pt;z-index:251687936;v-text-anchor:middle;mso-width-relative:page;mso-height-relative:page;" filled="f" stroked="t" coordsize="21600,21600" o:gfxdata="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DrIEzZAAAACwEAAA8AAAAAAAAAAQAgAAAAIgAAAGRycy9kb3ducmV2Lnht&#10;bFBLAQIUABQAAAAIAIdO4kBUEujxagIAAL8EAAAOAAAAAAAAAAEAIAAAACgBAABkcnMvZTJvRG9j&#10;LnhtbFBLBQYAAAAABgAGAFkBAAAEBgAAAAA=&#10;">
                      <v:fill on="f" focussize="0,0"/>
                      <v:stroke weight="0.5pt" color="#000000 [3213]" joinstyle="round" dashstyle="dash"/>
                      <v:imagedata o:title=""/>
                      <o:lock v:ext="edit" aspectratio="f"/>
                    </v:rect>
                  </w:pict>
                </mc:Fallback>
              </mc:AlternateContent>
            </w:r>
            <w:r>
              <w:rPr>
                <w:b w:val="0"/>
                <w:color w:val="auto"/>
                <w:sz w:val="21"/>
              </w:rPr>
              <mc:AlternateContent>
                <mc:Choice Requires="wps">
                  <w:drawing>
                    <wp:anchor distT="0" distB="0" distL="114300" distR="114300" simplePos="0" relativeHeight="251677696" behindDoc="0" locked="0" layoutInCell="1" allowOverlap="1">
                      <wp:simplePos x="0" y="0"/>
                      <wp:positionH relativeFrom="column">
                        <wp:posOffset>1802130</wp:posOffset>
                      </wp:positionH>
                      <wp:positionV relativeFrom="paragraph">
                        <wp:posOffset>4195445</wp:posOffset>
                      </wp:positionV>
                      <wp:extent cx="313690" cy="273050"/>
                      <wp:effectExtent l="0" t="0" r="3810" b="6350"/>
                      <wp:wrapNone/>
                      <wp:docPr id="40" name="文本框 40"/>
                      <wp:cNvGraphicFramePr/>
                      <a:graphic xmlns:a="http://schemas.openxmlformats.org/drawingml/2006/main">
                        <a:graphicData uri="http://schemas.microsoft.com/office/word/2010/wordprocessingShape">
                          <wps:wsp>
                            <wps:cNvSpPr txBox="1"/>
                            <wps:spPr>
                              <a:xfrm>
                                <a:off x="0" y="0"/>
                                <a:ext cx="31369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4D3C39A">
                                  <w:pPr>
                                    <w:rPr>
                                      <w:rFonts w:hint="default" w:eastAsia="宋体"/>
                                      <w:lang w:val="en-US" w:eastAsia="zh-CN"/>
                                    </w:rPr>
                                  </w:pPr>
                                  <w:r>
                                    <w:rPr>
                                      <w:rFonts w:hint="eastAsia"/>
                                      <w:lang w:val="en-US"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9pt;margin-top:330.35pt;height:21.5pt;width:24.7pt;z-index:251677696;mso-width-relative:page;mso-height-relative:page;" fillcolor="#FFFFFF [3201]" filled="t" stroked="f" coordsize="21600,21600" o:gfxdata="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JmQS1wAAAAsBAAAPAAAA&#10;AAAAAAEAIAAAACIAAABkcnMvZG93bnJldi54bWxQSwECFAAUAAAACACHTuJALSQqYE8CAACQBAAA&#10;DgAAAAAAAAABACAAAAAmAQAAZHJzL2Uyb0RvYy54bWxQSwUGAAAAAAYABgBZAQAA5wUAAAAA&#10;">
                      <v:fill on="t" focussize="0,0"/>
                      <v:stroke on="f" weight="0.5pt"/>
                      <v:imagedata o:title=""/>
                      <o:lock v:ext="edit" aspectratio="f"/>
                      <v:textbox>
                        <w:txbxContent>
                          <w:p w14:paraId="44D3C39A">
                            <w:pPr>
                              <w:rPr>
                                <w:rFonts w:hint="default" w:eastAsia="宋体"/>
                                <w:lang w:val="en-US" w:eastAsia="zh-CN"/>
                              </w:rPr>
                            </w:pPr>
                            <w:r>
                              <w:rPr>
                                <w:rFonts w:hint="eastAsia"/>
                                <w:lang w:val="en-US" w:eastAsia="zh-CN"/>
                              </w:rPr>
                              <w:t>水</w:t>
                            </w:r>
                          </w:p>
                        </w:txbxContent>
                      </v:textbox>
                    </v:shape>
                  </w:pict>
                </mc:Fallback>
              </mc:AlternateContent>
            </w:r>
            <w:r>
              <w:rPr>
                <w:b w:val="0"/>
                <w:color w:val="auto"/>
                <w:sz w:val="21"/>
              </w:rPr>
              <mc:AlternateContent>
                <mc:Choice Requires="wps">
                  <w:drawing>
                    <wp:anchor distT="0" distB="0" distL="114300" distR="114300" simplePos="0" relativeHeight="251676672" behindDoc="0" locked="0" layoutInCell="1" allowOverlap="1">
                      <wp:simplePos x="0" y="0"/>
                      <wp:positionH relativeFrom="column">
                        <wp:posOffset>1057910</wp:posOffset>
                      </wp:positionH>
                      <wp:positionV relativeFrom="paragraph">
                        <wp:posOffset>3683000</wp:posOffset>
                      </wp:positionV>
                      <wp:extent cx="1120775" cy="273050"/>
                      <wp:effectExtent l="0" t="0" r="9525" b="6350"/>
                      <wp:wrapNone/>
                      <wp:docPr id="38" name="文本框 38"/>
                      <wp:cNvGraphicFramePr/>
                      <a:graphic xmlns:a="http://schemas.openxmlformats.org/drawingml/2006/main">
                        <a:graphicData uri="http://schemas.microsoft.com/office/word/2010/wordprocessingShape">
                          <wps:wsp>
                            <wps:cNvSpPr txBox="1"/>
                            <wps:spPr>
                              <a:xfrm>
                                <a:off x="0" y="0"/>
                                <a:ext cx="112077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809BBA">
                                  <w:pPr>
                                    <w:rPr>
                                      <w:rFonts w:hint="default" w:eastAsia="宋体"/>
                                      <w:lang w:val="en-US" w:eastAsia="zh-CN"/>
                                    </w:rPr>
                                  </w:pPr>
                                  <w:r>
                                    <w:rPr>
                                      <w:rFonts w:hint="eastAsia"/>
                                      <w:lang w:val="en-US" w:eastAsia="zh-CN"/>
                                    </w:rPr>
                                    <w:t>清洗剂、光亮剂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3pt;margin-top:290pt;height:21.5pt;width:88.25pt;z-index:251676672;mso-width-relative:page;mso-height-relative:page;" fillcolor="#FFFFFF [3201]" filled="t" stroked="f" coordsize="21600,21600" o:gfxdata="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RBR0S1gAAAAsBAAAPAAAA&#10;AAAAAAEAIAAAACIAAABkcnMvZG93bnJldi54bWxQSwECFAAUAAAACACHTuJAouVvNVACAACRBAAA&#10;DgAAAAAAAAABACAAAAAlAQAAZHJzL2Uyb0RvYy54bWxQSwUGAAAAAAYABgBZAQAA5wUAAAAA&#10;">
                      <v:fill on="t" focussize="0,0"/>
                      <v:stroke on="f" weight="0.5pt"/>
                      <v:imagedata o:title=""/>
                      <o:lock v:ext="edit" aspectratio="f"/>
                      <v:textbox>
                        <w:txbxContent>
                          <w:p w14:paraId="58809BBA">
                            <w:pPr>
                              <w:rPr>
                                <w:rFonts w:hint="default" w:eastAsia="宋体"/>
                                <w:lang w:val="en-US" w:eastAsia="zh-CN"/>
                              </w:rPr>
                            </w:pPr>
                            <w:r>
                              <w:rPr>
                                <w:rFonts w:hint="eastAsia"/>
                                <w:lang w:val="en-US" w:eastAsia="zh-CN"/>
                              </w:rPr>
                              <w:t>清洗剂、光亮剂</w:t>
                            </w:r>
                          </w:p>
                        </w:txbxContent>
                      </v:textbox>
                    </v:shape>
                  </w:pict>
                </mc:Fallback>
              </mc:AlternateContent>
            </w:r>
            <w:r>
              <w:rPr>
                <w:b w:val="0"/>
                <w:color w:val="auto"/>
                <w:sz w:val="21"/>
              </w:rPr>
              <mc:AlternateContent>
                <mc:Choice Requires="wps">
                  <w:drawing>
                    <wp:anchor distT="0" distB="0" distL="114300" distR="114300" simplePos="0" relativeHeight="251675648" behindDoc="0" locked="0" layoutInCell="1" allowOverlap="1">
                      <wp:simplePos x="0" y="0"/>
                      <wp:positionH relativeFrom="column">
                        <wp:posOffset>978535</wp:posOffset>
                      </wp:positionH>
                      <wp:positionV relativeFrom="paragraph">
                        <wp:posOffset>609600</wp:posOffset>
                      </wp:positionV>
                      <wp:extent cx="1099820" cy="273050"/>
                      <wp:effectExtent l="0" t="0" r="5080" b="6350"/>
                      <wp:wrapNone/>
                      <wp:docPr id="36" name="文本框 36"/>
                      <wp:cNvGraphicFramePr/>
                      <a:graphic xmlns:a="http://schemas.openxmlformats.org/drawingml/2006/main">
                        <a:graphicData uri="http://schemas.microsoft.com/office/word/2010/wordprocessingShape">
                          <wps:wsp>
                            <wps:cNvSpPr txBox="1"/>
                            <wps:spPr>
                              <a:xfrm>
                                <a:off x="0" y="0"/>
                                <a:ext cx="109982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AD88CA8">
                                  <w:pPr>
                                    <w:rPr>
                                      <w:rFonts w:hint="default" w:eastAsia="宋体"/>
                                      <w:lang w:val="en-US" w:eastAsia="zh-CN"/>
                                    </w:rPr>
                                  </w:pPr>
                                  <w:r>
                                    <w:rPr>
                                      <w:rFonts w:hint="eastAsia"/>
                                      <w:lang w:val="en-US" w:eastAsia="zh-CN"/>
                                    </w:rPr>
                                    <w:t>天然气、除渣剂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05pt;margin-top:48pt;height:21.5pt;width:86.6pt;z-index:251675648;mso-width-relative:page;mso-height-relative:page;" fillcolor="#FFFFFF [3201]" filled="t" stroked="f" coordsize="21600,21600" o:gfxdata="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i97jDVAAAACgEAAA8AAAAA&#10;AAAAAQAgAAAAIgAAAGRycy9kb3ducmV2LnhtbFBLAQIUABQAAAAIAIdO4kAPC0olUAIAAJEEAAAO&#10;AAAAAAAAAAEAIAAAACQBAABkcnMvZTJvRG9jLnhtbFBLBQYAAAAABgAGAFkBAADmBQAAAAA=&#10;">
                      <v:fill on="t" focussize="0,0"/>
                      <v:stroke on="f" weight="0.5pt"/>
                      <v:imagedata o:title=""/>
                      <o:lock v:ext="edit" aspectratio="f"/>
                      <v:textbox>
                        <w:txbxContent>
                          <w:p w14:paraId="7AD88CA8">
                            <w:pPr>
                              <w:rPr>
                                <w:rFonts w:hint="default" w:eastAsia="宋体"/>
                                <w:lang w:val="en-US" w:eastAsia="zh-CN"/>
                              </w:rPr>
                            </w:pPr>
                            <w:r>
                              <w:rPr>
                                <w:rFonts w:hint="eastAsia"/>
                                <w:lang w:val="en-US" w:eastAsia="zh-CN"/>
                              </w:rPr>
                              <w:t>天然气、除渣剂</w:t>
                            </w:r>
                          </w:p>
                        </w:txbxContent>
                      </v:textbox>
                    </v:shape>
                  </w:pict>
                </mc:Fallback>
              </mc:AlternateContent>
            </w:r>
            <w:r>
              <w:rPr>
                <w:b w:val="0"/>
                <w:color w:val="auto"/>
                <w:sz w:val="21"/>
              </w:rPr>
              <mc:AlternateContent>
                <mc:Choice Requires="wps">
                  <w:drawing>
                    <wp:anchor distT="0" distB="0" distL="114300" distR="114300" simplePos="0" relativeHeight="251674624" behindDoc="0" locked="0" layoutInCell="1" allowOverlap="1">
                      <wp:simplePos x="0" y="0"/>
                      <wp:positionH relativeFrom="column">
                        <wp:posOffset>1476375</wp:posOffset>
                      </wp:positionH>
                      <wp:positionV relativeFrom="paragraph">
                        <wp:posOffset>1138555</wp:posOffset>
                      </wp:positionV>
                      <wp:extent cx="596900" cy="273050"/>
                      <wp:effectExtent l="0" t="0" r="0" b="6350"/>
                      <wp:wrapNone/>
                      <wp:docPr id="34" name="文本框 34"/>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BDB84B">
                                  <w:pPr>
                                    <w:rPr>
                                      <w:rFonts w:hint="default" w:eastAsia="宋体"/>
                                      <w:lang w:val="en-US" w:eastAsia="zh-CN"/>
                                    </w:rPr>
                                  </w:pPr>
                                  <w:r>
                                    <w:rPr>
                                      <w:rFonts w:hint="eastAsia"/>
                                      <w:lang w:val="en-US" w:eastAsia="zh-CN"/>
                                    </w:rPr>
                                    <w:t>脱模剂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25pt;margin-top:89.65pt;height:21.5pt;width:47pt;z-index:251674624;mso-width-relative:page;mso-height-relative:page;" fillcolor="#FFFFFF [3201]" filled="t" stroked="f" coordsize="21600,21600" o:gfxdata="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mZTdfVAAAACwEAAA8AAAAA&#10;AAAAAQAgAAAAIgAAAGRycy9kb3ducmV2LnhtbFBLAQIUABQAAAAIAIdO4kB0HmP7UAIAAJAEAAAO&#10;AAAAAAAAAAEAIAAAACQBAABkcnMvZTJvRG9jLnhtbFBLBQYAAAAABgAGAFkBAADmBQAAAAA=&#10;">
                      <v:fill on="t" focussize="0,0"/>
                      <v:stroke on="f" weight="0.5pt"/>
                      <v:imagedata o:title=""/>
                      <o:lock v:ext="edit" aspectratio="f"/>
                      <v:textbox>
                        <w:txbxContent>
                          <w:p w14:paraId="2ABDB84B">
                            <w:pPr>
                              <w:rPr>
                                <w:rFonts w:hint="default" w:eastAsia="宋体"/>
                                <w:lang w:val="en-US" w:eastAsia="zh-CN"/>
                              </w:rPr>
                            </w:pPr>
                            <w:r>
                              <w:rPr>
                                <w:rFonts w:hint="eastAsia"/>
                                <w:lang w:val="en-US" w:eastAsia="zh-CN"/>
                              </w:rPr>
                              <w:t>脱模剂</w:t>
                            </w:r>
                          </w:p>
                        </w:txbxContent>
                      </v:textbox>
                    </v:shape>
                  </w:pict>
                </mc:Fallback>
              </mc:AlternateContent>
            </w:r>
            <w:r>
              <w:rPr>
                <w:b w:val="0"/>
                <w:color w:val="auto"/>
                <w:sz w:val="21"/>
              </w:rPr>
              <mc:AlternateContent>
                <mc:Choice Requires="wps">
                  <w:drawing>
                    <wp:anchor distT="0" distB="0" distL="114300" distR="114300" simplePos="0" relativeHeight="251683840" behindDoc="0" locked="0" layoutInCell="1" allowOverlap="1">
                      <wp:simplePos x="0" y="0"/>
                      <wp:positionH relativeFrom="column">
                        <wp:posOffset>3241675</wp:posOffset>
                      </wp:positionH>
                      <wp:positionV relativeFrom="paragraph">
                        <wp:posOffset>4225290</wp:posOffset>
                      </wp:positionV>
                      <wp:extent cx="596900" cy="273050"/>
                      <wp:effectExtent l="0" t="0" r="0" b="6350"/>
                      <wp:wrapNone/>
                      <wp:docPr id="79" name="文本框 79"/>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BF1066">
                                  <w:pPr>
                                    <w:rPr>
                                      <w:rFonts w:hint="default" w:eastAsia="宋体"/>
                                      <w:lang w:val="en-US" w:eastAsia="zh-CN"/>
                                    </w:rPr>
                                  </w:pPr>
                                  <w:r>
                                    <w:rPr>
                                      <w:rFonts w:hint="eastAsia"/>
                                      <w:lang w:val="en-US" w:eastAsia="zh-CN"/>
                                    </w:rPr>
                                    <w:t>W2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25pt;margin-top:332.7pt;height:21.5pt;width:47pt;z-index:251683840;mso-width-relative:page;mso-height-relative:page;" fillcolor="#FFFFFF [3201]" filled="t" stroked="f" coordsize="21600,21600" o:gfxdata="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Z4zEx1gAAAAsBAAAPAAAA&#10;AAAAAAEAIAAAACIAAABkcnMvZG93bnJldi54bWxQSwECFAAUAAAACACHTuJAhA52YlACAACQBAAA&#10;DgAAAAAAAAABACAAAAAlAQAAZHJzL2Uyb0RvYy54bWxQSwUGAAAAAAYABgBZAQAA5wUAAAAA&#10;">
                      <v:fill on="t" focussize="0,0"/>
                      <v:stroke on="f" weight="0.5pt"/>
                      <v:imagedata o:title=""/>
                      <o:lock v:ext="edit" aspectratio="f"/>
                      <v:textbox>
                        <w:txbxContent>
                          <w:p w14:paraId="5EBF1066">
                            <w:pPr>
                              <w:rPr>
                                <w:rFonts w:hint="default" w:eastAsia="宋体"/>
                                <w:lang w:val="en-US" w:eastAsia="zh-CN"/>
                              </w:rPr>
                            </w:pPr>
                            <w:r>
                              <w:rPr>
                                <w:rFonts w:hint="eastAsia"/>
                                <w:lang w:val="en-US" w:eastAsia="zh-CN"/>
                              </w:rPr>
                              <w:t>W2</w:t>
                            </w:r>
                          </w:p>
                        </w:txbxContent>
                      </v:textbox>
                    </v:shape>
                  </w:pict>
                </mc:Fallback>
              </mc:AlternateContent>
            </w:r>
            <w:r>
              <w:rPr>
                <w:b w:val="0"/>
                <w:color w:val="auto"/>
                <w:sz w:val="21"/>
              </w:rPr>
              <mc:AlternateContent>
                <mc:Choice Requires="wps">
                  <w:drawing>
                    <wp:anchor distT="0" distB="0" distL="114300" distR="114300" simplePos="0" relativeHeight="251685888" behindDoc="0" locked="0" layoutInCell="1" allowOverlap="1">
                      <wp:simplePos x="0" y="0"/>
                      <wp:positionH relativeFrom="column">
                        <wp:posOffset>3178175</wp:posOffset>
                      </wp:positionH>
                      <wp:positionV relativeFrom="paragraph">
                        <wp:posOffset>3178175</wp:posOffset>
                      </wp:positionV>
                      <wp:extent cx="596900" cy="273050"/>
                      <wp:effectExtent l="0" t="0" r="0" b="6350"/>
                      <wp:wrapNone/>
                      <wp:docPr id="81" name="文本框 81"/>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919A8A">
                                  <w:pPr>
                                    <w:rPr>
                                      <w:rFonts w:hint="default" w:eastAsia="宋体"/>
                                      <w:lang w:val="en-US" w:eastAsia="zh-CN"/>
                                    </w:rPr>
                                  </w:pPr>
                                  <w:r>
                                    <w:rPr>
                                      <w:rFonts w:hint="eastAsia"/>
                                      <w:lang w:val="en-US" w:eastAsia="zh-CN"/>
                                    </w:rPr>
                                    <w:t>S4、S5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25pt;margin-top:250.25pt;height:21.5pt;width:47pt;z-index:251685888;mso-width-relative:page;mso-height-relative:page;" fillcolor="#FFFFFF [3201]" filled="t" stroked="f" coordsize="21600,21600" o:gfxdata="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thbTC0wAAAAsBAAAPAAAAAAAA&#10;AAEAIAAAACIAAABkcnMvZG93bnJldi54bWxQSwECFAAUAAAACACHTuJAAS9u71ACAACQBAAADgAA&#10;AAAAAAABACAAAAAiAQAAZHJzL2Uyb0RvYy54bWxQSwUGAAAAAAYABgBZAQAA5AUAAAAA&#10;">
                      <v:fill on="t" focussize="0,0"/>
                      <v:stroke on="f" weight="0.5pt"/>
                      <v:imagedata o:title=""/>
                      <o:lock v:ext="edit" aspectratio="f"/>
                      <v:textbox>
                        <w:txbxContent>
                          <w:p w14:paraId="4F919A8A">
                            <w:pPr>
                              <w:rPr>
                                <w:rFonts w:hint="default" w:eastAsia="宋体"/>
                                <w:lang w:val="en-US" w:eastAsia="zh-CN"/>
                              </w:rPr>
                            </w:pPr>
                            <w:r>
                              <w:rPr>
                                <w:rFonts w:hint="eastAsia"/>
                                <w:lang w:val="en-US" w:eastAsia="zh-CN"/>
                              </w:rPr>
                              <w:t>S4、S5</w:t>
                            </w:r>
                          </w:p>
                        </w:txbxContent>
                      </v:textbox>
                    </v:shape>
                  </w:pict>
                </mc:Fallback>
              </mc:AlternateContent>
            </w:r>
            <w:r>
              <w:rPr>
                <w:b w:val="0"/>
                <w:color w:val="auto"/>
                <w:sz w:val="21"/>
              </w:rPr>
              <mc:AlternateContent>
                <mc:Choice Requires="wps">
                  <w:drawing>
                    <wp:anchor distT="0" distB="0" distL="114300" distR="114300" simplePos="0" relativeHeight="251678720" behindDoc="0" locked="0" layoutInCell="1" allowOverlap="1">
                      <wp:simplePos x="0" y="0"/>
                      <wp:positionH relativeFrom="column">
                        <wp:posOffset>1451610</wp:posOffset>
                      </wp:positionH>
                      <wp:positionV relativeFrom="paragraph">
                        <wp:posOffset>3175000</wp:posOffset>
                      </wp:positionV>
                      <wp:extent cx="596900" cy="273050"/>
                      <wp:effectExtent l="0" t="0" r="0" b="6350"/>
                      <wp:wrapNone/>
                      <wp:docPr id="42" name="文本框 42"/>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A43219">
                                  <w:pPr>
                                    <w:rPr>
                                      <w:rFonts w:hint="default" w:eastAsia="宋体"/>
                                      <w:lang w:val="en-US" w:eastAsia="zh-CN"/>
                                    </w:rPr>
                                  </w:pPr>
                                  <w:r>
                                    <w:rPr>
                                      <w:rFonts w:hint="eastAsia"/>
                                      <w:lang w:val="en-US" w:eastAsia="zh-CN"/>
                                    </w:rPr>
                                    <w:t>乳化液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3pt;margin-top:250pt;height:21.5pt;width:47pt;z-index:251678720;mso-width-relative:page;mso-height-relative:page;" fillcolor="#FFFFFF [3201]" filled="t" stroked="f" coordsize="21600,21600" o:gfxdata="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o03MfVAAAACwEAAA8AAAAA&#10;AAAAAQAgAAAAIgAAAGRycy9kb3ducmV2LnhtbFBLAQIUABQAAAAIAIdO4kCdk74xUAIAAJAEAAAO&#10;AAAAAAAAAAEAIAAAACQBAABkcnMvZTJvRG9jLnhtbFBLBQYAAAAABgAGAFkBAADmBQAAAAA=&#10;">
                      <v:fill on="t" focussize="0,0"/>
                      <v:stroke on="f" weight="0.5pt"/>
                      <v:imagedata o:title=""/>
                      <o:lock v:ext="edit" aspectratio="f"/>
                      <v:textbox>
                        <w:txbxContent>
                          <w:p w14:paraId="75A43219">
                            <w:pPr>
                              <w:rPr>
                                <w:rFonts w:hint="default" w:eastAsia="宋体"/>
                                <w:lang w:val="en-US" w:eastAsia="zh-CN"/>
                              </w:rPr>
                            </w:pPr>
                            <w:r>
                              <w:rPr>
                                <w:rFonts w:hint="eastAsia"/>
                                <w:lang w:val="en-US" w:eastAsia="zh-CN"/>
                              </w:rPr>
                              <w:t>乳化液</w:t>
                            </w:r>
                          </w:p>
                        </w:txbxContent>
                      </v:textbox>
                    </v:shape>
                  </w:pict>
                </mc:Fallback>
              </mc:AlternateContent>
            </w:r>
            <w:r>
              <w:rPr>
                <w:b w:val="0"/>
                <w:color w:val="auto"/>
                <w:sz w:val="21"/>
              </w:rPr>
              <mc:AlternateContent>
                <mc:Choice Requires="wps">
                  <w:drawing>
                    <wp:anchor distT="0" distB="0" distL="114300" distR="114300" simplePos="0" relativeHeight="251670528" behindDoc="0" locked="0" layoutInCell="1" allowOverlap="1">
                      <wp:simplePos x="0" y="0"/>
                      <wp:positionH relativeFrom="column">
                        <wp:posOffset>2336800</wp:posOffset>
                      </wp:positionH>
                      <wp:positionV relativeFrom="paragraph">
                        <wp:posOffset>3178810</wp:posOffset>
                      </wp:positionV>
                      <wp:extent cx="593090" cy="273050"/>
                      <wp:effectExtent l="4445" t="4445" r="12065" b="14605"/>
                      <wp:wrapNone/>
                      <wp:docPr id="26" name="文本框 26"/>
                      <wp:cNvGraphicFramePr/>
                      <a:graphic xmlns:a="http://schemas.openxmlformats.org/drawingml/2006/main">
                        <a:graphicData uri="http://schemas.microsoft.com/office/word/2010/wordprocessingShape">
                          <wps:wsp>
                            <wps:cNvSpPr txBox="1"/>
                            <wps:spPr>
                              <a:xfrm>
                                <a:off x="0" y="0"/>
                                <a:ext cx="59309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2A9E44">
                                  <w:pPr>
                                    <w:rPr>
                                      <w:rFonts w:hint="default" w:eastAsia="宋体"/>
                                      <w:lang w:val="en-US" w:eastAsia="zh-CN"/>
                                    </w:rPr>
                                  </w:pPr>
                                  <w:r>
                                    <w:rPr>
                                      <w:rFonts w:hint="eastAsia" w:eastAsia="宋体"/>
                                      <w:lang w:val="en-US" w:eastAsia="zh-CN"/>
                                    </w:rPr>
                                    <w:t>机加工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pt;margin-top:250.3pt;height:21.5pt;width:46.7pt;z-index:251670528;mso-width-relative:page;mso-height-relative:page;" fillcolor="#FFFFFF [3201]" filled="t" stroked="t" coordsize="21600,21600" o:gfxdata="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yNgPdcA&#10;AAALAQAADwAAAAAAAAABACAAAAAiAAAAZHJzL2Rvd25yZXYueG1sUEsBAhQAFAAAAAgAh07iQEf7&#10;DedZAgAAuAQAAA4AAAAAAAAAAQAgAAAAJgEAAGRycy9lMm9Eb2MueG1sUEsFBgAAAAAGAAYAWQEA&#10;APEFAAAAAA==&#10;">
                      <v:fill on="t" focussize="0,0"/>
                      <v:stroke weight="0.5pt" color="#000000 [3204]" joinstyle="round"/>
                      <v:imagedata o:title=""/>
                      <o:lock v:ext="edit" aspectratio="f"/>
                      <v:textbox>
                        <w:txbxContent>
                          <w:p w14:paraId="492A9E44">
                            <w:pPr>
                              <w:rPr>
                                <w:rFonts w:hint="default" w:eastAsia="宋体"/>
                                <w:lang w:val="en-US" w:eastAsia="zh-CN"/>
                              </w:rPr>
                            </w:pPr>
                            <w:r>
                              <w:rPr>
                                <w:rFonts w:hint="eastAsia" w:eastAsia="宋体"/>
                                <w:lang w:val="en-US" w:eastAsia="zh-CN"/>
                              </w:rPr>
                              <w:t>机加工</w:t>
                            </w:r>
                          </w:p>
                        </w:txbxContent>
                      </v:textbox>
                    </v:shape>
                  </w:pict>
                </mc:Fallback>
              </mc:AlternateContent>
            </w:r>
            <w:r>
              <w:rPr>
                <w:b w:val="0"/>
                <w:color w:val="auto"/>
                <w:sz w:val="21"/>
              </w:rPr>
              <mc:AlternateContent>
                <mc:Choice Requires="wps">
                  <w:drawing>
                    <wp:anchor distT="0" distB="0" distL="114300" distR="114300" simplePos="0" relativeHeight="251668480" behindDoc="0" locked="0" layoutInCell="1" allowOverlap="1">
                      <wp:simplePos x="0" y="0"/>
                      <wp:positionH relativeFrom="column">
                        <wp:posOffset>2407920</wp:posOffset>
                      </wp:positionH>
                      <wp:positionV relativeFrom="paragraph">
                        <wp:posOffset>3704590</wp:posOffset>
                      </wp:positionV>
                      <wp:extent cx="479425" cy="273050"/>
                      <wp:effectExtent l="4445" t="4445" r="11430" b="14605"/>
                      <wp:wrapNone/>
                      <wp:docPr id="21" name="文本框 21"/>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01651E8A">
                                  <w:pPr>
                                    <w:rPr>
                                      <w:rFonts w:hint="default" w:eastAsia="宋体"/>
                                      <w:lang w:val="en-US" w:eastAsia="zh-CN"/>
                                    </w:rPr>
                                  </w:pPr>
                                  <w:r>
                                    <w:rPr>
                                      <w:rFonts w:hint="eastAsia"/>
                                      <w:lang w:val="en-US" w:eastAsia="zh-CN"/>
                                    </w:rPr>
                                    <w:t>振光</w:t>
                                  </w:r>
                                  <w:r>
                                    <w:rPr>
                                      <w:rFonts w:hint="eastAsia" w:eastAsia="宋体"/>
                                      <w:lang w:val="en-US" w:eastAsia="zh-CN"/>
                                    </w:rPr>
                                    <w:t>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6pt;margin-top:291.7pt;height:21.5pt;width:37.75pt;z-index:251668480;mso-width-relative:page;mso-height-relative:page;" fillcolor="#FFFFFF [3201]" filled="t" stroked="t" coordsize="21600,21600" o:gfxdata="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T/QJraAAAACwEAAA8AAAAAAAAAAQAgAAAAIgAAAGRycy9kb3ducmV2LnhtbFBLAQIU&#10;ABQAAAAIAIdO4kDOqBahYwIAANAEAAAOAAAAAAAAAAEAIAAAACkBAABkcnMvZTJvRG9jLnhtbFBL&#10;BQYAAAAABgAGAFkBAAD+BQAAAAA=&#10;">
                      <v:fill on="t" focussize="0,0"/>
                      <v:stroke weight="0.5pt" color="#000000 [3204]" joinstyle="round" dashstyle="dash"/>
                      <v:imagedata o:title=""/>
                      <o:lock v:ext="edit" aspectratio="f"/>
                      <v:textbox>
                        <w:txbxContent>
                          <w:p w14:paraId="01651E8A">
                            <w:pPr>
                              <w:rPr>
                                <w:rFonts w:hint="default" w:eastAsia="宋体"/>
                                <w:lang w:val="en-US" w:eastAsia="zh-CN"/>
                              </w:rPr>
                            </w:pPr>
                            <w:r>
                              <w:rPr>
                                <w:rFonts w:hint="eastAsia"/>
                                <w:lang w:val="en-US" w:eastAsia="zh-CN"/>
                              </w:rPr>
                              <w:t>振光</w:t>
                            </w:r>
                            <w:r>
                              <w:rPr>
                                <w:rFonts w:hint="eastAsia" w:eastAsia="宋体"/>
                                <w:lang w:val="en-US" w:eastAsia="zh-CN"/>
                              </w:rPr>
                              <w:t>光</w:t>
                            </w:r>
                          </w:p>
                        </w:txbxContent>
                      </v:textbox>
                    </v:shape>
                  </w:pict>
                </mc:Fallback>
              </mc:AlternateContent>
            </w:r>
            <w:r>
              <w:rPr>
                <w:b w:val="0"/>
                <w:color w:val="auto"/>
                <w:sz w:val="21"/>
              </w:rPr>
              <mc:AlternateContent>
                <mc:Choice Requires="wps">
                  <w:drawing>
                    <wp:anchor distT="0" distB="0" distL="114300" distR="114300" simplePos="0" relativeHeight="251669504" behindDoc="0" locked="0" layoutInCell="1" allowOverlap="1">
                      <wp:simplePos x="0" y="0"/>
                      <wp:positionH relativeFrom="column">
                        <wp:posOffset>2416810</wp:posOffset>
                      </wp:positionH>
                      <wp:positionV relativeFrom="paragraph">
                        <wp:posOffset>4216400</wp:posOffset>
                      </wp:positionV>
                      <wp:extent cx="479425" cy="273050"/>
                      <wp:effectExtent l="4445" t="4445" r="11430" b="14605"/>
                      <wp:wrapNone/>
                      <wp:docPr id="24" name="文本框 24"/>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17D8C0C2">
                                  <w:pPr>
                                    <w:rPr>
                                      <w:rFonts w:hint="default" w:eastAsia="宋体"/>
                                      <w:lang w:val="en-US" w:eastAsia="zh-CN"/>
                                    </w:rPr>
                                  </w:pPr>
                                  <w:r>
                                    <w:rPr>
                                      <w:rFonts w:hint="eastAsia"/>
                                      <w:lang w:val="en-US" w:eastAsia="zh-CN"/>
                                    </w:rPr>
                                    <w:t>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3pt;margin-top:332pt;height:21.5pt;width:37.75pt;z-index:251669504;mso-width-relative:page;mso-height-relative:page;" fillcolor="#FFFFFF [3201]" filled="t" stroked="t" coordsize="21600,21600" o:gfxdata="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bsdQn2AAAAAsBAAAPAAAAAAAAAAEAIAAAACIAAABkcnMvZG93bnJldi54bWxQSwECFAAU&#10;AAAACACHTuJA1Bz2uGMCAADQBAAADgAAAAAAAAABACAAAAAnAQAAZHJzL2Uyb0RvYy54bWxQSwUG&#10;AAAAAAYABgBZAQAA/AUAAAAA&#10;">
                      <v:fill on="t" focussize="0,0"/>
                      <v:stroke weight="0.5pt" color="#000000 [3204]" joinstyle="round" dashstyle="dash"/>
                      <v:imagedata o:title=""/>
                      <o:lock v:ext="edit" aspectratio="f"/>
                      <v:textbox>
                        <w:txbxContent>
                          <w:p w14:paraId="17D8C0C2">
                            <w:pPr>
                              <w:rPr>
                                <w:rFonts w:hint="default" w:eastAsia="宋体"/>
                                <w:lang w:val="en-US" w:eastAsia="zh-CN"/>
                              </w:rPr>
                            </w:pPr>
                            <w:r>
                              <w:rPr>
                                <w:rFonts w:hint="eastAsia"/>
                                <w:lang w:val="en-US" w:eastAsia="zh-CN"/>
                              </w:rPr>
                              <w:t>清洗</w:t>
                            </w:r>
                          </w:p>
                        </w:txbxContent>
                      </v:textbox>
                    </v:shape>
                  </w:pict>
                </mc:Fallback>
              </mc:AlternateContent>
            </w:r>
            <w:r>
              <w:rPr>
                <w:b w:val="0"/>
                <w:color w:val="auto"/>
                <w:sz w:val="21"/>
              </w:rPr>
              <mc:AlternateContent>
                <mc:Choice Requires="wps">
                  <w:drawing>
                    <wp:anchor distT="0" distB="0" distL="114300" distR="114300" simplePos="0" relativeHeight="251680768" behindDoc="0" locked="0" layoutInCell="1" allowOverlap="1">
                      <wp:simplePos x="0" y="0"/>
                      <wp:positionH relativeFrom="column">
                        <wp:posOffset>3191510</wp:posOffset>
                      </wp:positionH>
                      <wp:positionV relativeFrom="paragraph">
                        <wp:posOffset>1125855</wp:posOffset>
                      </wp:positionV>
                      <wp:extent cx="938530" cy="273050"/>
                      <wp:effectExtent l="0" t="0" r="13970" b="12700"/>
                      <wp:wrapNone/>
                      <wp:docPr id="54" name="文本框 54"/>
                      <wp:cNvGraphicFramePr/>
                      <a:graphic xmlns:a="http://schemas.openxmlformats.org/drawingml/2006/main">
                        <a:graphicData uri="http://schemas.microsoft.com/office/word/2010/wordprocessingShape">
                          <wps:wsp>
                            <wps:cNvSpPr txBox="1"/>
                            <wps:spPr>
                              <a:xfrm>
                                <a:off x="0" y="0"/>
                                <a:ext cx="93853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3EB146">
                                  <w:pPr>
                                    <w:rPr>
                                      <w:rFonts w:hint="default" w:eastAsia="宋体"/>
                                      <w:lang w:val="en-US" w:eastAsia="zh-CN"/>
                                    </w:rPr>
                                  </w:pPr>
                                  <w:r>
                                    <w:rPr>
                                      <w:rFonts w:hint="eastAsia"/>
                                      <w:lang w:val="en-US" w:eastAsia="zh-CN"/>
                                    </w:rPr>
                                    <w:t>G3、G4、S2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pt;margin-top:88.65pt;height:21.5pt;width:73.9pt;z-index:251680768;mso-width-relative:page;mso-height-relative:page;" fillcolor="#FFFFFF [3201]" filled="t" stroked="f" coordsize="21600,21600" o:gfxdata="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l791gAAAAsBAAAPAAAA&#10;AAAAAAEAIAAAACIAAABkcnMvZG93bnJldi54bWxQSwECFAAUAAAACACHTuJA9aH5RVACAACQBAAA&#10;DgAAAAAAAAABACAAAAAlAQAAZHJzL2Uyb0RvYy54bWxQSwUGAAAAAAYABgBZAQAA5wUAAAAA&#10;">
                      <v:fill on="t" focussize="0,0"/>
                      <v:stroke on="f" weight="0.5pt"/>
                      <v:imagedata o:title=""/>
                      <o:lock v:ext="edit" aspectratio="f"/>
                      <v:textbox>
                        <w:txbxContent>
                          <w:p w14:paraId="303EB146">
                            <w:pPr>
                              <w:rPr>
                                <w:rFonts w:hint="default" w:eastAsia="宋体"/>
                                <w:lang w:val="en-US" w:eastAsia="zh-CN"/>
                              </w:rPr>
                            </w:pPr>
                            <w:r>
                              <w:rPr>
                                <w:rFonts w:hint="eastAsia"/>
                                <w:lang w:val="en-US" w:eastAsia="zh-CN"/>
                              </w:rPr>
                              <w:t>G3、G4、S2</w:t>
                            </w:r>
                          </w:p>
                        </w:txbxContent>
                      </v:textbox>
                    </v:shape>
                  </w:pict>
                </mc:Fallback>
              </mc:AlternateContent>
            </w:r>
            <w:r>
              <w:rPr>
                <w:b w:val="0"/>
                <w:color w:val="auto"/>
                <w:sz w:val="21"/>
              </w:rPr>
              <mc:AlternateContent>
                <mc:Choice Requires="wps">
                  <w:drawing>
                    <wp:anchor distT="0" distB="0" distL="114300" distR="114300" simplePos="0" relativeHeight="251686912" behindDoc="0" locked="0" layoutInCell="1" allowOverlap="1">
                      <wp:simplePos x="0" y="0"/>
                      <wp:positionH relativeFrom="column">
                        <wp:posOffset>3220720</wp:posOffset>
                      </wp:positionH>
                      <wp:positionV relativeFrom="paragraph">
                        <wp:posOffset>4724400</wp:posOffset>
                      </wp:positionV>
                      <wp:extent cx="596900" cy="273050"/>
                      <wp:effectExtent l="0" t="0" r="0" b="6350"/>
                      <wp:wrapNone/>
                      <wp:docPr id="82" name="文本框 82"/>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C8CF61">
                                  <w:pPr>
                                    <w:rPr>
                                      <w:rFonts w:hint="default" w:eastAsia="宋体"/>
                                      <w:lang w:val="en-US" w:eastAsia="zh-CN"/>
                                    </w:rPr>
                                  </w:pPr>
                                  <w:r>
                                    <w:rPr>
                                      <w:rFonts w:hint="default"/>
                                      <w:lang w:val="en-US" w:eastAsia="zh-CN"/>
                                    </w:rPr>
                                    <w:t>S</w:t>
                                  </w: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6pt;margin-top:372pt;height:21.5pt;width:47pt;z-index:251686912;mso-width-relative:page;mso-height-relative:page;" fillcolor="#FFFFFF [3201]" filled="t" stroked="f" coordsize="21600,21600" o:gfxdata="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c73s81QAAAAsBAAAPAAAA&#10;AAAAAAEAIAAAACIAAABkcnMvZG93bnJldi54bWxQSwECFAAUAAAACACHTuJAII6421ECAACQBAAA&#10;DgAAAAAAAAABACAAAAAkAQAAZHJzL2Uyb0RvYy54bWxQSwUGAAAAAAYABgBZAQAA5wUAAAAA&#10;">
                      <v:fill on="t" focussize="0,0"/>
                      <v:stroke on="f" weight="0.5pt"/>
                      <v:imagedata o:title=""/>
                      <o:lock v:ext="edit" aspectratio="f"/>
                      <v:textbox>
                        <w:txbxContent>
                          <w:p w14:paraId="1FC8CF61">
                            <w:pPr>
                              <w:rPr>
                                <w:rFonts w:hint="default" w:eastAsia="宋体"/>
                                <w:lang w:val="en-US" w:eastAsia="zh-CN"/>
                              </w:rPr>
                            </w:pPr>
                            <w:r>
                              <w:rPr>
                                <w:rFonts w:hint="default"/>
                                <w:lang w:val="en-US" w:eastAsia="zh-CN"/>
                              </w:rPr>
                              <w:t>S</w:t>
                            </w:r>
                            <w:r>
                              <w:rPr>
                                <w:rFonts w:hint="eastAsia"/>
                                <w:lang w:val="en-US" w:eastAsia="zh-CN"/>
                              </w:rPr>
                              <w:t>6</w:t>
                            </w:r>
                          </w:p>
                        </w:txbxContent>
                      </v:textbox>
                    </v:shape>
                  </w:pict>
                </mc:Fallback>
              </mc:AlternateContent>
            </w:r>
            <w:r>
              <w:rPr>
                <w:b w:val="0"/>
                <w:color w:val="auto"/>
                <w:sz w:val="21"/>
              </w:rPr>
              <mc:AlternateContent>
                <mc:Choice Requires="wps">
                  <w:drawing>
                    <wp:anchor distT="0" distB="0" distL="114300" distR="114300" simplePos="0" relativeHeight="251684864" behindDoc="0" locked="0" layoutInCell="1" allowOverlap="1">
                      <wp:simplePos x="0" y="0"/>
                      <wp:positionH relativeFrom="column">
                        <wp:posOffset>3199765</wp:posOffset>
                      </wp:positionH>
                      <wp:positionV relativeFrom="paragraph">
                        <wp:posOffset>3703320</wp:posOffset>
                      </wp:positionV>
                      <wp:extent cx="770255" cy="273050"/>
                      <wp:effectExtent l="0" t="0" r="4445" b="6350"/>
                      <wp:wrapNone/>
                      <wp:docPr id="80" name="文本框 80"/>
                      <wp:cNvGraphicFramePr/>
                      <a:graphic xmlns:a="http://schemas.openxmlformats.org/drawingml/2006/main">
                        <a:graphicData uri="http://schemas.microsoft.com/office/word/2010/wordprocessingShape">
                          <wps:wsp>
                            <wps:cNvSpPr txBox="1"/>
                            <wps:spPr>
                              <a:xfrm>
                                <a:off x="0" y="0"/>
                                <a:ext cx="77025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7A44AD">
                                  <w:pPr>
                                    <w:rPr>
                                      <w:rFonts w:hint="default" w:eastAsia="宋体"/>
                                      <w:lang w:val="en-US" w:eastAsia="zh-CN"/>
                                    </w:rPr>
                                  </w:pPr>
                                  <w:r>
                                    <w:rPr>
                                      <w:rFonts w:hint="eastAsia"/>
                                      <w:lang w:val="en-US" w:eastAsia="zh-CN"/>
                                    </w:rPr>
                                    <w:t>W1、G7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291.6pt;height:21.5pt;width:60.65pt;z-index:251684864;mso-width-relative:page;mso-height-relative:page;" fillcolor="#FFFFFF [3201]" filled="t" stroked="f" coordsize="21600,21600" o:gfxdata="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nFx9PVAAAACwEAAA8AAAAA&#10;AAAAAQAgAAAAIgAAAGRycy9kb3ducmV2LnhtbFBLAQIUABQAAAAIAIdO4kCdCBcqUAIAAJAEAAAO&#10;AAAAAAAAAAEAIAAAACQBAABkcnMvZTJvRG9jLnhtbFBLBQYAAAAABgAGAFkBAADmBQAAAAA=&#10;">
                      <v:fill on="t" focussize="0,0"/>
                      <v:stroke on="f" weight="0.5pt"/>
                      <v:imagedata o:title=""/>
                      <o:lock v:ext="edit" aspectratio="f"/>
                      <v:textbox>
                        <w:txbxContent>
                          <w:p w14:paraId="307A44AD">
                            <w:pPr>
                              <w:rPr>
                                <w:rFonts w:hint="default" w:eastAsia="宋体"/>
                                <w:lang w:val="en-US" w:eastAsia="zh-CN"/>
                              </w:rPr>
                            </w:pPr>
                            <w:r>
                              <w:rPr>
                                <w:rFonts w:hint="eastAsia"/>
                                <w:lang w:val="en-US" w:eastAsia="zh-CN"/>
                              </w:rPr>
                              <w:t>W1、G7</w:t>
                            </w:r>
                          </w:p>
                        </w:txbxContent>
                      </v:textbox>
                    </v:shape>
                  </w:pict>
                </mc:Fallback>
              </mc:AlternateContent>
            </w:r>
            <w:r>
              <w:rPr>
                <w:b w:val="0"/>
                <w:color w:val="auto"/>
                <w:sz w:val="21"/>
              </w:rPr>
              <mc:AlternateContent>
                <mc:Choice Requires="wps">
                  <w:drawing>
                    <wp:anchor distT="0" distB="0" distL="114300" distR="114300" simplePos="0" relativeHeight="251682816" behindDoc="0" locked="0" layoutInCell="1" allowOverlap="1">
                      <wp:simplePos x="0" y="0"/>
                      <wp:positionH relativeFrom="column">
                        <wp:posOffset>3228975</wp:posOffset>
                      </wp:positionH>
                      <wp:positionV relativeFrom="paragraph">
                        <wp:posOffset>2675255</wp:posOffset>
                      </wp:positionV>
                      <wp:extent cx="596900" cy="273050"/>
                      <wp:effectExtent l="0" t="0" r="0" b="6350"/>
                      <wp:wrapNone/>
                      <wp:docPr id="78" name="文本框 78"/>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63295D">
                                  <w:pPr>
                                    <w:rPr>
                                      <w:rFonts w:hint="default" w:eastAsia="宋体"/>
                                      <w:lang w:val="en-US" w:eastAsia="zh-CN"/>
                                    </w:rPr>
                                  </w:pPr>
                                  <w:r>
                                    <w:rPr>
                                      <w:rFonts w:hint="eastAsia"/>
                                      <w:lang w:val="en-US" w:eastAsia="zh-CN"/>
                                    </w:rPr>
                                    <w:t>G6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25pt;margin-top:210.65pt;height:21.5pt;width:47pt;z-index:251682816;mso-width-relative:page;mso-height-relative:page;" fillcolor="#FFFFFF [3201]" filled="t" stroked="f" coordsize="21600,21600" o:gfxdata="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CKk91gAAAAsBAAAPAAAA&#10;AAAAAAEAIAAAACIAAABkcnMvZG93bnJldi54bWxQSwECFAAUAAAACACHTuJApJMUx1ACAACQBAAA&#10;DgAAAAAAAAABACAAAAAlAQAAZHJzL2Uyb0RvYy54bWxQSwUGAAAAAAYABgBZAQAA5wUAAAAA&#10;">
                      <v:fill on="t" focussize="0,0"/>
                      <v:stroke on="f" weight="0.5pt"/>
                      <v:imagedata o:title=""/>
                      <o:lock v:ext="edit" aspectratio="f"/>
                      <v:textbox>
                        <w:txbxContent>
                          <w:p w14:paraId="0363295D">
                            <w:pPr>
                              <w:rPr>
                                <w:rFonts w:hint="default" w:eastAsia="宋体"/>
                                <w:lang w:val="en-US" w:eastAsia="zh-CN"/>
                              </w:rPr>
                            </w:pPr>
                            <w:r>
                              <w:rPr>
                                <w:rFonts w:hint="eastAsia"/>
                                <w:lang w:val="en-US" w:eastAsia="zh-CN"/>
                              </w:rPr>
                              <w:t>G6</w:t>
                            </w:r>
                          </w:p>
                        </w:txbxContent>
                      </v:textbox>
                    </v:shape>
                  </w:pict>
                </mc:Fallback>
              </mc:AlternateContent>
            </w:r>
            <w:r>
              <w:rPr>
                <w:b w:val="0"/>
                <w:color w:val="auto"/>
                <w:sz w:val="21"/>
              </w:rPr>
              <mc:AlternateContent>
                <mc:Choice Requires="wps">
                  <w:drawing>
                    <wp:anchor distT="0" distB="0" distL="114300" distR="114300" simplePos="0" relativeHeight="251681792" behindDoc="0" locked="0" layoutInCell="1" allowOverlap="1">
                      <wp:simplePos x="0" y="0"/>
                      <wp:positionH relativeFrom="column">
                        <wp:posOffset>3212465</wp:posOffset>
                      </wp:positionH>
                      <wp:positionV relativeFrom="paragraph">
                        <wp:posOffset>2159000</wp:posOffset>
                      </wp:positionV>
                      <wp:extent cx="596900" cy="273050"/>
                      <wp:effectExtent l="0" t="0" r="0" b="6350"/>
                      <wp:wrapNone/>
                      <wp:docPr id="56" name="文本框 56"/>
                      <wp:cNvGraphicFramePr/>
                      <a:graphic xmlns:a="http://schemas.openxmlformats.org/drawingml/2006/main">
                        <a:graphicData uri="http://schemas.microsoft.com/office/word/2010/wordprocessingShape">
                          <wps:wsp>
                            <wps:cNvSpPr txBox="1"/>
                            <wps:spPr>
                              <a:xfrm>
                                <a:off x="0" y="0"/>
                                <a:ext cx="596900"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8FDC81">
                                  <w:pPr>
                                    <w:rPr>
                                      <w:rFonts w:hint="default" w:eastAsia="宋体"/>
                                      <w:lang w:val="en-US" w:eastAsia="zh-CN"/>
                                    </w:rPr>
                                  </w:pPr>
                                  <w:r>
                                    <w:rPr>
                                      <w:rFonts w:hint="eastAsia"/>
                                      <w:lang w:val="en-US" w:eastAsia="zh-CN"/>
                                    </w:rPr>
                                    <w:t>G5、S3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95pt;margin-top:170pt;height:21.5pt;width:47pt;z-index:251681792;mso-width-relative:page;mso-height-relative:page;" fillcolor="#FFFFFF [3201]" filled="t" stroked="f" coordsize="21600,21600" o:gfxdata="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62TCdQAAAALAQAADwAAAAAA&#10;AAABACAAAAAiAAAAZHJzL2Rvd25yZXYueG1sUEsBAhQAFAAAAAgAh07iQIuvbPJQAgAAkAQAAA4A&#10;AAAAAAAAAQAgAAAAIwEAAGRycy9lMm9Eb2MueG1sUEsFBgAAAAAGAAYAWQEAAOUFAAAAAA==&#10;">
                      <v:fill on="t" focussize="0,0"/>
                      <v:stroke on="f" weight="0.5pt"/>
                      <v:imagedata o:title=""/>
                      <o:lock v:ext="edit" aspectratio="f"/>
                      <v:textbox>
                        <w:txbxContent>
                          <w:p w14:paraId="608FDC81">
                            <w:pPr>
                              <w:rPr>
                                <w:rFonts w:hint="default" w:eastAsia="宋体"/>
                                <w:lang w:val="en-US" w:eastAsia="zh-CN"/>
                              </w:rPr>
                            </w:pPr>
                            <w:r>
                              <w:rPr>
                                <w:rFonts w:hint="eastAsia"/>
                                <w:lang w:val="en-US" w:eastAsia="zh-CN"/>
                              </w:rPr>
                              <w:t>G5、S3</w:t>
                            </w:r>
                          </w:p>
                        </w:txbxContent>
                      </v:textbox>
                    </v:shape>
                  </w:pict>
                </mc:Fallback>
              </mc:AlternateContent>
            </w:r>
            <w:r>
              <w:rPr>
                <w:b w:val="0"/>
                <w:color w:val="auto"/>
                <w:sz w:val="21"/>
              </w:rPr>
              <mc:AlternateContent>
                <mc:Choice Requires="wps">
                  <w:drawing>
                    <wp:anchor distT="0" distB="0" distL="114300" distR="114300" simplePos="0" relativeHeight="251679744" behindDoc="0" locked="0" layoutInCell="1" allowOverlap="1">
                      <wp:simplePos x="0" y="0"/>
                      <wp:positionH relativeFrom="column">
                        <wp:posOffset>3200400</wp:posOffset>
                      </wp:positionH>
                      <wp:positionV relativeFrom="paragraph">
                        <wp:posOffset>622300</wp:posOffset>
                      </wp:positionV>
                      <wp:extent cx="862965" cy="273050"/>
                      <wp:effectExtent l="0" t="0" r="635" b="6350"/>
                      <wp:wrapNone/>
                      <wp:docPr id="53" name="文本框 53"/>
                      <wp:cNvGraphicFramePr/>
                      <a:graphic xmlns:a="http://schemas.openxmlformats.org/drawingml/2006/main">
                        <a:graphicData uri="http://schemas.microsoft.com/office/word/2010/wordprocessingShape">
                          <wps:wsp>
                            <wps:cNvSpPr txBox="1"/>
                            <wps:spPr>
                              <a:xfrm>
                                <a:off x="0" y="0"/>
                                <a:ext cx="86296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4DAC50">
                                  <w:pPr>
                                    <w:rPr>
                                      <w:rFonts w:hint="default" w:eastAsia="宋体"/>
                                      <w:lang w:val="en-US" w:eastAsia="zh-CN"/>
                                    </w:rPr>
                                  </w:pPr>
                                  <w:r>
                                    <w:rPr>
                                      <w:rFonts w:hint="eastAsia"/>
                                      <w:lang w:val="en-US" w:eastAsia="zh-CN"/>
                                    </w:rPr>
                                    <w:t>G1、G2、S1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pt;margin-top:49pt;height:21.5pt;width:67.95pt;z-index:251679744;mso-width-relative:page;mso-height-relative:page;" fillcolor="#FFFFFF [3201]" filled="t" stroked="f" coordsize="21600,21600" o:gfxdata="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IDv5LWAAAACgEAAA8A&#10;AAAAAAAAAQAgAAAAIgAAAGRycy9kb3ducmV2LnhtbFBLAQIUABQAAAAIAIdO4kChACrMUgIAAJAE&#10;AAAOAAAAAAAAAAEAIAAAACUBAABkcnMvZTJvRG9jLnhtbFBLBQYAAAAABgAGAFkBAADpBQAAAAA=&#10;">
                      <v:fill on="t" focussize="0,0"/>
                      <v:stroke on="f" weight="0.5pt"/>
                      <v:imagedata o:title=""/>
                      <o:lock v:ext="edit" aspectratio="f"/>
                      <v:textbox>
                        <w:txbxContent>
                          <w:p w14:paraId="2C4DAC50">
                            <w:pPr>
                              <w:rPr>
                                <w:rFonts w:hint="default" w:eastAsia="宋体"/>
                                <w:lang w:val="en-US" w:eastAsia="zh-CN"/>
                              </w:rPr>
                            </w:pPr>
                            <w:r>
                              <w:rPr>
                                <w:rFonts w:hint="eastAsia"/>
                                <w:lang w:val="en-US" w:eastAsia="zh-CN"/>
                              </w:rPr>
                              <w:t>G1、G2、S1</w:t>
                            </w:r>
                          </w:p>
                        </w:txbxContent>
                      </v:textbox>
                    </v:shape>
                  </w:pict>
                </mc:Fallback>
              </mc:AlternateContent>
            </w:r>
            <w:r>
              <w:rPr>
                <w:b w:val="0"/>
                <w:color w:val="auto"/>
                <w:sz w:val="21"/>
              </w:rPr>
              <mc:AlternateContent>
                <mc:Choice Requires="wps">
                  <w:drawing>
                    <wp:anchor distT="0" distB="0" distL="114300" distR="114300" simplePos="0" relativeHeight="251673600" behindDoc="0" locked="0" layoutInCell="1" allowOverlap="1">
                      <wp:simplePos x="0" y="0"/>
                      <wp:positionH relativeFrom="column">
                        <wp:posOffset>2412365</wp:posOffset>
                      </wp:positionH>
                      <wp:positionV relativeFrom="paragraph">
                        <wp:posOffset>5748655</wp:posOffset>
                      </wp:positionV>
                      <wp:extent cx="479425" cy="273050"/>
                      <wp:effectExtent l="0" t="0" r="3175" b="6350"/>
                      <wp:wrapNone/>
                      <wp:docPr id="32" name="文本框 32"/>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93CC0B">
                                  <w:pPr>
                                    <w:rPr>
                                      <w:rFonts w:hint="default" w:eastAsia="宋体"/>
                                      <w:lang w:val="en-US" w:eastAsia="zh-CN"/>
                                    </w:rPr>
                                  </w:pPr>
                                  <w:r>
                                    <w:rPr>
                                      <w:rFonts w:hint="eastAsia" w:eastAsia="宋体"/>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5pt;margin-top:452.65pt;height:21.5pt;width:37.75pt;z-index:251673600;mso-width-relative:page;mso-height-relative:page;" fillcolor="#FFFFFF [3201]" filled="t" stroked="f" coordsize="21600,21600" o:gfxdata="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LO3TjXAAAACwEAAA8A&#10;AAAAAAAAAQAgAAAAIgAAAGRycy9kb3ducmV2LnhtbFBLAQIUABQAAAAIAIdO4kCcoJ71UQIAAJAE&#10;AAAOAAAAAAAAAAEAIAAAACYBAABkcnMvZTJvRG9jLnhtbFBLBQYAAAAABgAGAFkBAADpBQAAAAA=&#10;">
                      <v:fill on="t" focussize="0,0"/>
                      <v:stroke on="f" weight="0.5pt"/>
                      <v:imagedata o:title=""/>
                      <o:lock v:ext="edit" aspectratio="f"/>
                      <v:textbox>
                        <w:txbxContent>
                          <w:p w14:paraId="3193CC0B">
                            <w:pPr>
                              <w:rPr>
                                <w:rFonts w:hint="default" w:eastAsia="宋体"/>
                                <w:lang w:val="en-US" w:eastAsia="zh-CN"/>
                              </w:rPr>
                            </w:pPr>
                            <w:r>
                              <w:rPr>
                                <w:rFonts w:hint="eastAsia" w:eastAsia="宋体"/>
                                <w:lang w:val="en-US" w:eastAsia="zh-CN"/>
                              </w:rPr>
                              <w:t>成品</w:t>
                            </w:r>
                          </w:p>
                        </w:txbxContent>
                      </v:textbox>
                    </v:shape>
                  </w:pict>
                </mc:Fallback>
              </mc:AlternateContent>
            </w:r>
            <w:r>
              <w:rPr>
                <w:b w:val="0"/>
                <w:color w:val="auto"/>
                <w:sz w:val="21"/>
              </w:rPr>
              <mc:AlternateContent>
                <mc:Choice Requires="wps">
                  <w:drawing>
                    <wp:anchor distT="0" distB="0" distL="114300" distR="114300" simplePos="0" relativeHeight="251672576" behindDoc="0" locked="0" layoutInCell="1" allowOverlap="1">
                      <wp:simplePos x="0" y="0"/>
                      <wp:positionH relativeFrom="column">
                        <wp:posOffset>2412365</wp:posOffset>
                      </wp:positionH>
                      <wp:positionV relativeFrom="paragraph">
                        <wp:posOffset>5236845</wp:posOffset>
                      </wp:positionV>
                      <wp:extent cx="479425" cy="273050"/>
                      <wp:effectExtent l="4445" t="4445" r="11430" b="14605"/>
                      <wp:wrapNone/>
                      <wp:docPr id="30" name="文本框 30"/>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C2B0E6">
                                  <w:pPr>
                                    <w:rPr>
                                      <w:rFonts w:hint="default" w:eastAsia="宋体"/>
                                      <w:lang w:val="en-US" w:eastAsia="zh-CN"/>
                                    </w:rPr>
                                  </w:pPr>
                                  <w:r>
                                    <w:rPr>
                                      <w:rFonts w:hint="eastAsia" w:eastAsia="宋体"/>
                                      <w:lang w:val="en-US" w:eastAsia="zh-CN"/>
                                    </w:rPr>
                                    <w:t>打标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95pt;margin-top:412.35pt;height:21.5pt;width:37.75pt;z-index:251672576;mso-width-relative:page;mso-height-relative:page;" fillcolor="#FFFFFF [3201]" filled="t" stroked="t" coordsize="21600,21600" o:gfxdata="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f3uWB&#10;2QAAAAsBAAAPAAAAAAAAAAEAIAAAACIAAABkcnMvZG93bnJldi54bWxQSwECFAAUAAAACACHTuJA&#10;Ny+jHlkCAAC4BAAADgAAAAAAAAABACAAAAAoAQAAZHJzL2Uyb0RvYy54bWxQSwUGAAAAAAYABgBZ&#10;AQAA8wUAAAAA&#10;">
                      <v:fill on="t" focussize="0,0"/>
                      <v:stroke weight="0.5pt" color="#000000 [3204]" joinstyle="round"/>
                      <v:imagedata o:title=""/>
                      <o:lock v:ext="edit" aspectratio="f"/>
                      <v:textbox>
                        <w:txbxContent>
                          <w:p w14:paraId="5BC2B0E6">
                            <w:pPr>
                              <w:rPr>
                                <w:rFonts w:hint="default" w:eastAsia="宋体"/>
                                <w:lang w:val="en-US" w:eastAsia="zh-CN"/>
                              </w:rPr>
                            </w:pPr>
                            <w:r>
                              <w:rPr>
                                <w:rFonts w:hint="eastAsia" w:eastAsia="宋体"/>
                                <w:lang w:val="en-US" w:eastAsia="zh-CN"/>
                              </w:rPr>
                              <w:t>打标</w:t>
                            </w:r>
                          </w:p>
                        </w:txbxContent>
                      </v:textbox>
                    </v:shape>
                  </w:pict>
                </mc:Fallback>
              </mc:AlternateContent>
            </w:r>
            <w:r>
              <w:rPr>
                <w:b w:val="0"/>
                <w:color w:val="auto"/>
                <w:sz w:val="21"/>
              </w:rPr>
              <mc:AlternateContent>
                <mc:Choice Requires="wps">
                  <w:drawing>
                    <wp:anchor distT="0" distB="0" distL="114300" distR="114300" simplePos="0" relativeHeight="251671552" behindDoc="0" locked="0" layoutInCell="1" allowOverlap="1">
                      <wp:simplePos x="0" y="0"/>
                      <wp:positionH relativeFrom="column">
                        <wp:posOffset>2408555</wp:posOffset>
                      </wp:positionH>
                      <wp:positionV relativeFrom="paragraph">
                        <wp:posOffset>4725035</wp:posOffset>
                      </wp:positionV>
                      <wp:extent cx="479425" cy="273050"/>
                      <wp:effectExtent l="4445" t="4445" r="11430" b="14605"/>
                      <wp:wrapNone/>
                      <wp:docPr id="28" name="文本框 28"/>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EF7D65">
                                  <w:pPr>
                                    <w:rPr>
                                      <w:rFonts w:hint="default" w:eastAsia="宋体"/>
                                      <w:lang w:val="en-US" w:eastAsia="zh-CN"/>
                                    </w:rPr>
                                  </w:pPr>
                                  <w:r>
                                    <w:rPr>
                                      <w:rFonts w:hint="eastAsia" w:eastAsia="宋体"/>
                                      <w:lang w:val="en-US" w:eastAsia="zh-CN"/>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65pt;margin-top:372.05pt;height:21.5pt;width:37.75pt;z-index:251671552;mso-width-relative:page;mso-height-relative:page;" fillcolor="#FFFFFF [3201]" filled="t" stroked="t" coordsize="21600,21600" o:gfxdata="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n0OWE&#10;2AAAAAsBAAAPAAAAAAAAAAEAIAAAACIAAABkcnMvZG93bnJldi54bWxQSwECFAAUAAAACACHTuJA&#10;Nv4Z1loCAAC4BAAADgAAAAAAAAABACAAAAAnAQAAZHJzL2Uyb0RvYy54bWxQSwUGAAAAAAYABgBZ&#10;AQAA8wUAAAAA&#10;">
                      <v:fill on="t" focussize="0,0"/>
                      <v:stroke weight="0.5pt" color="#000000 [3204]" joinstyle="round"/>
                      <v:imagedata o:title=""/>
                      <o:lock v:ext="edit" aspectratio="f"/>
                      <v:textbox>
                        <w:txbxContent>
                          <w:p w14:paraId="28EF7D65">
                            <w:pPr>
                              <w:rPr>
                                <w:rFonts w:hint="default" w:eastAsia="宋体"/>
                                <w:lang w:val="en-US" w:eastAsia="zh-CN"/>
                              </w:rPr>
                            </w:pPr>
                            <w:r>
                              <w:rPr>
                                <w:rFonts w:hint="eastAsia" w:eastAsia="宋体"/>
                                <w:lang w:val="en-US" w:eastAsia="zh-CN"/>
                              </w:rPr>
                              <w:t>检验</w:t>
                            </w:r>
                          </w:p>
                        </w:txbxContent>
                      </v:textbox>
                    </v:shape>
                  </w:pict>
                </mc:Fallback>
              </mc:AlternateContent>
            </w:r>
            <w:r>
              <w:rPr>
                <w:b w:val="0"/>
                <w:color w:val="auto"/>
                <w:sz w:val="21"/>
              </w:rPr>
              <mc:AlternateContent>
                <mc:Choice Requires="wps">
                  <w:drawing>
                    <wp:anchor distT="0" distB="0" distL="114300" distR="114300" simplePos="0" relativeHeight="251667456" behindDoc="0" locked="0" layoutInCell="1" allowOverlap="1">
                      <wp:simplePos x="0" y="0"/>
                      <wp:positionH relativeFrom="column">
                        <wp:posOffset>2395220</wp:posOffset>
                      </wp:positionH>
                      <wp:positionV relativeFrom="paragraph">
                        <wp:posOffset>2671445</wp:posOffset>
                      </wp:positionV>
                      <wp:extent cx="479425" cy="273050"/>
                      <wp:effectExtent l="4445" t="4445" r="11430" b="14605"/>
                      <wp:wrapNone/>
                      <wp:docPr id="19" name="文本框 19"/>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4EBCD0EF">
                                  <w:pPr>
                                    <w:rPr>
                                      <w:rFonts w:hint="default" w:eastAsia="宋体"/>
                                      <w:lang w:val="en-US" w:eastAsia="zh-CN"/>
                                    </w:rPr>
                                  </w:pPr>
                                  <w:r>
                                    <w:rPr>
                                      <w:rFonts w:hint="eastAsia"/>
                                      <w:lang w:val="en-US" w:eastAsia="zh-CN"/>
                                    </w:rPr>
                                    <w:t>抛丸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pt;margin-top:210.35pt;height:21.5pt;width:37.75pt;z-index:251667456;mso-width-relative:page;mso-height-relative:page;" fillcolor="#FFFFFF [3201]" filled="t" stroked="t" coordsize="21600,21600" o:gfxdata="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sMx3S2AAAAAsBAAAPAAAAAAAAAAEAIAAAACIAAABkcnMvZG93bnJldi54bWxQSwECFAAU&#10;AAAACACHTuJA8dSOpGMCAADQBAAADgAAAAAAAAABACAAAAAnAQAAZHJzL2Uyb0RvYy54bWxQSwUG&#10;AAAAAAYABgBZAQAA/AUAAAAA&#10;">
                      <v:fill on="t" focussize="0,0"/>
                      <v:stroke weight="0.5pt" color="#000000 [3204]" joinstyle="round" dashstyle="dash"/>
                      <v:imagedata o:title=""/>
                      <o:lock v:ext="edit" aspectratio="f"/>
                      <v:textbox>
                        <w:txbxContent>
                          <w:p w14:paraId="4EBCD0EF">
                            <w:pPr>
                              <w:rPr>
                                <w:rFonts w:hint="default" w:eastAsia="宋体"/>
                                <w:lang w:val="en-US" w:eastAsia="zh-CN"/>
                              </w:rPr>
                            </w:pPr>
                            <w:r>
                              <w:rPr>
                                <w:rFonts w:hint="eastAsia"/>
                                <w:lang w:val="en-US" w:eastAsia="zh-CN"/>
                              </w:rPr>
                              <w:t>抛丸</w:t>
                            </w:r>
                          </w:p>
                        </w:txbxContent>
                      </v:textbox>
                    </v:shape>
                  </w:pict>
                </mc:Fallback>
              </mc:AlternateContent>
            </w:r>
            <w:r>
              <w:rPr>
                <w:b w:val="0"/>
                <w:color w:val="auto"/>
                <w:sz w:val="21"/>
              </w:rPr>
              <mc:AlternateContent>
                <mc:Choice Requires="wps">
                  <w:drawing>
                    <wp:anchor distT="0" distB="0" distL="114300" distR="114300" simplePos="0" relativeHeight="251666432" behindDoc="0" locked="0" layoutInCell="1" allowOverlap="1">
                      <wp:simplePos x="0" y="0"/>
                      <wp:positionH relativeFrom="column">
                        <wp:posOffset>2395855</wp:posOffset>
                      </wp:positionH>
                      <wp:positionV relativeFrom="paragraph">
                        <wp:posOffset>2150745</wp:posOffset>
                      </wp:positionV>
                      <wp:extent cx="479425" cy="273050"/>
                      <wp:effectExtent l="4445" t="4445" r="11430" b="14605"/>
                      <wp:wrapNone/>
                      <wp:docPr id="17" name="文本框 17"/>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5EBAD4">
                                  <w:pPr>
                                    <w:rPr>
                                      <w:rFonts w:hint="default" w:eastAsia="宋体"/>
                                      <w:lang w:val="en-US" w:eastAsia="zh-CN"/>
                                    </w:rPr>
                                  </w:pPr>
                                  <w:r>
                                    <w:rPr>
                                      <w:rFonts w:hint="eastAsia"/>
                                      <w:lang w:val="en-US" w:eastAsia="zh-CN"/>
                                    </w:rPr>
                                    <w:t>打磨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5pt;margin-top:169.35pt;height:21.5pt;width:37.75pt;z-index:251666432;mso-width-relative:page;mso-height-relative:page;" fillcolor="#FFFFFF [3201]" filled="t" stroked="t" coordsize="21600,21600" o:gfxdata="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WHLu9cA&#10;AAALAQAADwAAAAAAAAABACAAAAAiAAAAZHJzL2Rvd25yZXYueG1sUEsBAhQAFAAAAAgAh07iQKVe&#10;/k9ZAgAAuAQAAA4AAAAAAAAAAQAgAAAAJgEAAGRycy9lMm9Eb2MueG1sUEsFBgAAAAAGAAYAWQEA&#10;APEFAAAAAA==&#10;">
                      <v:fill on="t" focussize="0,0"/>
                      <v:stroke weight="0.5pt" color="#000000 [3204]" joinstyle="round"/>
                      <v:imagedata o:title=""/>
                      <o:lock v:ext="edit" aspectratio="f"/>
                      <v:textbox>
                        <w:txbxContent>
                          <w:p w14:paraId="035EBAD4">
                            <w:pPr>
                              <w:rPr>
                                <w:rFonts w:hint="default" w:eastAsia="宋体"/>
                                <w:lang w:val="en-US" w:eastAsia="zh-CN"/>
                              </w:rPr>
                            </w:pPr>
                            <w:r>
                              <w:rPr>
                                <w:rFonts w:hint="eastAsia"/>
                                <w:lang w:val="en-US" w:eastAsia="zh-CN"/>
                              </w:rPr>
                              <w:t>打磨</w:t>
                            </w:r>
                          </w:p>
                        </w:txbxContent>
                      </v:textbox>
                    </v:shape>
                  </w:pict>
                </mc:Fallback>
              </mc:AlternateContent>
            </w:r>
            <w:r>
              <w:rPr>
                <w:b w:val="0"/>
                <w:color w:val="auto"/>
                <w:sz w:val="21"/>
              </w:rPr>
              <mc:AlternateContent>
                <mc:Choice Requires="wps">
                  <w:drawing>
                    <wp:anchor distT="0" distB="0" distL="114300" distR="114300" simplePos="0" relativeHeight="251665408" behindDoc="0" locked="0" layoutInCell="1" allowOverlap="1">
                      <wp:simplePos x="0" y="0"/>
                      <wp:positionH relativeFrom="column">
                        <wp:posOffset>2394585</wp:posOffset>
                      </wp:positionH>
                      <wp:positionV relativeFrom="paragraph">
                        <wp:posOffset>1630045</wp:posOffset>
                      </wp:positionV>
                      <wp:extent cx="479425" cy="273050"/>
                      <wp:effectExtent l="4445" t="4445" r="11430" b="14605"/>
                      <wp:wrapNone/>
                      <wp:docPr id="15" name="文本框 15"/>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B44343">
                                  <w:pPr>
                                    <w:rPr>
                                      <w:rFonts w:hint="default" w:eastAsia="宋体"/>
                                      <w:lang w:val="en-US" w:eastAsia="zh-CN"/>
                                    </w:rPr>
                                  </w:pPr>
                                  <w:r>
                                    <w:rPr>
                                      <w:rFonts w:hint="eastAsia"/>
                                      <w:lang w:val="en-US" w:eastAsia="zh-CN"/>
                                    </w:rPr>
                                    <w:t>脱模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5pt;margin-top:128.35pt;height:21.5pt;width:37.75pt;z-index:251665408;mso-width-relative:page;mso-height-relative:page;" fillcolor="#FFFFFF [3201]" filled="t" stroked="t" coordsize="21600,21600" o:gfxdata="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dbQptgA&#10;AAALAQAADwAAAAAAAAABACAAAAAiAAAAZHJzL2Rvd25yZXYueG1sUEsBAhQAFAAAAAgAh07iQGyG&#10;9fpYAgAAuAQAAA4AAAAAAAAAAQAgAAAAJwEAAGRycy9lMm9Eb2MueG1sUEsFBgAAAAAGAAYAWQEA&#10;APEFAAAAAA==&#10;">
                      <v:fill on="t" focussize="0,0"/>
                      <v:stroke weight="0.5pt" color="#000000 [3204]" joinstyle="round"/>
                      <v:imagedata o:title=""/>
                      <o:lock v:ext="edit" aspectratio="f"/>
                      <v:textbox>
                        <w:txbxContent>
                          <w:p w14:paraId="62B44343">
                            <w:pPr>
                              <w:rPr>
                                <w:rFonts w:hint="default" w:eastAsia="宋体"/>
                                <w:lang w:val="en-US" w:eastAsia="zh-CN"/>
                              </w:rPr>
                            </w:pPr>
                            <w:r>
                              <w:rPr>
                                <w:rFonts w:hint="eastAsia"/>
                                <w:lang w:val="en-US" w:eastAsia="zh-CN"/>
                              </w:rPr>
                              <w:t>脱模</w:t>
                            </w:r>
                          </w:p>
                        </w:txbxContent>
                      </v:textbox>
                    </v:shape>
                  </w:pict>
                </mc:Fallback>
              </mc:AlternateContent>
            </w:r>
            <w:r>
              <w:rPr>
                <w:b w:val="0"/>
                <w:color w:val="auto"/>
                <w:sz w:val="21"/>
              </w:rPr>
              <mc:AlternateContent>
                <mc:Choice Requires="wps">
                  <w:drawing>
                    <wp:anchor distT="0" distB="0" distL="114300" distR="114300" simplePos="0" relativeHeight="251664384" behindDoc="0" locked="0" layoutInCell="1" allowOverlap="1">
                      <wp:simplePos x="0" y="0"/>
                      <wp:positionH relativeFrom="column">
                        <wp:posOffset>2386330</wp:posOffset>
                      </wp:positionH>
                      <wp:positionV relativeFrom="paragraph">
                        <wp:posOffset>1113790</wp:posOffset>
                      </wp:positionV>
                      <wp:extent cx="479425" cy="273050"/>
                      <wp:effectExtent l="4445" t="4445" r="11430" b="14605"/>
                      <wp:wrapNone/>
                      <wp:docPr id="13" name="文本框 13"/>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459D3522">
                                  <w:pPr>
                                    <w:rPr>
                                      <w:rFonts w:hint="default" w:eastAsia="宋体"/>
                                      <w:lang w:val="en-US" w:eastAsia="zh-CN"/>
                                    </w:rPr>
                                  </w:pPr>
                                  <w:r>
                                    <w:rPr>
                                      <w:rFonts w:hint="eastAsia"/>
                                      <w:lang w:val="en-US" w:eastAsia="zh-CN"/>
                                    </w:rPr>
                                    <w:t>压铸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9pt;margin-top:87.7pt;height:21.5pt;width:37.75pt;z-index:251664384;mso-width-relative:page;mso-height-relative:page;" fillcolor="#FFFFFF [3201]" filled="t" stroked="t" coordsize="21600,21600" o:gfxdata="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lF/wtkAAAALAQAADwAAAAAAAAABACAAAAAiAAAAZHJzL2Rvd25yZXYueG1sUEsBAhQA&#10;FAAAAAgAh07iQMW8T5djAgAA0AQAAA4AAAAAAAAAAQAgAAAAKAEAAGRycy9lMm9Eb2MueG1sUEsF&#10;BgAAAAAGAAYAWQEAAP0FAAAAAA==&#10;">
                      <v:fill on="t" focussize="0,0"/>
                      <v:stroke weight="0.5pt" color="#000000 [3204]" joinstyle="round" dashstyle="dash"/>
                      <v:imagedata o:title=""/>
                      <o:lock v:ext="edit" aspectratio="f"/>
                      <v:textbox>
                        <w:txbxContent>
                          <w:p w14:paraId="459D3522">
                            <w:pPr>
                              <w:rPr>
                                <w:rFonts w:hint="default" w:eastAsia="宋体"/>
                                <w:lang w:val="en-US" w:eastAsia="zh-CN"/>
                              </w:rPr>
                            </w:pPr>
                            <w:r>
                              <w:rPr>
                                <w:rFonts w:hint="eastAsia"/>
                                <w:lang w:val="en-US" w:eastAsia="zh-CN"/>
                              </w:rPr>
                              <w:t>压铸</w:t>
                            </w:r>
                          </w:p>
                        </w:txbxContent>
                      </v:textbox>
                    </v:shape>
                  </w:pict>
                </mc:Fallback>
              </mc:AlternateContent>
            </w:r>
            <w:r>
              <w:rPr>
                <w:b w:val="0"/>
                <w:color w:val="auto"/>
                <w:sz w:val="21"/>
              </w:rPr>
              <mc:AlternateContent>
                <mc:Choice Requires="wps">
                  <w:drawing>
                    <wp:anchor distT="0" distB="0" distL="114300" distR="114300" simplePos="0" relativeHeight="251663360" behindDoc="0" locked="0" layoutInCell="1" allowOverlap="1">
                      <wp:simplePos x="0" y="0"/>
                      <wp:positionH relativeFrom="column">
                        <wp:posOffset>2385060</wp:posOffset>
                      </wp:positionH>
                      <wp:positionV relativeFrom="paragraph">
                        <wp:posOffset>617855</wp:posOffset>
                      </wp:positionV>
                      <wp:extent cx="479425" cy="273050"/>
                      <wp:effectExtent l="4445" t="4445" r="11430" b="14605"/>
                      <wp:wrapNone/>
                      <wp:docPr id="11" name="文本框 11"/>
                      <wp:cNvGraphicFramePr/>
                      <a:graphic xmlns:a="http://schemas.openxmlformats.org/drawingml/2006/main">
                        <a:graphicData uri="http://schemas.microsoft.com/office/word/2010/wordprocessingShape">
                          <wps:wsp>
                            <wps:cNvSpPr txBox="1"/>
                            <wps:spPr>
                              <a:xfrm>
                                <a:off x="0" y="0"/>
                                <a:ext cx="479425" cy="273050"/>
                              </a:xfrm>
                              <a:prstGeom prst="rect">
                                <a:avLst/>
                              </a:prstGeom>
                              <a:solidFill>
                                <a:schemeClr val="lt1"/>
                              </a:solidFill>
                              <a:ln w="6350">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7550A44F">
                                  <w:pPr>
                                    <w:rPr>
                                      <w:rFonts w:hint="default" w:eastAsia="宋体"/>
                                      <w:lang w:val="en-US" w:eastAsia="zh-CN"/>
                                    </w:rPr>
                                  </w:pPr>
                                  <w:r>
                                    <w:rPr>
                                      <w:rFonts w:hint="eastAsia"/>
                                      <w:lang w:val="en-US" w:eastAsia="zh-CN"/>
                                    </w:rPr>
                                    <w:t>熔化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8pt;margin-top:48.65pt;height:21.5pt;width:37.75pt;z-index:251663360;mso-width-relative:page;mso-height-relative:page;" fillcolor="#FFFFFF [3201]" filled="t" stroked="t" coordsize="21600,21600" o:gfxdata="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MneaHYAAAACgEAAA8AAAAAAAAAAQAgAAAAIgAAAGRycy9kb3ducmV2LnhtbFBLAQIUABQA&#10;AAAIAIdO4kBLohBDYgIAANAEAAAOAAAAAAAAAAEAIAAAACcBAABkcnMvZTJvRG9jLnhtbFBLBQYA&#10;AAAABgAGAFkBAAD7BQAAAAA=&#10;">
                      <v:fill on="t" focussize="0,0"/>
                      <v:stroke weight="0.5pt" color="#000000 [3204]" joinstyle="round" dashstyle="dash"/>
                      <v:imagedata o:title=""/>
                      <o:lock v:ext="edit" aspectratio="f"/>
                      <v:textbox>
                        <w:txbxContent>
                          <w:p w14:paraId="7550A44F">
                            <w:pPr>
                              <w:rPr>
                                <w:rFonts w:hint="default" w:eastAsia="宋体"/>
                                <w:lang w:val="en-US" w:eastAsia="zh-CN"/>
                              </w:rPr>
                            </w:pPr>
                            <w:r>
                              <w:rPr>
                                <w:rFonts w:hint="eastAsia"/>
                                <w:lang w:val="en-US" w:eastAsia="zh-CN"/>
                              </w:rPr>
                              <w:t>熔化</w:t>
                            </w:r>
                          </w:p>
                        </w:txbxContent>
                      </v:textbox>
                    </v:shape>
                  </w:pict>
                </mc:Fallback>
              </mc:AlternateContent>
            </w:r>
            <w:r>
              <w:rPr>
                <w:b w:val="0"/>
                <w:color w:val="auto"/>
                <w:sz w:val="21"/>
              </w:rPr>
              <mc:AlternateContent>
                <mc:Choice Requires="wps">
                  <w:drawing>
                    <wp:anchor distT="0" distB="0" distL="114300" distR="114300" simplePos="0" relativeHeight="251662336" behindDoc="0" locked="0" layoutInCell="1" allowOverlap="1">
                      <wp:simplePos x="0" y="0"/>
                      <wp:positionH relativeFrom="column">
                        <wp:posOffset>2385060</wp:posOffset>
                      </wp:positionH>
                      <wp:positionV relativeFrom="paragraph">
                        <wp:posOffset>114300</wp:posOffset>
                      </wp:positionV>
                      <wp:extent cx="479425" cy="273050"/>
                      <wp:effectExtent l="0" t="0" r="3175" b="6350"/>
                      <wp:wrapNone/>
                      <wp:docPr id="9" name="文本框 9"/>
                      <wp:cNvGraphicFramePr/>
                      <a:graphic xmlns:a="http://schemas.openxmlformats.org/drawingml/2006/main">
                        <a:graphicData uri="http://schemas.microsoft.com/office/word/2010/wordprocessingShape">
                          <wps:wsp>
                            <wps:cNvSpPr txBox="1"/>
                            <wps:spPr>
                              <a:xfrm>
                                <a:off x="3329305" y="1177290"/>
                                <a:ext cx="479425" cy="273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A446A6">
                                  <w:pPr>
                                    <w:rPr>
                                      <w:rFonts w:hint="eastAsia" w:eastAsia="宋体"/>
                                      <w:lang w:val="en-US" w:eastAsia="zh-CN"/>
                                    </w:rPr>
                                  </w:pPr>
                                  <w:r>
                                    <w:rPr>
                                      <w:rFonts w:hint="eastAsia"/>
                                      <w:lang w:val="en-US" w:eastAsia="zh-CN"/>
                                    </w:rPr>
                                    <w:t>铝锭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8pt;margin-top:9pt;height:21.5pt;width:37.75pt;z-index:251662336;mso-width-relative:page;mso-height-relative:page;" fillcolor="#FFFFFF [3201]" filled="t" stroked="f" coordsize="21600,21600" o:gfxdata="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nhX1tQAAAAJ&#10;AQAADwAAAAAAAAABACAAAAAiAAAAZHJzL2Rvd25yZXYueG1sUEsBAhQAFAAAAAgAh07iQOY6Gm9Z&#10;AgAAmgQAAA4AAAAAAAAAAQAgAAAAIwEAAGRycy9lMm9Eb2MueG1sUEsFBgAAAAAGAAYAWQEAAO4F&#10;AAAAAA==&#10;">
                      <v:fill on="t" focussize="0,0"/>
                      <v:stroke on="f" weight="0.5pt"/>
                      <v:imagedata o:title=""/>
                      <o:lock v:ext="edit" aspectratio="f"/>
                      <v:textbox>
                        <w:txbxContent>
                          <w:p w14:paraId="41A446A6">
                            <w:pPr>
                              <w:rPr>
                                <w:rFonts w:hint="eastAsia" w:eastAsia="宋体"/>
                                <w:lang w:val="en-US" w:eastAsia="zh-CN"/>
                              </w:rPr>
                            </w:pPr>
                            <w:r>
                              <w:rPr>
                                <w:rFonts w:hint="eastAsia"/>
                                <w:lang w:val="en-US" w:eastAsia="zh-CN"/>
                              </w:rPr>
                              <w:t>铝锭</w:t>
                            </w:r>
                          </w:p>
                        </w:txbxContent>
                      </v:textbox>
                    </v:shape>
                  </w:pict>
                </mc:Fallback>
              </mc:AlternateContent>
            </w:r>
            <w:r>
              <w:rPr>
                <w:b w:val="0"/>
                <w:color w:val="auto"/>
                <w:sz w:val="21"/>
              </w:rPr>
              <mc:AlternateContent>
                <mc:Choice Requires="wpc">
                  <w:drawing>
                    <wp:inline distT="0" distB="0" distL="114300" distR="114300">
                      <wp:extent cx="5074920" cy="5760085"/>
                      <wp:effectExtent l="0" t="0" r="0" b="12700"/>
                      <wp:docPr id="7" name="画布 7"/>
                      <wp:cNvGraphicFramePr/>
                      <a:graphic xmlns:a="http://schemas.openxmlformats.org/drawingml/2006/main">
                        <a:graphicData uri="http://schemas.microsoft.com/office/word/2010/wordprocessingCanvas">
                          <wpc:wpc>
                            <wpc:bg/>
                            <wpc:whole/>
                            <wps:wsp>
                              <wps:cNvPr id="10" name="直接箭头连接符 10"/>
                              <wps:cNvCnPr/>
                              <wps:spPr>
                                <a:xfrm>
                                  <a:off x="2621915" y="38608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 name="直接箭头连接符 12"/>
                              <wps:cNvCnPr/>
                              <wps:spPr>
                                <a:xfrm>
                                  <a:off x="2625725" y="89027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4" name="直接箭头连接符 14"/>
                              <wps:cNvCnPr/>
                              <wps:spPr>
                                <a:xfrm>
                                  <a:off x="2625725" y="1393825"/>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 name="直接箭头连接符 16"/>
                              <wps:cNvCnPr/>
                              <wps:spPr>
                                <a:xfrm>
                                  <a:off x="2638425" y="191008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8" name="直接箭头连接符 18"/>
                              <wps:cNvCnPr/>
                              <wps:spPr>
                                <a:xfrm>
                                  <a:off x="2638425" y="243078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0" name="直接箭头连接符 20"/>
                              <wps:cNvCnPr/>
                              <wps:spPr>
                                <a:xfrm>
                                  <a:off x="2638425" y="294259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2" name="直接箭头连接符 22"/>
                              <wps:cNvCnPr/>
                              <wps:spPr>
                                <a:xfrm>
                                  <a:off x="2638425" y="346710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5" name="直接箭头连接符 25"/>
                              <wps:cNvCnPr/>
                              <wps:spPr>
                                <a:xfrm>
                                  <a:off x="2638425" y="3979545"/>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7" name="直接箭头连接符 27"/>
                              <wps:cNvCnPr/>
                              <wps:spPr>
                                <a:xfrm>
                                  <a:off x="2646680" y="449199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wps:spPr>
                                <a:xfrm>
                                  <a:off x="2646680" y="499999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1" name="直接箭头连接符 31"/>
                              <wps:cNvCnPr/>
                              <wps:spPr>
                                <a:xfrm>
                                  <a:off x="2646680" y="5507990"/>
                                  <a:ext cx="3810" cy="237490"/>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3" name="直接箭头连接符 33"/>
                              <wps:cNvCnPr/>
                              <wps:spPr>
                                <a:xfrm flipV="1">
                                  <a:off x="2075815" y="1250950"/>
                                  <a:ext cx="308610" cy="317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5" name="直接箭头连接符 35"/>
                              <wps:cNvCnPr/>
                              <wps:spPr>
                                <a:xfrm flipV="1">
                                  <a:off x="2072005" y="751205"/>
                                  <a:ext cx="308610" cy="317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7" name="直接箭头连接符 37"/>
                              <wps:cNvCnPr/>
                              <wps:spPr>
                                <a:xfrm flipV="1">
                                  <a:off x="2096770" y="3836670"/>
                                  <a:ext cx="308610" cy="317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9" name="直接箭头连接符 39"/>
                              <wps:cNvCnPr/>
                              <wps:spPr>
                                <a:xfrm flipV="1">
                                  <a:off x="2105660" y="4344670"/>
                                  <a:ext cx="308610" cy="317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1" name="直接箭头连接符 41"/>
                              <wps:cNvCnPr/>
                              <wps:spPr>
                                <a:xfrm flipV="1">
                                  <a:off x="2025015" y="3312160"/>
                                  <a:ext cx="308610" cy="3175"/>
                                </a:xfrm>
                                <a:prstGeom prst="straightConnector1">
                                  <a:avLst/>
                                </a:prstGeom>
                                <a:ln w="635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flipV="1">
                                  <a:off x="2872105" y="755015"/>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flipV="1">
                                  <a:off x="2876550" y="1242060"/>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6" name="直接箭头连接符 46"/>
                              <wps:cNvCnPr/>
                              <wps:spPr>
                                <a:xfrm flipV="1">
                                  <a:off x="2884805" y="2279015"/>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7" name="直接箭头连接符 47"/>
                              <wps:cNvCnPr/>
                              <wps:spPr>
                                <a:xfrm flipV="1">
                                  <a:off x="2884805" y="2799715"/>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wps:spPr>
                                <a:xfrm flipV="1">
                                  <a:off x="2889250" y="3315970"/>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49" name="直接箭头连接符 49"/>
                              <wps:cNvCnPr/>
                              <wps:spPr>
                                <a:xfrm flipV="1">
                                  <a:off x="2884805" y="3832860"/>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0" name="直接箭头连接符 50"/>
                              <wps:cNvCnPr/>
                              <wps:spPr>
                                <a:xfrm flipV="1">
                                  <a:off x="2944495" y="4344670"/>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51" name="直接箭头连接符 51"/>
                              <wps:cNvCnPr/>
                              <wps:spPr>
                                <a:xfrm flipV="1">
                                  <a:off x="2897505" y="4852670"/>
                                  <a:ext cx="308610" cy="3175"/>
                                </a:xfrm>
                                <a:prstGeom prst="straightConnector1">
                                  <a:avLst/>
                                </a:prstGeom>
                                <a:ln w="635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wps:wsp>
                              <wps:cNvPr id="2" name="矩形 2"/>
                              <wps:cNvSpPr/>
                              <wps:spPr>
                                <a:xfrm>
                                  <a:off x="864235" y="3588385"/>
                                  <a:ext cx="3657600" cy="952500"/>
                                </a:xfrm>
                                <a:prstGeom prst="rect">
                                  <a:avLst/>
                                </a:prstGeom>
                                <a:noFill/>
                                <a:ln w="6350" cmpd="sng">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453.55pt;width:399.6pt;" coordsize="5074920,5760085" editas="canvas" o:gfxdata="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AUPw9j1wAAAAUBAAAPAAAA&#10;AAAAAAEAIAAAACIAAABkcnMvZG93bnJldi54bWxQSwECFAAUAAAACACHTuJAXpIb4aYFAAAENgAA&#10;DgAAAAAAAAABACAAAAAmAQAAZHJzL2Uyb0RvYy54bWxQSwUGAAAAAAYABgBZAQAAPgkAAAAA&#10;">
                      <o:lock v:ext="edit" aspectratio="f"/>
                      <v:shape id="_x0000_s1026" o:spid="_x0000_s1026" style="position:absolute;left:0;top:0;height:5760085;width:5074920;" filled="f" stroked="f" coordsize="21600,21600" o:gfxdata="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">
                        <v:fill on="f" focussize="0,0"/>
                        <v:stroke on="f"/>
                        <v:imagedata o:title=""/>
                        <o:lock v:ext="edit" aspectratio="f"/>
                      </v:shape>
                      <v:shape id="_x0000_s1026" o:spid="_x0000_s1026" o:spt="32" type="#_x0000_t32" style="position:absolute;left:2621915;top:38608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L+59NQAAAAFAQAADwAAAAAAAAABACAAAAAiAAAAZHJz&#10;L2Rvd25yZXYueG1sUEsBAhQAFAAAAAgAh07iQF3Nx68IAgAA2QMAAA4AAAAAAAAAAQAgAAAAIwEA&#10;AGRycy9lMm9Eb2MueG1sUEsFBgAAAAAGAAYAWQEAAJ0FAAAAAA==&#10;">
                        <v:fill on="f" focussize="0,0"/>
                        <v:stroke weight="0.5pt" color="#000000 [3213]" joinstyle="round" endarrow="block"/>
                        <v:imagedata o:title=""/>
                        <o:lock v:ext="edit" aspectratio="f"/>
                      </v:shape>
                      <v:shape id="_x0000_s1026" o:spid="_x0000_s1026" o:spt="32" type="#_x0000_t32" style="position:absolute;left:2625725;top:89027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&#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v7n01AAAAAUBAAAPAAAAAAAAAAEAIAAAACIAAABk&#10;cnMvZG93bnJldi54bWxQSwECFAAUAAAACACHTuJAY0B19goCAADZAwAADgAAAAAAAAABACAAAAAj&#10;AQAAZHJzL2Uyb0RvYy54bWxQSwUGAAAAAAYABgBZAQAAnwUAAAAA&#10;">
                        <v:fill on="f" focussize="0,0"/>
                        <v:stroke weight="0.5pt" color="#000000 [3213]" joinstyle="round" endarrow="block"/>
                        <v:imagedata o:title=""/>
                        <o:lock v:ext="edit" aspectratio="f"/>
                      </v:shape>
                      <v:shape id="_x0000_s1026" o:spid="_x0000_s1026" o:spt="32" type="#_x0000_t32" style="position:absolute;left:2625725;top:1393825;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&#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v7n01AAAAAUBAAAPAAAAAAAAAAEAIAAAACIAAABk&#10;cnMvZG93bnJldi54bWxQSwECFAAUAAAACACHTuJAeNo2wQoCAADaAwAADgAAAAAAAAABACAAAAAj&#10;AQAAZHJzL2Uyb0RvYy54bWxQSwUGAAAAAAYABgBZAQAAnwUAAAAA&#10;">
                        <v:fill on="f" focussize="0,0"/>
                        <v:stroke weight="0.5pt" color="#000000 [3213]" joinstyle="round" endarrow="block"/>
                        <v:imagedata o:title=""/>
                        <o:lock v:ext="edit" aspectratio="f"/>
                      </v:shape>
                      <v:shape id="_x0000_s1026" o:spid="_x0000_s1026" o:spt="32" type="#_x0000_t32" style="position:absolute;left:2638425;top:191008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L+59NQAAAAFAQAADwAAAAAAAAABACAAAAAiAAAA&#10;ZHJzL2Rvd25yZXYueG1sUEsBAhQAFAAAAAgAh07iQFD5f/ALAgAA2gMAAA4AAAAAAAAAAQAgAAAA&#10;IwEAAGRycy9lMm9Eb2MueG1sUEsFBgAAAAAGAAYAWQEAAKAFAAAAAA==&#10;">
                        <v:fill on="f" focussize="0,0"/>
                        <v:stroke weight="0.5pt" color="#000000 [3213]" joinstyle="round" endarrow="block"/>
                        <v:imagedata o:title=""/>
                        <o:lock v:ext="edit" aspectratio="f"/>
                      </v:shape>
                      <v:shape id="_x0000_s1026" o:spid="_x0000_s1026" o:spt="32" type="#_x0000_t32" style="position:absolute;left:2638425;top:243078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C/ufTUAAAABQEAAA8AAAAAAAAAAQAgAAAAIgAAAGRy&#10;cy9kb3ducmV2LnhtbFBLAQIUABQAAAAIAIdO4kAqqtirCQIAANoDAAAOAAAAAAAAAAEAIAAAACMB&#10;AABkcnMvZTJvRG9jLnhtbFBLBQYAAAAABgAGAFkBAACeBQAAAAA=&#10;">
                        <v:fill on="f" focussize="0,0"/>
                        <v:stroke weight="0.5pt" color="#000000 [3213]" joinstyle="round" endarrow="block"/>
                        <v:imagedata o:title=""/>
                        <o:lock v:ext="edit" aspectratio="f"/>
                      </v:shape>
                      <v:shape id="_x0000_s1026" o:spid="_x0000_s1026" o:spt="32" type="#_x0000_t32" style="position:absolute;left:2638425;top:294259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ufTUAAAABQEAAA8AAAAAAAAAAQAgAAAAIgAAAGRycy9k&#10;b3ducmV2LnhtbFBLAQIUABQAAAAIAIdO4kBaRtTIBgIAANoDAAAOAAAAAAAAAAEAIAAAACMBAABk&#10;cnMvZTJvRG9jLnhtbFBLBQYAAAAABgAGAFkBAACbBQAAAAA=&#10;">
                        <v:fill on="f" focussize="0,0"/>
                        <v:stroke weight="0.5pt" color="#000000 [3213]" joinstyle="round" endarrow="block"/>
                        <v:imagedata o:title=""/>
                        <o:lock v:ext="edit" aspectratio="f"/>
                      </v:shape>
                      <v:shape id="_x0000_s1026" o:spid="_x0000_s1026" o:spt="32" type="#_x0000_t32" style="position:absolute;left:2638425;top:346710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L+59NQAAAAFAQAADwAAAAAAAAABACAAAAAiAAAA&#10;ZHJzL2Rvd25yZXYueG1sUEsBAhQAFAAAAAgAh07iQAZpSIgLAgAA2gMAAA4AAAAAAAAAAQAgAAAA&#10;IwEAAGRycy9lMm9Eb2MueG1sUEsFBgAAAAAGAAYAWQEAAKAFAAAAAA==&#10;">
                        <v:fill on="f" focussize="0,0"/>
                        <v:stroke weight="0.5pt" color="#000000 [3213]" joinstyle="round" endarrow="block"/>
                        <v:imagedata o:title=""/>
                        <o:lock v:ext="edit" aspectratio="f"/>
                      </v:shape>
                      <v:shape id="_x0000_s1026" o:spid="_x0000_s1026" o:spt="32" type="#_x0000_t32" style="position:absolute;left:2638425;top:3979545;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L+59NQAAAAFAQAADwAAAAAAAAABACAAAAAiAAAA&#10;ZHJzL2Rvd25yZXYueG1sUEsBAhQAFAAAAAgAh07iQP2CLdYLAgAA2gMAAA4AAAAAAAAAAQAgAAAA&#10;IwEAAGRycy9lMm9Eb2MueG1sUEsFBgAAAAAGAAYAWQEAAKAFAAAAAA==&#10;">
                        <v:fill on="f" focussize="0,0"/>
                        <v:stroke weight="0.5pt" color="#000000 [3213]" joinstyle="round" endarrow="block"/>
                        <v:imagedata o:title=""/>
                        <o:lock v:ext="edit" aspectratio="f"/>
                      </v:shape>
                      <v:shape id="_x0000_s1026" o:spid="_x0000_s1026" o:spt="32" type="#_x0000_t32" style="position:absolute;left:2646680;top:449199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v7n01AAAAAUBAAAPAAAAAAAAAAEAIAAAACIAAABk&#10;cnMvZG93bnJldi54bWxQSwECFAAUAAAACACHTuJAVrTVPQoCAADaAwAADgAAAAAAAAABACAAAAAj&#10;AQAAZHJzL2Uyb0RvYy54bWxQSwUGAAAAAAYABgBZAQAAnwUAAAAA&#10;">
                        <v:fill on="f" focussize="0,0"/>
                        <v:stroke weight="0.5pt" color="#000000 [3213]" joinstyle="round" endarrow="block"/>
                        <v:imagedata o:title=""/>
                        <o:lock v:ext="edit" aspectratio="f"/>
                      </v:shape>
                      <v:shape id="_x0000_s1026" o:spid="_x0000_s1026" o:spt="32" type="#_x0000_t32" style="position:absolute;left:2646680;top:499999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ufTUAAAABQEAAA8AAAAAAAAAAQAgAAAAIgAAAGRycy9k&#10;b3ducmV2LnhtbFBLAQIUABQAAAAIAIdO4kBPlgKRBgIAANoDAAAOAAAAAAAAAAEAIAAAACMBAABk&#10;cnMvZTJvRG9jLnhtbFBLBQYAAAAABgAGAFkBAACbBQAAAAA=&#10;">
                        <v:fill on="f" focussize="0,0"/>
                        <v:stroke weight="0.5pt" color="#000000 [3213]" joinstyle="round" endarrow="block"/>
                        <v:imagedata o:title=""/>
                        <o:lock v:ext="edit" aspectratio="f"/>
                      </v:shape>
                      <v:shape id="_x0000_s1026" o:spid="_x0000_s1026" o:spt="32" type="#_x0000_t32" style="position:absolute;left:2646680;top:5507990;height:237490;width:3810;" filled="f" stroked="t" coordsize="21600,21600" o:gfxdata="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&#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v7n01AAAAAUBAAAPAAAAAAAAAAEAIAAAACIAAABk&#10;cnMvZG93bnJldi54bWxQSwECFAAUAAAACACHTuJAa2VaSAoCAADaAwAADgAAAAAAAAABACAAAAAj&#10;AQAAZHJzL2Uyb0RvYy54bWxQSwUGAAAAAAYABgBZAQAAnwUAAAAA&#10;">
                        <v:fill on="f" focussize="0,0"/>
                        <v:stroke weight="0.5pt" color="#000000 [3213]" joinstyle="round" endarrow="block"/>
                        <v:imagedata o:title=""/>
                        <o:lock v:ext="edit" aspectratio="f"/>
                      </v:shape>
                      <v:shape id="_x0000_s1026" o:spid="_x0000_s1026" o:spt="32" type="#_x0000_t32" style="position:absolute;left:2075815;top:1250950;flip:y;height:3175;width:308610;" filled="f" stroked="t" coordsize="21600,21600" o:gfxdata="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DKmN9QAAAAFAQAADwAAAAAAAAABACAA&#10;AAAiAAAAZHJzL2Rvd25yZXYueG1sUEsBAhQAFAAAAAgAh07iQPXEwLMRAgAA5AMAAA4AAAAAAAAA&#10;AQAgAAAAIwEAAGRycy9lMm9Eb2MueG1sUEsFBgAAAAAGAAYAWQEAAKYFAAAAAA==&#10;">
                        <v:fill on="f" focussize="0,0"/>
                        <v:stroke weight="0.5pt" color="#000000 [3213]" joinstyle="round" endarrow="block"/>
                        <v:imagedata o:title=""/>
                        <o:lock v:ext="edit" aspectratio="f"/>
                      </v:shape>
                      <v:shape id="_x0000_s1026" o:spid="_x0000_s1026" o:spt="32" type="#_x0000_t32" style="position:absolute;left:2072005;top:751205;flip:y;height:3175;width:308610;" filled="f" stroked="t" coordsize="21600,21600" o:gfxdata="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DKmN9QAAAAFAQAADwAAAAAAAAABACAAAAAi&#10;AAAAZHJzL2Rvd25yZXYueG1sUEsBAhQAFAAAAAgAh07iQDIZDpsOAgAA4wMAAA4AAAAAAAAAAQAg&#10;AAAAIwEAAGRycy9lMm9Eb2MueG1sUEsFBgAAAAAGAAYAWQEAAKMFAAAAAA==&#10;">
                        <v:fill on="f" focussize="0,0"/>
                        <v:stroke weight="0.5pt" color="#000000 [3213]" joinstyle="round" endarrow="block"/>
                        <v:imagedata o:title=""/>
                        <o:lock v:ext="edit" aspectratio="f"/>
                      </v:shape>
                      <v:shape id="_x0000_s1026" o:spid="_x0000_s1026" o:spt="32" type="#_x0000_t32" style="position:absolute;left:2096770;top:3836670;flip:y;height:3175;width:308610;" filled="f" stroked="t" coordsize="21600,21600" o:gfxdata="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DKmN9QAAAAFAQAADwAAAAAAAAABACAAAAAi&#10;AAAAZHJzL2Rvd25yZXYueG1sUEsBAhQAFAAAAAgAh07iQPepxtYOAgAA5AMAAA4AAAAAAAAAAQAg&#10;AAAAIwEAAGRycy9lMm9Eb2MueG1sUEsFBgAAAAAGAAYAWQEAAKMFAAAAAA==&#10;">
                        <v:fill on="f" focussize="0,0"/>
                        <v:stroke weight="0.5pt" color="#000000 [3213]" joinstyle="round" endarrow="block"/>
                        <v:imagedata o:title=""/>
                        <o:lock v:ext="edit" aspectratio="f"/>
                      </v:shape>
                      <v:shape id="_x0000_s1026" o:spid="_x0000_s1026" o:spt="32" type="#_x0000_t32" style="position:absolute;left:2105660;top:4344670;flip:y;height:3175;width:308610;" filled="f" stroked="t" coordsize="21600,21600" o:gfxdata="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DKmN9QAAAAFAQAADwAAAAAAAAABACAA&#10;AAAiAAAAZHJzL2Rvd25yZXYueG1sUEsBAhQAFAAAAAgAh07iQLeuLMIRAgAA5AMAAA4AAAAAAAAA&#10;AQAgAAAAIwEAAGRycy9lMm9Eb2MueG1sUEsFBgAAAAAGAAYAWQEAAKYFAAAAAA==&#10;">
                        <v:fill on="f" focussize="0,0"/>
                        <v:stroke weight="0.5pt" color="#000000 [3213]" joinstyle="round" endarrow="block"/>
                        <v:imagedata o:title=""/>
                        <o:lock v:ext="edit" aspectratio="f"/>
                      </v:shape>
                      <v:shape id="_x0000_s1026" o:spid="_x0000_s1026" o:spt="32" type="#_x0000_t32" style="position:absolute;left:2025015;top:3312160;flip:y;height:3175;width:308610;" filled="f" stroked="t" coordsize="21600,21600" o:gfxdata="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gMqY31AAAAAUBAAAPAAAAAAAAAAEAIAAA&#10;ACIAAABkcnMvZG93bnJldi54bWxQSwECFAAUAAAACACHTuJAMw6jGBACAADkAwAADgAAAAAAAAAB&#10;ACAAAAAjAQAAZHJzL2Uyb0RvYy54bWxQSwUGAAAAAAYABgBZAQAApQUAAAAA&#10;">
                        <v:fill on="f" focussize="0,0"/>
                        <v:stroke weight="0.5pt" color="#000000 [3213]" joinstyle="round" endarrow="block"/>
                        <v:imagedata o:title=""/>
                        <o:lock v:ext="edit" aspectratio="f"/>
                      </v:shape>
                      <v:shape id="_x0000_s1026" o:spid="_x0000_s1026" o:spt="32" type="#_x0000_t32" style="position:absolute;left:2872105;top:755015;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Ed0h7VAAAABQEAAA8AAAAAAAAAAQAg&#10;AAAAIgAAAGRycy9kb3ducmV2LnhtbFBLAQIUABQAAAAIAIdO4kBmhUv0EQIAAOIDAAAOAAAAAAAA&#10;AAEAIAAAACQBAABkcnMvZTJvRG9jLnhtbFBLBQYAAAAABgAGAFkBAACnBQAAAAA=&#10;">
                        <v:fill on="f" focussize="0,0"/>
                        <v:stroke weight="0.5pt" color="#000000 [3213]" joinstyle="round" dashstyle="dash" endarrow="block"/>
                        <v:imagedata o:title=""/>
                        <o:lock v:ext="edit" aspectratio="f"/>
                      </v:shape>
                      <v:shape id="_x0000_s1026" o:spid="_x0000_s1026" o:spt="32" type="#_x0000_t32" style="position:absolute;left:2876550;top:1242060;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HdIe1QAAAAUBAAAPAAAAAAAAAAEAIAAA&#10;ACIAAABkcnMvZG93bnJldi54bWxQSwECFAAUAAAACACHTuJA0GHY9A8CAADjAwAADgAAAAAAAAAB&#10;ACAAAAAkAQAAZHJzL2Uyb0RvYy54bWxQSwUGAAAAAAYABgBZAQAApQUAAAAA&#10;">
                        <v:fill on="f" focussize="0,0"/>
                        <v:stroke weight="0.5pt" color="#000000 [3213]" joinstyle="round" dashstyle="dash" endarrow="block"/>
                        <v:imagedata o:title=""/>
                        <o:lock v:ext="edit" aspectratio="f"/>
                      </v:shape>
                      <v:shape id="_x0000_s1026" o:spid="_x0000_s1026" o:spt="32" type="#_x0000_t32" style="position:absolute;left:2884805;top:2279015;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HdIe1QAAAAUBAAAPAAAAAAAAAAEA&#10;IAAAACIAAABkcnMvZG93bnJldi54bWxQSwECFAAUAAAACACHTuJA7298DxICAADjAwAADgAAAAAA&#10;AAABACAAAAAkAQAAZHJzL2Uyb0RvYy54bWxQSwUGAAAAAAYABgBZAQAAqAUAAAAA&#10;">
                        <v:fill on="f" focussize="0,0"/>
                        <v:stroke weight="0.5pt" color="#000000 [3213]" joinstyle="round" dashstyle="dash" endarrow="block"/>
                        <v:imagedata o:title=""/>
                        <o:lock v:ext="edit" aspectratio="f"/>
                      </v:shape>
                      <v:shape id="_x0000_s1026" o:spid="_x0000_s1026" o:spt="32" type="#_x0000_t32" style="position:absolute;left:2884805;top:2799715;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HdIe1QAAAAUBAAAPAAAAAAAAAAEA&#10;IAAAACIAAABkcnMvZG93bnJldi54bWxQSwECFAAUAAAACACHTuJARW/gDhICAADjAwAADgAAAAAA&#10;AAABACAAAAAkAQAAZHJzL2Uyb0RvYy54bWxQSwUGAAAAAAYABgBZAQAAqAUAAAAA&#10;">
                        <v:fill on="f" focussize="0,0"/>
                        <v:stroke weight="0.5pt" color="#000000 [3213]" joinstyle="round" dashstyle="dash" endarrow="block"/>
                        <v:imagedata o:title=""/>
                        <o:lock v:ext="edit" aspectratio="f"/>
                      </v:shape>
                      <v:shape id="_x0000_s1026" o:spid="_x0000_s1026" o:spt="32" type="#_x0000_t32" style="position:absolute;left:2889250;top:3315970;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Ed0h7VAAAABQEAAA8AAAAAAAAAAQAg&#10;AAAAIgAAAGRycy9kb3ducmV2LnhtbFBLAQIUABQAAAAIAIdO4kCtn098EQIAAOMDAAAOAAAAAAAA&#10;AAEAIAAAACQBAABkcnMvZTJvRG9jLnhtbFBLBQYAAAAABgAGAFkBAACnBQAAAAA=&#10;">
                        <v:fill on="f" focussize="0,0"/>
                        <v:stroke weight="0.5pt" color="#000000 [3213]" joinstyle="round" dashstyle="dash" endarrow="block"/>
                        <v:imagedata o:title=""/>
                        <o:lock v:ext="edit" aspectratio="f"/>
                      </v:shape>
                      <v:shape id="_x0000_s1026" o:spid="_x0000_s1026" o:spt="32" type="#_x0000_t32" style="position:absolute;left:2884805;top:3832860;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HdIe1QAAAAUBAAAPAAAAAAAAAAEA&#10;IAAAACIAAABkcnMvZG93bnJldi54bWxQSwECFAAUAAAACACHTuJAJniYBRICAADjAwAADgAAAAAA&#10;AAABACAAAAAkAQAAZHJzL2Uyb0RvYy54bWxQSwUGAAAAAAYABgBZAQAAqAUAAAAA&#10;">
                        <v:fill on="f" focussize="0,0"/>
                        <v:stroke weight="0.5pt" color="#000000 [3213]" joinstyle="round" dashstyle="dash" endarrow="block"/>
                        <v:imagedata o:title=""/>
                        <o:lock v:ext="edit" aspectratio="f"/>
                      </v:shape>
                      <v:shape id="_x0000_s1026" o:spid="_x0000_s1026" o:spt="32" type="#_x0000_t32" style="position:absolute;left:2944495;top:4344670;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Ed0h7VAAAABQEAAA8AAAAAAAAAAQAg&#10;AAAAIgAAAGRycy9kb3ducmV2LnhtbFBLAQIUABQAAAAIAIdO4kChFtaYEQIAAOMDAAAOAAAAAAAA&#10;AAEAIAAAACQBAABkcnMvZTJvRG9jLnhtbFBLBQYAAAAABgAGAFkBAACnBQAAAAA=&#10;">
                        <v:fill on="f" focussize="0,0"/>
                        <v:stroke weight="0.5pt" color="#000000 [3213]" joinstyle="round" dashstyle="dash" endarrow="block"/>
                        <v:imagedata o:title=""/>
                        <o:lock v:ext="edit" aspectratio="f"/>
                      </v:shape>
                      <v:shape id="_x0000_s1026" o:spid="_x0000_s1026" o:spt="32" type="#_x0000_t32" style="position:absolute;left:2897505;top:4852670;flip:y;height:3175;width:308610;" filled="f" stroked="t" coordsize="21600,21600" o:gfxdata="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R3SHtUAAAAFAQAADwAAAAAAAAAB&#10;ACAAAAAiAAAAZHJzL2Rvd25yZXYueG1sUEsBAhQAFAAAAAgAh07iQEJO+9ITAgAA4wMAAA4AAAAA&#10;AAAAAQAgAAAAJAEAAGRycy9lMm9Eb2MueG1sUEsFBgAAAAAGAAYAWQEAAKkFAAAAAA==&#10;">
                        <v:fill on="f" focussize="0,0"/>
                        <v:stroke weight="0.5pt" color="#000000 [3213]" joinstyle="round" dashstyle="dash" endarrow="block"/>
                        <v:imagedata o:title=""/>
                        <o:lock v:ext="edit" aspectratio="f"/>
                      </v:shape>
                      <v:rect id="_x0000_s1026" o:spid="_x0000_s1026" o:spt="1" style="position:absolute;left:864235;top:3588385;height:952500;width:3657600;v-text-anchor:middle;" filled="f" stroked="t" coordsize="21600,21600" o:gfxdata="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xT4vUAAAABQEAAA8AAAAAAAAAAQAgAAAAIgAAAGRycy9kb3ducmV2LnhtbFBLAQIU&#10;ABQAAAAIAIdO4kBvk/D3aQIAAL0EAAAOAAAAAAAAAAEAIAAAACMBAABkcnMvZTJvRG9jLnhtbFBL&#10;BQYAAAAABgAGAFkBAAD+BQAAAAA=&#10;">
                        <v:fill on="f" focussize="0,0"/>
                        <v:stroke weight="0.5pt" color="#000000 [3213]" joinstyle="round" dashstyle="dash"/>
                        <v:imagedata o:title=""/>
                        <o:lock v:ext="edit" aspectratio="f"/>
                      </v:rect>
                      <w10:wrap type="none"/>
                      <w10:anchorlock/>
                    </v:group>
                  </w:pict>
                </mc:Fallback>
              </mc:AlternateContent>
            </w:r>
          </w:p>
          <w:p w14:paraId="1E3228B1">
            <w:pPr>
              <w:tabs>
                <w:tab w:val="left" w:pos="960"/>
              </w:tabs>
              <w:jc w:val="center"/>
              <w:rPr>
                <w:rFonts w:ascii="Times New Roman" w:hAnsi="Times New Roman" w:eastAsia="宋体" w:cs="宋体"/>
                <w:b/>
                <w:bCs w:val="0"/>
                <w:color w:val="auto"/>
                <w:spacing w:val="-4"/>
                <w:szCs w:val="21"/>
                <w:highlight w:val="none"/>
              </w:rPr>
            </w:pPr>
            <w:r>
              <w:rPr>
                <w:rFonts w:hint="eastAsia" w:ascii="Times New Roman" w:hAnsi="Times New Roman" w:eastAsia="宋体" w:cs="宋体"/>
                <w:b/>
                <w:bCs w:val="0"/>
                <w:color w:val="auto"/>
                <w:spacing w:val="-4"/>
                <w:szCs w:val="21"/>
                <w:highlight w:val="none"/>
              </w:rPr>
              <w:t>图2.2-</w:t>
            </w:r>
            <w:r>
              <w:rPr>
                <w:rFonts w:hint="eastAsia" w:cs="宋体"/>
                <w:b/>
                <w:bCs w:val="0"/>
                <w:color w:val="auto"/>
                <w:spacing w:val="-4"/>
                <w:szCs w:val="21"/>
                <w:highlight w:val="none"/>
                <w:lang w:val="en-US" w:eastAsia="zh-CN"/>
              </w:rPr>
              <w:t>1</w:t>
            </w:r>
            <w:r>
              <w:rPr>
                <w:rFonts w:ascii="Times New Roman" w:hAnsi="Times New Roman" w:eastAsia="宋体" w:cs="宋体"/>
                <w:b/>
                <w:bCs w:val="0"/>
                <w:color w:val="auto"/>
                <w:spacing w:val="-4"/>
                <w:szCs w:val="21"/>
                <w:highlight w:val="none"/>
              </w:rPr>
              <w:t xml:space="preserve">  </w:t>
            </w:r>
            <w:r>
              <w:rPr>
                <w:rFonts w:hint="eastAsia" w:cs="宋体"/>
                <w:b/>
                <w:bCs w:val="0"/>
                <w:color w:val="auto"/>
                <w:spacing w:val="-4"/>
                <w:szCs w:val="21"/>
                <w:highlight w:val="none"/>
                <w:lang w:val="en-US" w:eastAsia="zh-CN"/>
              </w:rPr>
              <w:t>铝压铸件</w:t>
            </w:r>
            <w:r>
              <w:rPr>
                <w:rFonts w:hint="eastAsia" w:ascii="Times New Roman" w:hAnsi="Times New Roman" w:eastAsia="宋体" w:cs="宋体"/>
                <w:b/>
                <w:bCs w:val="0"/>
                <w:color w:val="auto"/>
                <w:spacing w:val="-4"/>
                <w:szCs w:val="21"/>
                <w:highlight w:val="none"/>
                <w:lang w:eastAsia="zh-CN"/>
              </w:rPr>
              <w:t>制造</w:t>
            </w:r>
            <w:r>
              <w:rPr>
                <w:rFonts w:hint="eastAsia" w:ascii="Times New Roman" w:hAnsi="Times New Roman" w:eastAsia="宋体" w:cs="宋体"/>
                <w:b/>
                <w:bCs w:val="0"/>
                <w:color w:val="auto"/>
                <w:spacing w:val="-4"/>
                <w:szCs w:val="21"/>
                <w:highlight w:val="none"/>
              </w:rPr>
              <w:t>工艺流程及产污环节图</w:t>
            </w:r>
          </w:p>
          <w:p w14:paraId="206A2B6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宋体"/>
                <w:b w:val="0"/>
                <w:color w:val="auto"/>
                <w:sz w:val="24"/>
                <w:highlight w:val="none"/>
              </w:rPr>
            </w:pPr>
            <w:r>
              <w:rPr>
                <w:rFonts w:ascii="Times New Roman" w:hAnsi="Times New Roman" w:eastAsia="宋体" w:cs="宋体"/>
                <w:b w:val="0"/>
                <w:color w:val="auto"/>
                <w:sz w:val="24"/>
                <w:highlight w:val="none"/>
              </w:rPr>
              <w:t>生产工艺流程简述：</w:t>
            </w:r>
          </w:p>
          <w:p w14:paraId="56630522">
            <w:pPr>
              <w:tabs>
                <w:tab w:val="left" w:pos="3435"/>
              </w:tabs>
              <w:autoSpaceDE w:val="0"/>
              <w:autoSpaceDN w:val="0"/>
              <w:spacing w:line="360" w:lineRule="auto"/>
              <w:ind w:firstLine="480" w:firstLineChars="200"/>
              <w:rPr>
                <w:rFonts w:ascii="Times New Roman" w:hAnsi="Times New Roman" w:eastAsia="宋体" w:cs="宋体"/>
                <w:b w:val="0"/>
                <w:bCs/>
                <w:color w:val="auto"/>
                <w:sz w:val="24"/>
                <w:szCs w:val="21"/>
                <w:highlight w:val="none"/>
              </w:rPr>
            </w:pPr>
            <w:r>
              <w:rPr>
                <w:rFonts w:hint="eastAsia" w:ascii="Times New Roman" w:hAnsi="Times New Roman" w:eastAsia="宋体" w:cs="宋体"/>
                <w:b w:val="0"/>
                <w:bCs/>
                <w:color w:val="auto"/>
                <w:sz w:val="24"/>
                <w:szCs w:val="21"/>
                <w:highlight w:val="none"/>
              </w:rPr>
              <w:t>熔化：将铝锭投入熔化保温炉进行熔化及保温，</w:t>
            </w:r>
            <w:r>
              <w:rPr>
                <w:rFonts w:hint="eastAsia" w:cs="宋体"/>
                <w:b w:val="0"/>
                <w:bCs/>
                <w:color w:val="auto"/>
                <w:sz w:val="24"/>
                <w:szCs w:val="21"/>
                <w:highlight w:val="none"/>
                <w:lang w:val="en-US" w:eastAsia="zh-CN"/>
              </w:rPr>
              <w:t>熔化炉温度控制在660℃~700℃，</w:t>
            </w:r>
            <w:r>
              <w:rPr>
                <w:rFonts w:hint="eastAsia" w:ascii="Times New Roman" w:hAnsi="Times New Roman" w:eastAsia="宋体" w:cs="宋体"/>
                <w:b w:val="0"/>
                <w:bCs/>
                <w:color w:val="auto"/>
                <w:sz w:val="24"/>
                <w:szCs w:val="21"/>
                <w:highlight w:val="none"/>
              </w:rPr>
              <w:t>熔化过程中加入少量的除渣剂，铝液中的杂质与除渣剂反应生成金属氧化物（</w:t>
            </w:r>
            <w:r>
              <w:rPr>
                <w:rFonts w:hint="eastAsia" w:cs="宋体"/>
                <w:b w:val="0"/>
                <w:bCs/>
                <w:color w:val="auto"/>
                <w:sz w:val="24"/>
                <w:szCs w:val="21"/>
                <w:highlight w:val="none"/>
                <w:lang w:val="en-US" w:eastAsia="zh-CN"/>
              </w:rPr>
              <w:t>铝灰渣</w:t>
            </w:r>
            <w:r>
              <w:rPr>
                <w:rFonts w:hint="eastAsia" w:ascii="Times New Roman" w:hAnsi="Times New Roman" w:eastAsia="宋体" w:cs="宋体"/>
                <w:b w:val="0"/>
                <w:bCs/>
                <w:color w:val="auto"/>
                <w:sz w:val="24"/>
                <w:szCs w:val="21"/>
                <w:highlight w:val="none"/>
              </w:rPr>
              <w:t>），由于该氧化物（</w:t>
            </w:r>
            <w:r>
              <w:rPr>
                <w:rFonts w:hint="eastAsia" w:cs="宋体"/>
                <w:b w:val="0"/>
                <w:bCs/>
                <w:color w:val="auto"/>
                <w:sz w:val="24"/>
                <w:szCs w:val="21"/>
                <w:highlight w:val="none"/>
                <w:lang w:val="en-US" w:eastAsia="zh-CN"/>
              </w:rPr>
              <w:t>铝灰</w:t>
            </w:r>
            <w:r>
              <w:rPr>
                <w:rFonts w:hint="eastAsia" w:ascii="Times New Roman" w:hAnsi="Times New Roman" w:eastAsia="宋体" w:cs="宋体"/>
                <w:b w:val="0"/>
                <w:bCs/>
                <w:color w:val="auto"/>
                <w:sz w:val="24"/>
                <w:szCs w:val="21"/>
                <w:highlight w:val="none"/>
              </w:rPr>
              <w:t>渣）比重较轻，漂浮于铝液上方而去除。</w:t>
            </w:r>
            <w:r>
              <w:rPr>
                <w:rFonts w:hint="eastAsia" w:cs="宋体"/>
                <w:b w:val="0"/>
                <w:bCs/>
                <w:color w:val="auto"/>
                <w:sz w:val="24"/>
                <w:szCs w:val="21"/>
                <w:highlight w:val="none"/>
                <w:lang w:val="en-US" w:eastAsia="zh-CN"/>
              </w:rPr>
              <w:t>本项目撇渣采用人工撇渣的方式，</w:t>
            </w:r>
            <w:r>
              <w:rPr>
                <w:rFonts w:hint="eastAsia" w:ascii="Times New Roman" w:hAnsi="Times New Roman" w:eastAsia="宋体" w:cs="宋体"/>
                <w:b w:val="0"/>
                <w:bCs/>
                <w:color w:val="auto"/>
                <w:sz w:val="24"/>
                <w:szCs w:val="21"/>
                <w:highlight w:val="none"/>
              </w:rPr>
              <w:t>熔化保温炉采用天然气作为能源，该工段产生熔化烟尘</w:t>
            </w:r>
            <w:r>
              <w:rPr>
                <w:rFonts w:hint="eastAsia" w:cs="宋体"/>
                <w:b w:val="0"/>
                <w:bCs/>
                <w:color w:val="auto"/>
                <w:sz w:val="24"/>
                <w:szCs w:val="21"/>
                <w:highlight w:val="none"/>
                <w:lang w:val="en-US" w:eastAsia="zh-CN"/>
              </w:rPr>
              <w:t>G1</w:t>
            </w:r>
            <w:r>
              <w:rPr>
                <w:rFonts w:hint="eastAsia" w:ascii="Times New Roman" w:hAnsi="Times New Roman" w:eastAsia="宋体" w:cs="宋体"/>
                <w:b w:val="0"/>
                <w:bCs/>
                <w:color w:val="auto"/>
                <w:sz w:val="24"/>
                <w:szCs w:val="21"/>
                <w:highlight w:val="none"/>
              </w:rPr>
              <w:t>、天然气燃烧废气G2 和</w:t>
            </w:r>
            <w:r>
              <w:rPr>
                <w:rFonts w:hint="eastAsia" w:cs="宋体"/>
                <w:b w:val="0"/>
                <w:bCs/>
                <w:color w:val="auto"/>
                <w:sz w:val="24"/>
                <w:szCs w:val="21"/>
                <w:highlight w:val="none"/>
                <w:lang w:val="en-US" w:eastAsia="zh-CN"/>
              </w:rPr>
              <w:t>铝灰渣</w:t>
            </w:r>
            <w:r>
              <w:rPr>
                <w:rFonts w:hint="eastAsia" w:ascii="Times New Roman" w:hAnsi="Times New Roman" w:eastAsia="宋体" w:cs="宋体"/>
                <w:b w:val="0"/>
                <w:bCs/>
                <w:color w:val="auto"/>
                <w:sz w:val="24"/>
                <w:szCs w:val="21"/>
                <w:highlight w:val="none"/>
              </w:rPr>
              <w:t>S1。</w:t>
            </w:r>
          </w:p>
          <w:p w14:paraId="5F27A74C">
            <w:pPr>
              <w:spacing w:line="360" w:lineRule="auto"/>
              <w:ind w:firstLine="480" w:firstLineChars="200"/>
              <w:rPr>
                <w:rFonts w:hint="default" w:ascii="Times New Roman" w:hAnsi="Times New Roman" w:eastAsia="宋体"/>
                <w:b w:val="0"/>
                <w:bCs/>
                <w:smallCaps w:val="0"/>
                <w:color w:val="auto"/>
                <w:sz w:val="24"/>
                <w:szCs w:val="21"/>
                <w:lang w:val="en-US" w:eastAsia="zh-CN"/>
              </w:rPr>
            </w:pPr>
            <w:r>
              <w:rPr>
                <w:rFonts w:hint="eastAsia" w:ascii="Times New Roman" w:hAnsi="Times New Roman" w:eastAsia="宋体"/>
                <w:b w:val="0"/>
                <w:bCs/>
                <w:smallCaps w:val="0"/>
                <w:color w:val="auto"/>
                <w:sz w:val="24"/>
                <w:szCs w:val="21"/>
                <w:lang w:val="en-US" w:eastAsia="zh-CN"/>
              </w:rPr>
              <w:t>压铸：</w:t>
            </w:r>
            <w:r>
              <w:rPr>
                <w:rFonts w:hint="eastAsia"/>
                <w:b w:val="0"/>
                <w:bCs/>
                <w:smallCaps w:val="0"/>
                <w:color w:val="auto"/>
                <w:sz w:val="24"/>
                <w:szCs w:val="21"/>
                <w:lang w:val="en-US" w:eastAsia="zh-CN"/>
              </w:rPr>
              <w:t>在模具内先喷上一层脱模剂，再</w:t>
            </w:r>
            <w:r>
              <w:rPr>
                <w:rFonts w:hint="eastAsia" w:ascii="Times New Roman" w:hAnsi="Times New Roman" w:eastAsia="宋体"/>
                <w:b w:val="0"/>
                <w:bCs/>
                <w:smallCaps w:val="0"/>
                <w:color w:val="auto"/>
                <w:sz w:val="24"/>
                <w:szCs w:val="21"/>
                <w:lang w:val="en-US" w:eastAsia="zh-CN"/>
              </w:rPr>
              <w:t>由压铸机</w:t>
            </w:r>
            <w:r>
              <w:rPr>
                <w:rFonts w:hint="eastAsia"/>
                <w:b w:val="0"/>
                <w:bCs/>
                <w:smallCaps w:val="0"/>
                <w:color w:val="auto"/>
                <w:sz w:val="24"/>
                <w:szCs w:val="21"/>
                <w:lang w:val="en-US" w:eastAsia="zh-CN"/>
              </w:rPr>
              <w:t>自带的机械手</w:t>
            </w:r>
            <w:r>
              <w:rPr>
                <w:rFonts w:hint="eastAsia" w:ascii="Times New Roman" w:hAnsi="Times New Roman" w:eastAsia="宋体"/>
                <w:b w:val="0"/>
                <w:bCs/>
                <w:smallCaps w:val="0"/>
                <w:color w:val="auto"/>
                <w:sz w:val="24"/>
                <w:szCs w:val="21"/>
                <w:lang w:val="en-US" w:eastAsia="zh-CN"/>
              </w:rPr>
              <w:t>自动舀一定量的铝液倒入模具中，</w:t>
            </w:r>
            <w:r>
              <w:rPr>
                <w:rFonts w:hint="eastAsia"/>
                <w:b w:val="0"/>
                <w:bCs/>
                <w:smallCaps w:val="0"/>
                <w:color w:val="auto"/>
                <w:sz w:val="24"/>
                <w:szCs w:val="21"/>
                <w:lang w:val="en-US" w:eastAsia="zh-CN"/>
              </w:rPr>
              <w:t>不设置周转包，</w:t>
            </w:r>
            <w:r>
              <w:rPr>
                <w:rFonts w:hint="eastAsia" w:ascii="Times New Roman" w:hAnsi="Times New Roman" w:eastAsia="宋体"/>
                <w:b w:val="0"/>
                <w:bCs/>
                <w:smallCaps w:val="0"/>
                <w:color w:val="auto"/>
                <w:sz w:val="24"/>
                <w:szCs w:val="21"/>
                <w:lang w:val="en-US" w:eastAsia="zh-CN"/>
              </w:rPr>
              <w:t>再经压铸机压铸成型即为半成品。压铸机</w:t>
            </w:r>
            <w:r>
              <w:rPr>
                <w:rFonts w:hint="eastAsia"/>
                <w:b w:val="0"/>
                <w:bCs/>
                <w:smallCaps w:val="0"/>
                <w:color w:val="auto"/>
                <w:sz w:val="24"/>
                <w:szCs w:val="21"/>
                <w:lang w:val="en-US" w:eastAsia="zh-CN"/>
              </w:rPr>
              <w:t>底部设置脱模剂回收槽，脱模剂经回收后循环使用，定期补充脱模剂，每年倒槽更换一次，压铸机</w:t>
            </w:r>
            <w:r>
              <w:rPr>
                <w:rFonts w:hint="eastAsia" w:ascii="Times New Roman" w:hAnsi="Times New Roman" w:eastAsia="宋体"/>
                <w:b w:val="0"/>
                <w:bCs/>
                <w:smallCaps w:val="0"/>
                <w:color w:val="auto"/>
                <w:sz w:val="24"/>
                <w:szCs w:val="21"/>
                <w:lang w:val="en-US" w:eastAsia="zh-CN"/>
              </w:rPr>
              <w:t>采用冷却水隔套冷却，冷却水经循环冷却水池冷却后循环回用，循环冷却水不外排，有少量蒸发定期添加。该工段产生</w:t>
            </w:r>
            <w:r>
              <w:rPr>
                <w:rFonts w:hint="eastAsia"/>
                <w:b w:val="0"/>
                <w:bCs/>
                <w:smallCaps w:val="0"/>
                <w:color w:val="auto"/>
                <w:sz w:val="24"/>
                <w:szCs w:val="21"/>
                <w:lang w:val="en-US" w:eastAsia="zh-CN"/>
              </w:rPr>
              <w:t>压铸烟尘</w:t>
            </w:r>
            <w:r>
              <w:rPr>
                <w:rFonts w:hint="eastAsia" w:ascii="Times New Roman" w:hAnsi="Times New Roman" w:eastAsia="宋体"/>
                <w:b w:val="0"/>
                <w:bCs/>
                <w:smallCaps w:val="0"/>
                <w:color w:val="auto"/>
                <w:sz w:val="24"/>
                <w:szCs w:val="21"/>
                <w:lang w:val="en-US" w:eastAsia="zh-CN"/>
              </w:rPr>
              <w:t>G3</w:t>
            </w:r>
            <w:r>
              <w:rPr>
                <w:rFonts w:hint="eastAsia"/>
                <w:b w:val="0"/>
                <w:bCs/>
                <w:smallCaps w:val="0"/>
                <w:color w:val="auto"/>
                <w:sz w:val="24"/>
                <w:szCs w:val="21"/>
                <w:lang w:val="en-US" w:eastAsia="zh-CN"/>
              </w:rPr>
              <w:t>、脱模剂废气G4、脱模废液S2</w:t>
            </w:r>
            <w:r>
              <w:rPr>
                <w:rFonts w:hint="eastAsia" w:ascii="Times New Roman" w:hAnsi="Times New Roman" w:eastAsia="宋体"/>
                <w:b w:val="0"/>
                <w:bCs/>
                <w:smallCaps w:val="0"/>
                <w:color w:val="auto"/>
                <w:sz w:val="24"/>
                <w:szCs w:val="21"/>
                <w:lang w:val="en-US" w:eastAsia="zh-CN"/>
              </w:rPr>
              <w:t>。</w:t>
            </w:r>
          </w:p>
          <w:p w14:paraId="1F92EADB">
            <w:pPr>
              <w:spacing w:line="360" w:lineRule="auto"/>
              <w:ind w:firstLine="480" w:firstLineChars="200"/>
              <w:rPr>
                <w:rFonts w:ascii="Times New Roman" w:hAnsi="Times New Roman" w:eastAsia="宋体"/>
                <w:b w:val="0"/>
                <w:bCs/>
                <w:smallCaps w:val="0"/>
                <w:color w:val="auto"/>
                <w:sz w:val="24"/>
                <w:szCs w:val="21"/>
              </w:rPr>
            </w:pPr>
            <w:r>
              <w:rPr>
                <w:rFonts w:hint="eastAsia" w:ascii="Times New Roman" w:hAnsi="Times New Roman" w:eastAsia="宋体"/>
                <w:b w:val="0"/>
                <w:bCs/>
                <w:smallCaps w:val="0"/>
                <w:color w:val="auto"/>
                <w:sz w:val="24"/>
                <w:szCs w:val="21"/>
              </w:rPr>
              <w:t>脱模：自然冷却后的压铸件半成品通过脱模得到压铸毛坯件。</w:t>
            </w:r>
          </w:p>
          <w:p w14:paraId="20FD07C8">
            <w:pPr>
              <w:tabs>
                <w:tab w:val="left" w:pos="3435"/>
              </w:tabs>
              <w:autoSpaceDE w:val="0"/>
              <w:autoSpaceDN w:val="0"/>
              <w:spacing w:line="360" w:lineRule="auto"/>
              <w:ind w:firstLine="480" w:firstLineChars="200"/>
              <w:rPr>
                <w:rFonts w:hint="default" w:ascii="Times New Roman" w:hAnsi="Times New Roman" w:eastAsia="宋体" w:cs="宋体"/>
                <w:b w:val="0"/>
                <w:bCs/>
                <w:color w:val="auto"/>
                <w:sz w:val="24"/>
                <w:szCs w:val="21"/>
                <w:highlight w:val="none"/>
                <w:lang w:val="en-US" w:eastAsia="zh-CN"/>
              </w:rPr>
            </w:pPr>
            <w:r>
              <w:rPr>
                <w:rFonts w:hint="eastAsia" w:cs="宋体"/>
                <w:b w:val="0"/>
                <w:bCs/>
                <w:color w:val="auto"/>
                <w:sz w:val="24"/>
                <w:szCs w:val="21"/>
                <w:highlight w:val="none"/>
                <w:lang w:val="en-US" w:eastAsia="zh-CN"/>
              </w:rPr>
              <w:t>打磨</w:t>
            </w:r>
            <w:r>
              <w:rPr>
                <w:rFonts w:hint="eastAsia" w:ascii="Times New Roman" w:hAnsi="Times New Roman" w:eastAsia="宋体" w:cs="宋体"/>
                <w:b w:val="0"/>
                <w:bCs/>
                <w:color w:val="auto"/>
                <w:sz w:val="24"/>
                <w:szCs w:val="21"/>
                <w:highlight w:val="none"/>
              </w:rPr>
              <w:t>：压铸毛坯件由人工敲去边角料，再通过</w:t>
            </w:r>
            <w:r>
              <w:rPr>
                <w:rFonts w:hint="eastAsia" w:cs="宋体"/>
                <w:b w:val="0"/>
                <w:bCs/>
                <w:color w:val="auto"/>
                <w:sz w:val="24"/>
                <w:szCs w:val="21"/>
                <w:highlight w:val="none"/>
                <w:lang w:val="en-US" w:eastAsia="zh-CN"/>
              </w:rPr>
              <w:t>卧式打磨机或人工手持打磨机</w:t>
            </w:r>
            <w:r>
              <w:rPr>
                <w:rFonts w:hint="eastAsia" w:ascii="Times New Roman" w:hAnsi="Times New Roman" w:eastAsia="宋体" w:cs="宋体"/>
                <w:b w:val="0"/>
                <w:bCs/>
                <w:color w:val="auto"/>
                <w:sz w:val="24"/>
                <w:szCs w:val="21"/>
                <w:highlight w:val="none"/>
              </w:rPr>
              <w:t>打磨去毛刺</w:t>
            </w:r>
            <w:r>
              <w:rPr>
                <w:rFonts w:hint="eastAsia" w:cs="宋体"/>
                <w:b w:val="0"/>
                <w:bCs/>
                <w:color w:val="auto"/>
                <w:sz w:val="24"/>
                <w:szCs w:val="21"/>
                <w:highlight w:val="none"/>
                <w:lang w:eastAsia="zh-CN"/>
              </w:rPr>
              <w:t>，</w:t>
            </w:r>
            <w:r>
              <w:rPr>
                <w:rFonts w:hint="eastAsia" w:cs="宋体"/>
                <w:b w:val="0"/>
                <w:bCs/>
                <w:color w:val="auto"/>
                <w:sz w:val="24"/>
                <w:szCs w:val="21"/>
                <w:highlight w:val="none"/>
                <w:lang w:val="en-US" w:eastAsia="zh-CN"/>
              </w:rPr>
              <w:t>边角料全部回用于熔化工序</w:t>
            </w:r>
            <w:r>
              <w:rPr>
                <w:rFonts w:hint="eastAsia" w:ascii="Times New Roman" w:hAnsi="Times New Roman" w:eastAsia="宋体" w:cs="宋体"/>
                <w:b w:val="0"/>
                <w:bCs/>
                <w:color w:val="auto"/>
                <w:sz w:val="24"/>
                <w:szCs w:val="21"/>
                <w:highlight w:val="none"/>
              </w:rPr>
              <w:t>。该工段产生</w:t>
            </w:r>
            <w:r>
              <w:rPr>
                <w:rFonts w:hint="eastAsia" w:cs="宋体"/>
                <w:b w:val="0"/>
                <w:bCs/>
                <w:color w:val="auto"/>
                <w:sz w:val="24"/>
                <w:szCs w:val="21"/>
                <w:highlight w:val="none"/>
                <w:lang w:val="en-US" w:eastAsia="zh-CN"/>
              </w:rPr>
              <w:t>打磨粉尘G5和</w:t>
            </w:r>
            <w:r>
              <w:rPr>
                <w:rFonts w:hint="eastAsia" w:ascii="Times New Roman" w:hAnsi="Times New Roman" w:eastAsia="宋体" w:cs="宋体"/>
                <w:b w:val="0"/>
                <w:bCs/>
                <w:color w:val="auto"/>
                <w:sz w:val="24"/>
                <w:szCs w:val="21"/>
                <w:highlight w:val="none"/>
              </w:rPr>
              <w:t>边角料</w:t>
            </w:r>
            <w:r>
              <w:rPr>
                <w:rFonts w:hint="eastAsia" w:ascii="Times New Roman" w:hAnsi="Times New Roman" w:eastAsia="宋体" w:cs="宋体"/>
                <w:b w:val="0"/>
                <w:bCs/>
                <w:color w:val="auto"/>
                <w:sz w:val="24"/>
                <w:szCs w:val="21"/>
                <w:highlight w:val="none"/>
                <w:lang w:val="en-US" w:eastAsia="zh-CN"/>
              </w:rPr>
              <w:t>S</w:t>
            </w:r>
            <w:r>
              <w:rPr>
                <w:rFonts w:hint="eastAsia" w:cs="宋体"/>
                <w:b w:val="0"/>
                <w:bCs/>
                <w:color w:val="auto"/>
                <w:sz w:val="24"/>
                <w:szCs w:val="21"/>
                <w:highlight w:val="none"/>
                <w:lang w:val="en-US" w:eastAsia="zh-CN"/>
              </w:rPr>
              <w:t>3。</w:t>
            </w:r>
          </w:p>
          <w:p w14:paraId="7D83C2D2">
            <w:pPr>
              <w:tabs>
                <w:tab w:val="left" w:pos="3435"/>
              </w:tabs>
              <w:autoSpaceDE w:val="0"/>
              <w:autoSpaceDN w:val="0"/>
              <w:spacing w:line="360" w:lineRule="auto"/>
              <w:ind w:firstLine="480" w:firstLineChars="200"/>
              <w:rPr>
                <w:rFonts w:ascii="Times New Roman" w:hAnsi="Times New Roman" w:eastAsia="宋体" w:cs="宋体"/>
                <w:b w:val="0"/>
                <w:bCs/>
                <w:color w:val="auto"/>
                <w:sz w:val="24"/>
                <w:szCs w:val="21"/>
                <w:highlight w:val="none"/>
              </w:rPr>
            </w:pPr>
            <w:r>
              <w:rPr>
                <w:rFonts w:hint="eastAsia" w:cs="宋体"/>
                <w:b w:val="0"/>
                <w:bCs/>
                <w:color w:val="auto"/>
                <w:sz w:val="24"/>
                <w:szCs w:val="21"/>
                <w:highlight w:val="none"/>
                <w:lang w:val="en-US" w:eastAsia="zh-CN"/>
              </w:rPr>
              <w:t>抛丸：</w:t>
            </w:r>
            <w:r>
              <w:rPr>
                <w:rFonts w:hint="eastAsia" w:cs="Times New Roman"/>
                <w:b w:val="0"/>
                <w:bCs/>
                <w:color w:val="auto"/>
                <w:sz w:val="24"/>
                <w:lang w:val="en-US" w:eastAsia="zh-CN"/>
              </w:rPr>
              <w:t>打磨后的坯料表面通过钢丸高速冲击坯料表面，进一步去除坯料表面毛刺，使得工件表面更加光洁，此工序产生抛丸粉尘 G6</w:t>
            </w:r>
            <w:r>
              <w:rPr>
                <w:rFonts w:hint="eastAsia" w:ascii="Times New Roman" w:hAnsi="Times New Roman" w:eastAsia="宋体" w:cs="宋体"/>
                <w:b w:val="0"/>
                <w:bCs/>
                <w:color w:val="auto"/>
                <w:sz w:val="24"/>
                <w:szCs w:val="21"/>
                <w:highlight w:val="none"/>
              </w:rPr>
              <w:t>。</w:t>
            </w:r>
          </w:p>
          <w:p w14:paraId="3A43E4EE">
            <w:pPr>
              <w:tabs>
                <w:tab w:val="left" w:pos="3435"/>
              </w:tabs>
              <w:autoSpaceDE w:val="0"/>
              <w:autoSpaceDN w:val="0"/>
              <w:spacing w:line="360" w:lineRule="auto"/>
              <w:ind w:firstLine="480" w:firstLineChars="200"/>
              <w:rPr>
                <w:rFonts w:ascii="Times New Roman" w:hAnsi="Times New Roman" w:eastAsia="宋体" w:cs="宋体"/>
                <w:b w:val="0"/>
                <w:bCs/>
                <w:color w:val="auto"/>
                <w:sz w:val="24"/>
                <w:szCs w:val="21"/>
                <w:highlight w:val="none"/>
              </w:rPr>
            </w:pPr>
            <w:r>
              <w:rPr>
                <w:rFonts w:hint="eastAsia" w:cs="宋体"/>
                <w:b w:val="0"/>
                <w:bCs/>
                <w:color w:val="auto"/>
                <w:sz w:val="24"/>
                <w:szCs w:val="21"/>
                <w:highlight w:val="none"/>
                <w:lang w:val="en-US" w:eastAsia="zh-CN"/>
              </w:rPr>
              <w:t>机加工：该工序不涉及技改，根据产品需求，对坯料进行冲、车、钻加工，采用湿式机加工的方式，乳化液与水配置比例为1：14，乳化液循环使用，定期添加，定期更换，此工序产生废边角料S4、废乳化液S5</w:t>
            </w:r>
            <w:r>
              <w:rPr>
                <w:rFonts w:hint="eastAsia" w:ascii="Times New Roman" w:hAnsi="Times New Roman" w:eastAsia="宋体" w:cs="宋体"/>
                <w:b w:val="0"/>
                <w:bCs/>
                <w:color w:val="auto"/>
                <w:sz w:val="24"/>
                <w:szCs w:val="21"/>
                <w:highlight w:val="none"/>
              </w:rPr>
              <w:t>。</w:t>
            </w:r>
          </w:p>
          <w:p w14:paraId="15E8FA78">
            <w:pPr>
              <w:tabs>
                <w:tab w:val="left" w:pos="3435"/>
              </w:tabs>
              <w:autoSpaceDE w:val="0"/>
              <w:autoSpaceDN w:val="0"/>
              <w:spacing w:line="360" w:lineRule="auto"/>
              <w:ind w:firstLine="480" w:firstLineChars="200"/>
              <w:rPr>
                <w:rFonts w:hint="eastAsia" w:cs="宋体"/>
                <w:b w:val="0"/>
                <w:bCs/>
                <w:color w:val="auto"/>
                <w:sz w:val="24"/>
                <w:szCs w:val="21"/>
                <w:highlight w:val="none"/>
                <w:lang w:val="en-US" w:eastAsia="zh-CN"/>
              </w:rPr>
            </w:pPr>
            <w:r>
              <w:rPr>
                <w:rFonts w:hint="eastAsia" w:cs="宋体"/>
                <w:b w:val="0"/>
                <w:bCs/>
                <w:color w:val="auto"/>
                <w:sz w:val="24"/>
                <w:szCs w:val="21"/>
                <w:highlight w:val="none"/>
                <w:lang w:val="en-US" w:eastAsia="zh-CN"/>
              </w:rPr>
              <w:t>振光：部分产品根据客户需求为去除机加工工序中工件表面沾染的乳化液，并对工件进行抛光处理，以增加工件表面的光亮度，振光机内添加光亮剂及清洗剂，槽液循环使用定期添加，每周整体倒槽更换一次，更换下的振光废水经厂区废水处理设施处理后回用于清洗工序，由于本项目使用的清洗剂挥发性有机物含量仅为1~3%（原液），且年用量仅为0.1t，产生的挥发性有机物十分有限，本报告不做定量分析，此工序产生振光废水W1、非甲烷总烃G7。</w:t>
            </w:r>
          </w:p>
          <w:p w14:paraId="659C3142">
            <w:pPr>
              <w:tabs>
                <w:tab w:val="left" w:pos="3435"/>
              </w:tabs>
              <w:autoSpaceDE w:val="0"/>
              <w:autoSpaceDN w:val="0"/>
              <w:spacing w:line="360" w:lineRule="auto"/>
              <w:ind w:firstLine="480" w:firstLineChars="200"/>
              <w:rPr>
                <w:rFonts w:hint="default" w:ascii="Times New Roman" w:hAnsi="Times New Roman" w:eastAsia="宋体" w:cs="宋体"/>
                <w:b w:val="0"/>
                <w:bCs/>
                <w:color w:val="auto"/>
                <w:sz w:val="24"/>
                <w:szCs w:val="21"/>
                <w:highlight w:val="none"/>
                <w:lang w:val="en-US" w:eastAsia="zh-CN"/>
              </w:rPr>
            </w:pPr>
            <w:r>
              <w:rPr>
                <w:rFonts w:hint="eastAsia" w:cs="宋体"/>
                <w:b w:val="0"/>
                <w:bCs/>
                <w:color w:val="auto"/>
                <w:sz w:val="24"/>
                <w:szCs w:val="21"/>
                <w:highlight w:val="none"/>
                <w:lang w:val="en-US" w:eastAsia="zh-CN"/>
              </w:rPr>
              <w:t>清洗：振光后的工件在清洗池内经人工清洗以进一步去除表面残留的污渍，清洗后自然晾干，此工序产生清洗废水W2。</w:t>
            </w:r>
          </w:p>
          <w:p w14:paraId="6A67B8E2">
            <w:pPr>
              <w:tabs>
                <w:tab w:val="left" w:pos="3435"/>
              </w:tabs>
              <w:autoSpaceDE w:val="0"/>
              <w:autoSpaceDN w:val="0"/>
              <w:spacing w:line="360" w:lineRule="auto"/>
              <w:ind w:firstLine="480" w:firstLineChars="200"/>
              <w:rPr>
                <w:rFonts w:hint="default" w:ascii="Times New Roman" w:hAnsi="Times New Roman" w:eastAsia="宋体" w:cs="宋体"/>
                <w:b w:val="0"/>
                <w:bCs/>
                <w:color w:val="auto"/>
                <w:sz w:val="24"/>
                <w:szCs w:val="21"/>
                <w:highlight w:val="none"/>
                <w:lang w:val="en-US" w:eastAsia="zh-CN"/>
              </w:rPr>
            </w:pPr>
            <w:r>
              <w:rPr>
                <w:rFonts w:hint="eastAsia" w:cs="宋体"/>
                <w:b w:val="0"/>
                <w:bCs/>
                <w:color w:val="auto"/>
                <w:sz w:val="24"/>
                <w:szCs w:val="21"/>
                <w:highlight w:val="none"/>
                <w:lang w:val="en-US" w:eastAsia="zh-CN"/>
              </w:rPr>
              <w:t>检验：通过人工对产品进行的外观检验，此工序产生不合格品S6。</w:t>
            </w:r>
          </w:p>
          <w:p w14:paraId="0EB14709">
            <w:pPr>
              <w:tabs>
                <w:tab w:val="left" w:pos="3435"/>
              </w:tabs>
              <w:autoSpaceDE w:val="0"/>
              <w:autoSpaceDN w:val="0"/>
              <w:spacing w:line="360" w:lineRule="auto"/>
              <w:ind w:firstLine="480" w:firstLineChars="200"/>
              <w:rPr>
                <w:rFonts w:hint="eastAsia" w:cs="宋体"/>
                <w:b w:val="0"/>
                <w:bCs/>
                <w:color w:val="auto"/>
                <w:sz w:val="24"/>
                <w:szCs w:val="21"/>
                <w:highlight w:val="none"/>
                <w:lang w:val="en-US" w:eastAsia="zh-CN"/>
              </w:rPr>
            </w:pPr>
            <w:r>
              <w:rPr>
                <w:rFonts w:hint="eastAsia" w:cs="宋体"/>
                <w:b w:val="0"/>
                <w:bCs/>
                <w:color w:val="auto"/>
                <w:sz w:val="24"/>
                <w:szCs w:val="21"/>
                <w:highlight w:val="none"/>
                <w:lang w:val="en-US" w:eastAsia="zh-CN"/>
              </w:rPr>
              <w:t>打标：检验合格的产品通过打标机对产品打上规格型号、产品LOGO等信息</w:t>
            </w:r>
            <w:r>
              <w:rPr>
                <w:rFonts w:hint="eastAsia" w:ascii="Times New Roman" w:hAnsi="Times New Roman" w:eastAsia="宋体" w:cs="宋体"/>
                <w:b w:val="0"/>
                <w:bCs/>
                <w:color w:val="auto"/>
                <w:sz w:val="24"/>
                <w:szCs w:val="21"/>
                <w:highlight w:val="none"/>
              </w:rPr>
              <w:t>。</w:t>
            </w:r>
          </w:p>
          <w:p w14:paraId="3D9022BC">
            <w:pPr>
              <w:tabs>
                <w:tab w:val="left" w:pos="3435"/>
              </w:tabs>
              <w:autoSpaceDE w:val="0"/>
              <w:autoSpaceDN w:val="0"/>
              <w:spacing w:line="360" w:lineRule="auto"/>
              <w:ind w:firstLine="480" w:firstLineChars="200"/>
              <w:rPr>
                <w:rFonts w:hint="default" w:ascii="Times New Roman" w:hAnsi="Times New Roman" w:eastAsia="宋体" w:cs="宋体"/>
                <w:b w:val="0"/>
                <w:bCs/>
                <w:color w:val="auto"/>
                <w:sz w:val="24"/>
                <w:szCs w:val="21"/>
                <w:highlight w:val="none"/>
                <w:lang w:val="en-US" w:eastAsia="zh-CN"/>
              </w:rPr>
            </w:pPr>
            <w:r>
              <w:rPr>
                <w:rFonts w:hint="eastAsia" w:cs="宋体"/>
                <w:b w:val="0"/>
                <w:bCs/>
                <w:color w:val="auto"/>
                <w:sz w:val="24"/>
                <w:szCs w:val="21"/>
                <w:highlight w:val="none"/>
                <w:lang w:val="en-US" w:eastAsia="zh-CN"/>
              </w:rPr>
              <w:t>设备维护：本项目定期对机加工设备进行维护，更换导轨油，定期对压铸机中液压油进行更换，此过程产生废矿物油。</w:t>
            </w:r>
          </w:p>
          <w:p w14:paraId="284EB1DD">
            <w:pPr>
              <w:tabs>
                <w:tab w:val="left" w:pos="960"/>
              </w:tabs>
              <w:spacing w:beforeLines="50"/>
              <w:jc w:val="center"/>
              <w:rPr>
                <w:rFonts w:ascii="Times New Roman" w:hAnsi="Times New Roman" w:eastAsia="宋体" w:cs="宋体"/>
                <w:b w:val="0"/>
                <w:bCs/>
                <w:color w:val="auto"/>
                <w:spacing w:val="-4"/>
                <w:szCs w:val="21"/>
                <w:highlight w:val="none"/>
              </w:rPr>
            </w:pPr>
          </w:p>
          <w:p w14:paraId="1CEB663C">
            <w:pPr>
              <w:tabs>
                <w:tab w:val="left" w:pos="960"/>
              </w:tabs>
              <w:spacing w:beforeLines="50"/>
              <w:jc w:val="center"/>
              <w:rPr>
                <w:rFonts w:ascii="Times New Roman" w:hAnsi="Times New Roman" w:eastAsia="宋体" w:cs="宋体"/>
                <w:b w:val="0"/>
                <w:bCs/>
                <w:color w:val="auto"/>
                <w:spacing w:val="-4"/>
                <w:szCs w:val="21"/>
                <w:highlight w:val="none"/>
              </w:rPr>
            </w:pPr>
          </w:p>
          <w:p w14:paraId="2E3167F2">
            <w:pPr>
              <w:tabs>
                <w:tab w:val="left" w:pos="960"/>
              </w:tabs>
              <w:spacing w:beforeLines="50"/>
              <w:jc w:val="center"/>
              <w:rPr>
                <w:rFonts w:ascii="Times New Roman" w:hAnsi="Times New Roman" w:eastAsia="宋体" w:cs="宋体"/>
                <w:b w:val="0"/>
                <w:bCs/>
                <w:color w:val="auto"/>
                <w:spacing w:val="-4"/>
                <w:szCs w:val="21"/>
                <w:highlight w:val="none"/>
              </w:rPr>
            </w:pPr>
          </w:p>
          <w:p w14:paraId="6DE5D26B">
            <w:pPr>
              <w:tabs>
                <w:tab w:val="left" w:pos="960"/>
              </w:tabs>
              <w:spacing w:beforeLines="50"/>
              <w:jc w:val="center"/>
              <w:rPr>
                <w:rFonts w:ascii="Times New Roman" w:hAnsi="Times New Roman" w:eastAsia="宋体" w:cs="宋体"/>
                <w:b w:val="0"/>
                <w:bCs/>
                <w:color w:val="auto"/>
                <w:spacing w:val="-4"/>
                <w:szCs w:val="21"/>
                <w:highlight w:val="none"/>
              </w:rPr>
            </w:pPr>
          </w:p>
          <w:p w14:paraId="26AAE064">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rPr>
              <w:t xml:space="preserve">2.2-1  </w:t>
            </w:r>
            <w:r>
              <w:rPr>
                <w:rFonts w:ascii="Times New Roman" w:hAnsi="Times New Roman" w:eastAsia="宋体" w:cs="宋体"/>
                <w:b/>
                <w:bCs w:val="0"/>
                <w:color w:val="auto"/>
                <w:spacing w:val="-4"/>
                <w:szCs w:val="21"/>
                <w:highlight w:val="none"/>
              </w:rPr>
              <w:t>主要产污环节和排污特征</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11"/>
              <w:gridCol w:w="871"/>
              <w:gridCol w:w="1090"/>
              <w:gridCol w:w="1903"/>
              <w:gridCol w:w="860"/>
              <w:gridCol w:w="3105"/>
            </w:tblGrid>
            <w:tr w14:paraId="046411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Align w:val="center"/>
                </w:tcPr>
                <w:p w14:paraId="00E69681">
                  <w:pPr>
                    <w:autoSpaceDE w:val="0"/>
                    <w:autoSpaceDN w:val="0"/>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类别</w:t>
                  </w:r>
                </w:p>
              </w:tc>
              <w:tc>
                <w:tcPr>
                  <w:tcW w:w="522" w:type="pct"/>
                  <w:vAlign w:val="center"/>
                </w:tcPr>
                <w:p w14:paraId="140C85E9">
                  <w:pPr>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代码</w:t>
                  </w:r>
                </w:p>
              </w:tc>
              <w:tc>
                <w:tcPr>
                  <w:tcW w:w="653" w:type="pct"/>
                  <w:vAlign w:val="center"/>
                </w:tcPr>
                <w:p w14:paraId="65B400DE">
                  <w:pPr>
                    <w:autoSpaceDE w:val="0"/>
                    <w:autoSpaceDN w:val="0"/>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产生点</w:t>
                  </w:r>
                </w:p>
              </w:tc>
              <w:tc>
                <w:tcPr>
                  <w:tcW w:w="1140" w:type="pct"/>
                  <w:vAlign w:val="center"/>
                </w:tcPr>
                <w:p w14:paraId="40CF521F">
                  <w:pPr>
                    <w:autoSpaceDE w:val="0"/>
                    <w:autoSpaceDN w:val="0"/>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污染物</w:t>
                  </w:r>
                </w:p>
              </w:tc>
              <w:tc>
                <w:tcPr>
                  <w:tcW w:w="515" w:type="pct"/>
                  <w:vAlign w:val="center"/>
                </w:tcPr>
                <w:p w14:paraId="11198B61">
                  <w:pPr>
                    <w:autoSpaceDE w:val="0"/>
                    <w:autoSpaceDN w:val="0"/>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产生特征</w:t>
                  </w:r>
                </w:p>
              </w:tc>
              <w:tc>
                <w:tcPr>
                  <w:tcW w:w="1860" w:type="pct"/>
                  <w:vAlign w:val="center"/>
                </w:tcPr>
                <w:p w14:paraId="31647335">
                  <w:pPr>
                    <w:autoSpaceDE w:val="0"/>
                    <w:autoSpaceDN w:val="0"/>
                    <w:snapToGrid w:val="0"/>
                    <w:jc w:val="center"/>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采取的措施及去向</w:t>
                  </w:r>
                </w:p>
              </w:tc>
            </w:tr>
            <w:tr w14:paraId="28DF92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restart"/>
                  <w:vAlign w:val="center"/>
                </w:tcPr>
                <w:p w14:paraId="2B3A20CA">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废气</w:t>
                  </w:r>
                </w:p>
              </w:tc>
              <w:tc>
                <w:tcPr>
                  <w:tcW w:w="522" w:type="pct"/>
                  <w:vAlign w:val="center"/>
                </w:tcPr>
                <w:p w14:paraId="73CA3012">
                  <w:pPr>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G1</w:t>
                  </w:r>
                </w:p>
              </w:tc>
              <w:tc>
                <w:tcPr>
                  <w:tcW w:w="653" w:type="pct"/>
                  <w:vAlign w:val="center"/>
                </w:tcPr>
                <w:p w14:paraId="6BAA6B8A">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熔化</w:t>
                  </w:r>
                </w:p>
              </w:tc>
              <w:tc>
                <w:tcPr>
                  <w:tcW w:w="1140" w:type="pct"/>
                  <w:vAlign w:val="center"/>
                </w:tcPr>
                <w:p w14:paraId="4FAEE862">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颗粒物</w:t>
                  </w:r>
                </w:p>
              </w:tc>
              <w:tc>
                <w:tcPr>
                  <w:tcW w:w="515" w:type="pct"/>
                  <w:vAlign w:val="center"/>
                </w:tcPr>
                <w:p w14:paraId="399FF4FD">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间歇</w:t>
                  </w:r>
                </w:p>
              </w:tc>
              <w:tc>
                <w:tcPr>
                  <w:tcW w:w="1860" w:type="pct"/>
                  <w:vMerge w:val="restart"/>
                  <w:vAlign w:val="center"/>
                </w:tcPr>
                <w:p w14:paraId="66F72486">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b w:val="0"/>
                      <w:smallCaps w:val="0"/>
                      <w:color w:val="auto"/>
                      <w:lang w:val="en-US" w:eastAsia="zh-CN"/>
                    </w:rPr>
                    <w:t>经水喷淋</w:t>
                  </w:r>
                  <w:r>
                    <w:rPr>
                      <w:rFonts w:hint="eastAsia" w:ascii="Times New Roman" w:hAnsi="Times New Roman" w:eastAsia="宋体"/>
                      <w:b w:val="0"/>
                      <w:smallCaps w:val="0"/>
                      <w:color w:val="auto"/>
                    </w:rPr>
                    <w:t>装置处理，</w:t>
                  </w:r>
                  <w:r>
                    <w:rPr>
                      <w:rFonts w:hint="eastAsia" w:ascii="Times New Roman" w:hAnsi="Times New Roman" w:eastAsia="宋体" w:cs="宋体"/>
                      <w:b w:val="0"/>
                      <w:smallCaps w:val="0"/>
                      <w:color w:val="auto"/>
                      <w:highlight w:val="none"/>
                      <w:lang w:val="en-US" w:eastAsia="zh-CN"/>
                    </w:rPr>
                    <w:t>15m高排气筒FQ-1</w:t>
                  </w:r>
                  <w:r>
                    <w:rPr>
                      <w:rFonts w:hint="eastAsia" w:ascii="Times New Roman" w:hAnsi="Times New Roman" w:eastAsia="宋体" w:cs="宋体"/>
                      <w:b w:val="0"/>
                      <w:smallCaps w:val="0"/>
                      <w:color w:val="auto"/>
                      <w:highlight w:val="none"/>
                      <w:lang w:eastAsia="zh-CN"/>
                    </w:rPr>
                    <w:t>排放</w:t>
                  </w:r>
                </w:p>
              </w:tc>
            </w:tr>
            <w:tr w14:paraId="492D27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4847C19">
                  <w:pPr>
                    <w:autoSpaceDE w:val="0"/>
                    <w:autoSpaceDN w:val="0"/>
                    <w:snapToGrid w:val="0"/>
                    <w:jc w:val="center"/>
                    <w:rPr>
                      <w:rFonts w:ascii="Times New Roman" w:hAnsi="Times New Roman" w:eastAsia="宋体" w:cs="宋体"/>
                      <w:b w:val="0"/>
                      <w:bCs/>
                      <w:color w:val="auto"/>
                      <w:szCs w:val="21"/>
                      <w:highlight w:val="none"/>
                    </w:rPr>
                  </w:pPr>
                </w:p>
              </w:tc>
              <w:tc>
                <w:tcPr>
                  <w:tcW w:w="522" w:type="pct"/>
                  <w:vAlign w:val="center"/>
                </w:tcPr>
                <w:p w14:paraId="3BAAC6C5">
                  <w:pPr>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G2</w:t>
                  </w:r>
                </w:p>
              </w:tc>
              <w:tc>
                <w:tcPr>
                  <w:tcW w:w="653" w:type="pct"/>
                  <w:vAlign w:val="center"/>
                </w:tcPr>
                <w:p w14:paraId="4FA5C548">
                  <w:pPr>
                    <w:autoSpaceDE w:val="0"/>
                    <w:autoSpaceDN w:val="0"/>
                    <w:snapToGrid w:val="0"/>
                    <w:jc w:val="center"/>
                    <w:rPr>
                      <w:rFonts w:hint="default" w:ascii="Times New Roman" w:hAnsi="Times New Roman" w:eastAsia="宋体" w:cs="宋体"/>
                      <w:b w:val="0"/>
                      <w:bCs/>
                      <w:color w:val="auto"/>
                      <w:szCs w:val="21"/>
                      <w:highlight w:val="none"/>
                      <w:lang w:val="en-US" w:eastAsia="zh-CN"/>
                    </w:rPr>
                  </w:pPr>
                  <w:r>
                    <w:rPr>
                      <w:rFonts w:hint="eastAsia" w:cs="宋体"/>
                      <w:b w:val="0"/>
                      <w:bCs/>
                      <w:color w:val="auto"/>
                      <w:szCs w:val="21"/>
                      <w:highlight w:val="none"/>
                      <w:lang w:val="en-US" w:eastAsia="zh-CN"/>
                    </w:rPr>
                    <w:t>天然气燃烧</w:t>
                  </w:r>
                </w:p>
              </w:tc>
              <w:tc>
                <w:tcPr>
                  <w:tcW w:w="1140" w:type="pct"/>
                  <w:vAlign w:val="center"/>
                </w:tcPr>
                <w:p w14:paraId="08A89BCA">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ascii="Times New Roman" w:hAnsi="Times New Roman" w:eastAsia="宋体" w:cs="宋体"/>
                      <w:b w:val="0"/>
                      <w:bCs/>
                      <w:color w:val="auto"/>
                      <w:szCs w:val="21"/>
                      <w:highlight w:val="none"/>
                      <w:lang w:val="en-US" w:eastAsia="zh-CN"/>
                    </w:rPr>
                    <w:t>颗粒物、二氧化硫、氮氧化物</w:t>
                  </w:r>
                </w:p>
              </w:tc>
              <w:tc>
                <w:tcPr>
                  <w:tcW w:w="515" w:type="pct"/>
                  <w:vAlign w:val="center"/>
                </w:tcPr>
                <w:p w14:paraId="79FF84DB">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间歇</w:t>
                  </w:r>
                </w:p>
              </w:tc>
              <w:tc>
                <w:tcPr>
                  <w:tcW w:w="1860" w:type="pct"/>
                  <w:vMerge w:val="continue"/>
                  <w:vAlign w:val="center"/>
                </w:tcPr>
                <w:p w14:paraId="6FFB6838">
                  <w:pPr>
                    <w:autoSpaceDE w:val="0"/>
                    <w:autoSpaceDN w:val="0"/>
                    <w:snapToGrid w:val="0"/>
                    <w:jc w:val="center"/>
                    <w:rPr>
                      <w:rFonts w:ascii="Times New Roman" w:hAnsi="Times New Roman" w:eastAsia="宋体" w:cs="宋体"/>
                      <w:b w:val="0"/>
                      <w:bCs/>
                      <w:color w:val="auto"/>
                      <w:szCs w:val="21"/>
                      <w:highlight w:val="none"/>
                    </w:rPr>
                  </w:pPr>
                </w:p>
              </w:tc>
            </w:tr>
            <w:tr w14:paraId="526330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5A4A6116">
                  <w:pPr>
                    <w:autoSpaceDE w:val="0"/>
                    <w:autoSpaceDN w:val="0"/>
                    <w:snapToGrid w:val="0"/>
                    <w:jc w:val="center"/>
                    <w:rPr>
                      <w:rFonts w:ascii="Times New Roman" w:hAnsi="Times New Roman" w:eastAsia="宋体" w:cs="宋体"/>
                      <w:b w:val="0"/>
                      <w:bCs/>
                      <w:color w:val="auto"/>
                      <w:szCs w:val="21"/>
                      <w:highlight w:val="none"/>
                    </w:rPr>
                  </w:pPr>
                </w:p>
              </w:tc>
              <w:tc>
                <w:tcPr>
                  <w:tcW w:w="522" w:type="pct"/>
                  <w:vMerge w:val="restart"/>
                  <w:vAlign w:val="center"/>
                </w:tcPr>
                <w:p w14:paraId="042BFA56">
                  <w:pPr>
                    <w:snapToGrid w:val="0"/>
                    <w:jc w:val="center"/>
                    <w:rPr>
                      <w:rFonts w:hint="default" w:ascii="Times New Roman" w:hAnsi="Times New Roman" w:eastAsia="宋体" w:cs="宋体"/>
                      <w:b w:val="0"/>
                      <w:bCs/>
                      <w:color w:val="auto"/>
                      <w:szCs w:val="21"/>
                      <w:highlight w:val="none"/>
                      <w:lang w:val="en-US" w:eastAsia="zh-CN"/>
                    </w:rPr>
                  </w:pPr>
                  <w:r>
                    <w:rPr>
                      <w:rFonts w:hint="eastAsia" w:ascii="Times New Roman" w:hAnsi="Times New Roman" w:eastAsia="宋体" w:cs="宋体"/>
                      <w:b w:val="0"/>
                      <w:bCs/>
                      <w:color w:val="auto"/>
                      <w:szCs w:val="21"/>
                      <w:highlight w:val="none"/>
                    </w:rPr>
                    <w:t>G3</w:t>
                  </w:r>
                  <w:r>
                    <w:rPr>
                      <w:rFonts w:hint="eastAsia"/>
                      <w:b w:val="0"/>
                      <w:color w:val="auto"/>
                      <w:lang w:eastAsia="zh-CN"/>
                    </w:rPr>
                    <w:t>、</w:t>
                  </w:r>
                  <w:r>
                    <w:rPr>
                      <w:rFonts w:hint="eastAsia"/>
                      <w:b w:val="0"/>
                      <w:color w:val="auto"/>
                      <w:lang w:val="en-US" w:eastAsia="zh-CN"/>
                    </w:rPr>
                    <w:t>G4</w:t>
                  </w:r>
                </w:p>
              </w:tc>
              <w:tc>
                <w:tcPr>
                  <w:tcW w:w="653" w:type="pct"/>
                  <w:vMerge w:val="restart"/>
                  <w:vAlign w:val="center"/>
                </w:tcPr>
                <w:p w14:paraId="201AE440">
                  <w:pPr>
                    <w:autoSpaceDE w:val="0"/>
                    <w:autoSpaceDN w:val="0"/>
                    <w:snapToGrid w:val="0"/>
                    <w:jc w:val="center"/>
                    <w:rPr>
                      <w:rFonts w:hint="default" w:ascii="Times New Roman" w:hAnsi="Times New Roman" w:eastAsia="宋体" w:cs="宋体"/>
                      <w:b w:val="0"/>
                      <w:bCs/>
                      <w:color w:val="auto"/>
                      <w:szCs w:val="21"/>
                      <w:highlight w:val="none"/>
                      <w:lang w:val="en-US" w:eastAsia="zh-CN"/>
                    </w:rPr>
                  </w:pPr>
                  <w:r>
                    <w:rPr>
                      <w:rFonts w:hint="eastAsia" w:cs="宋体"/>
                      <w:b w:val="0"/>
                      <w:bCs/>
                      <w:color w:val="auto"/>
                      <w:szCs w:val="21"/>
                      <w:highlight w:val="none"/>
                      <w:lang w:val="en-US" w:eastAsia="zh-CN"/>
                    </w:rPr>
                    <w:t>压铸</w:t>
                  </w:r>
                </w:p>
              </w:tc>
              <w:tc>
                <w:tcPr>
                  <w:tcW w:w="1140" w:type="pct"/>
                  <w:vAlign w:val="center"/>
                </w:tcPr>
                <w:p w14:paraId="40D0C388">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颗粒物</w:t>
                  </w:r>
                </w:p>
              </w:tc>
              <w:tc>
                <w:tcPr>
                  <w:tcW w:w="515" w:type="pct"/>
                  <w:vAlign w:val="center"/>
                </w:tcPr>
                <w:p w14:paraId="633E9142">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间歇</w:t>
                  </w:r>
                </w:p>
              </w:tc>
              <w:tc>
                <w:tcPr>
                  <w:tcW w:w="1860" w:type="pct"/>
                  <w:vMerge w:val="restart"/>
                  <w:vAlign w:val="center"/>
                </w:tcPr>
                <w:p w14:paraId="16E02842">
                  <w:pPr>
                    <w:snapToGrid w:val="0"/>
                    <w:jc w:val="center"/>
                    <w:rPr>
                      <w:rFonts w:hint="eastAsia" w:ascii="Times New Roman" w:hAnsi="Times New Roman" w:eastAsia="宋体" w:cs="Times New Roman"/>
                      <w:b w:val="0"/>
                      <w:smallCaps w:val="0"/>
                      <w:color w:val="auto"/>
                      <w:kern w:val="2"/>
                      <w:sz w:val="21"/>
                      <w:szCs w:val="24"/>
                      <w:lang w:val="en-US" w:eastAsia="zh-CN" w:bidi="ar-SA"/>
                    </w:rPr>
                  </w:pPr>
                  <w:r>
                    <w:rPr>
                      <w:rFonts w:hint="eastAsia" w:ascii="Times New Roman" w:hAnsi="Times New Roman" w:eastAsia="宋体"/>
                      <w:b w:val="0"/>
                      <w:smallCaps w:val="0"/>
                      <w:color w:val="auto"/>
                    </w:rPr>
                    <w:t>经</w:t>
                  </w:r>
                  <w:r>
                    <w:rPr>
                      <w:rFonts w:hint="eastAsia" w:ascii="Times New Roman" w:hAnsi="Times New Roman" w:eastAsia="宋体"/>
                      <w:b w:val="0"/>
                      <w:smallCaps w:val="0"/>
                      <w:color w:val="auto"/>
                      <w:lang w:val="en-US" w:eastAsia="zh-CN"/>
                    </w:rPr>
                    <w:t>静电</w:t>
                  </w:r>
                  <w:r>
                    <w:rPr>
                      <w:rFonts w:hint="eastAsia" w:ascii="Times New Roman" w:hAnsi="Times New Roman" w:eastAsia="宋体"/>
                      <w:b w:val="0"/>
                      <w:smallCaps w:val="0"/>
                      <w:color w:val="auto"/>
                    </w:rPr>
                    <w:t>除</w:t>
                  </w:r>
                  <w:r>
                    <w:rPr>
                      <w:rFonts w:hint="eastAsia"/>
                      <w:b w:val="0"/>
                      <w:smallCaps w:val="0"/>
                      <w:color w:val="auto"/>
                      <w:lang w:val="en-US" w:eastAsia="zh-CN"/>
                    </w:rPr>
                    <w:t>油+水喷淋+除湿</w:t>
                  </w:r>
                  <w:r>
                    <w:rPr>
                      <w:rFonts w:hint="eastAsia" w:ascii="Times New Roman" w:hAnsi="Times New Roman" w:eastAsia="宋体"/>
                      <w:b w:val="0"/>
                      <w:smallCaps w:val="0"/>
                      <w:color w:val="auto"/>
                      <w:lang w:val="en-US" w:eastAsia="zh-CN"/>
                    </w:rPr>
                    <w:t>+二级活性炭</w:t>
                  </w:r>
                  <w:r>
                    <w:rPr>
                      <w:rFonts w:hint="eastAsia" w:ascii="Times New Roman" w:hAnsi="Times New Roman" w:eastAsia="宋体"/>
                      <w:b w:val="0"/>
                      <w:smallCaps w:val="0"/>
                      <w:color w:val="auto"/>
                    </w:rPr>
                    <w:t>装置处理，</w:t>
                  </w:r>
                  <w:r>
                    <w:rPr>
                      <w:rFonts w:hint="eastAsia" w:ascii="Times New Roman" w:hAnsi="Times New Roman" w:eastAsia="宋体" w:cs="宋体"/>
                      <w:b w:val="0"/>
                      <w:smallCaps w:val="0"/>
                      <w:color w:val="auto"/>
                      <w:highlight w:val="none"/>
                      <w:lang w:val="en-US" w:eastAsia="zh-CN"/>
                    </w:rPr>
                    <w:t>15m高排气筒FQ-1</w:t>
                  </w:r>
                  <w:r>
                    <w:rPr>
                      <w:rFonts w:hint="eastAsia" w:ascii="Times New Roman" w:hAnsi="Times New Roman" w:eastAsia="宋体" w:cs="宋体"/>
                      <w:b w:val="0"/>
                      <w:smallCaps w:val="0"/>
                      <w:color w:val="auto"/>
                      <w:highlight w:val="none"/>
                      <w:lang w:eastAsia="zh-CN"/>
                    </w:rPr>
                    <w:t>排放</w:t>
                  </w:r>
                </w:p>
              </w:tc>
            </w:tr>
            <w:tr w14:paraId="73C7F0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6100CB3">
                  <w:pPr>
                    <w:autoSpaceDE w:val="0"/>
                    <w:autoSpaceDN w:val="0"/>
                    <w:snapToGrid w:val="0"/>
                    <w:jc w:val="center"/>
                    <w:rPr>
                      <w:rFonts w:ascii="Times New Roman" w:hAnsi="Times New Roman" w:eastAsia="宋体" w:cs="宋体"/>
                      <w:b w:val="0"/>
                      <w:bCs/>
                      <w:color w:val="auto"/>
                      <w:szCs w:val="21"/>
                      <w:highlight w:val="none"/>
                    </w:rPr>
                  </w:pPr>
                </w:p>
              </w:tc>
              <w:tc>
                <w:tcPr>
                  <w:tcW w:w="522" w:type="pct"/>
                  <w:vMerge w:val="continue"/>
                  <w:vAlign w:val="center"/>
                </w:tcPr>
                <w:p w14:paraId="689A41E1">
                  <w:pPr>
                    <w:snapToGrid w:val="0"/>
                    <w:jc w:val="center"/>
                    <w:rPr>
                      <w:rFonts w:hint="default" w:ascii="Times New Roman" w:hAnsi="Times New Roman" w:eastAsia="宋体" w:cs="宋体"/>
                      <w:b w:val="0"/>
                      <w:bCs/>
                      <w:color w:val="auto"/>
                      <w:szCs w:val="21"/>
                      <w:highlight w:val="none"/>
                      <w:lang w:val="en-US" w:eastAsia="zh-CN"/>
                    </w:rPr>
                  </w:pPr>
                </w:p>
              </w:tc>
              <w:tc>
                <w:tcPr>
                  <w:tcW w:w="653" w:type="pct"/>
                  <w:vMerge w:val="continue"/>
                  <w:vAlign w:val="center"/>
                </w:tcPr>
                <w:p w14:paraId="4F6BE749">
                  <w:pPr>
                    <w:autoSpaceDE w:val="0"/>
                    <w:autoSpaceDN w:val="0"/>
                    <w:snapToGrid w:val="0"/>
                    <w:jc w:val="center"/>
                    <w:rPr>
                      <w:rFonts w:hint="default" w:ascii="Times New Roman" w:hAnsi="Times New Roman" w:eastAsia="宋体" w:cs="宋体"/>
                      <w:b w:val="0"/>
                      <w:bCs/>
                      <w:color w:val="auto"/>
                      <w:szCs w:val="21"/>
                      <w:highlight w:val="none"/>
                      <w:lang w:val="en-US" w:eastAsia="zh-CN"/>
                    </w:rPr>
                  </w:pPr>
                </w:p>
              </w:tc>
              <w:tc>
                <w:tcPr>
                  <w:tcW w:w="1140" w:type="pct"/>
                  <w:vAlign w:val="center"/>
                </w:tcPr>
                <w:p w14:paraId="4B8ED141">
                  <w:pPr>
                    <w:autoSpaceDE w:val="0"/>
                    <w:autoSpaceDN w:val="0"/>
                    <w:snapToGrid w:val="0"/>
                    <w:jc w:val="center"/>
                    <w:rPr>
                      <w:rFonts w:hint="default" w:ascii="Times New Roman" w:hAnsi="Times New Roman" w:eastAsia="宋体" w:cs="宋体"/>
                      <w:b w:val="0"/>
                      <w:bCs/>
                      <w:color w:val="auto"/>
                      <w:szCs w:val="21"/>
                      <w:highlight w:val="none"/>
                      <w:lang w:val="en-US" w:eastAsia="zh-CN"/>
                    </w:rPr>
                  </w:pPr>
                  <w:r>
                    <w:rPr>
                      <w:rFonts w:hint="eastAsia" w:cs="宋体"/>
                      <w:b w:val="0"/>
                      <w:bCs/>
                      <w:color w:val="auto"/>
                      <w:szCs w:val="21"/>
                      <w:highlight w:val="none"/>
                      <w:lang w:val="en-US" w:eastAsia="zh-CN"/>
                    </w:rPr>
                    <w:t>非甲烷总烃</w:t>
                  </w:r>
                </w:p>
              </w:tc>
              <w:tc>
                <w:tcPr>
                  <w:tcW w:w="515" w:type="pct"/>
                  <w:vAlign w:val="center"/>
                </w:tcPr>
                <w:p w14:paraId="6DF547EF">
                  <w:pPr>
                    <w:autoSpaceDE w:val="0"/>
                    <w:autoSpaceDN w:val="0"/>
                    <w:snapToGrid w:val="0"/>
                    <w:jc w:val="center"/>
                    <w:rPr>
                      <w:rFonts w:hint="eastAsia" w:ascii="Times New Roman" w:hAnsi="Times New Roman" w:eastAsia="宋体" w:cs="Times New Roman"/>
                      <w:b w:val="0"/>
                      <w:smallCaps w:val="0"/>
                      <w:color w:val="auto"/>
                      <w:kern w:val="2"/>
                      <w:sz w:val="21"/>
                      <w:szCs w:val="21"/>
                      <w:lang w:val="en-US" w:eastAsia="zh-CN" w:bidi="ar-SA"/>
                    </w:rPr>
                  </w:pPr>
                  <w:r>
                    <w:rPr>
                      <w:rFonts w:ascii="Times New Roman" w:hAnsi="Times New Roman" w:eastAsia="宋体"/>
                      <w:b w:val="0"/>
                      <w:smallCaps w:val="0"/>
                      <w:color w:val="auto"/>
                      <w:szCs w:val="21"/>
                    </w:rPr>
                    <w:t>间歇</w:t>
                  </w:r>
                </w:p>
              </w:tc>
              <w:tc>
                <w:tcPr>
                  <w:tcW w:w="1860" w:type="pct"/>
                  <w:vMerge w:val="continue"/>
                  <w:vAlign w:val="center"/>
                </w:tcPr>
                <w:p w14:paraId="06158422">
                  <w:pPr>
                    <w:snapToGrid w:val="0"/>
                    <w:jc w:val="center"/>
                    <w:rPr>
                      <w:rFonts w:hint="eastAsia" w:ascii="Times New Roman" w:hAnsi="Times New Roman" w:eastAsia="宋体" w:cs="Times New Roman"/>
                      <w:b w:val="0"/>
                      <w:smallCaps w:val="0"/>
                      <w:color w:val="auto"/>
                      <w:kern w:val="2"/>
                      <w:sz w:val="21"/>
                      <w:szCs w:val="24"/>
                      <w:lang w:val="en-US" w:eastAsia="zh-CN" w:bidi="ar-SA"/>
                    </w:rPr>
                  </w:pPr>
                </w:p>
              </w:tc>
            </w:tr>
            <w:tr w14:paraId="236C46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42490C5">
                  <w:pPr>
                    <w:autoSpaceDE w:val="0"/>
                    <w:autoSpaceDN w:val="0"/>
                    <w:snapToGrid w:val="0"/>
                    <w:jc w:val="center"/>
                    <w:rPr>
                      <w:rFonts w:ascii="Times New Roman" w:hAnsi="Times New Roman" w:eastAsia="宋体" w:cs="宋体"/>
                      <w:b w:val="0"/>
                      <w:bCs/>
                      <w:color w:val="auto"/>
                      <w:szCs w:val="21"/>
                      <w:highlight w:val="none"/>
                    </w:rPr>
                  </w:pPr>
                </w:p>
              </w:tc>
              <w:tc>
                <w:tcPr>
                  <w:tcW w:w="522" w:type="pct"/>
                  <w:vAlign w:val="center"/>
                </w:tcPr>
                <w:p w14:paraId="10E1A256">
                  <w:pPr>
                    <w:snapToGrid w:val="0"/>
                    <w:jc w:val="center"/>
                    <w:rPr>
                      <w:rFonts w:hint="eastAsia" w:ascii="Times New Roman" w:hAnsi="Times New Roman" w:eastAsia="宋体" w:cs="宋体"/>
                      <w:b w:val="0"/>
                      <w:bCs/>
                      <w:color w:val="auto"/>
                      <w:szCs w:val="21"/>
                      <w:highlight w:val="none"/>
                      <w:lang w:eastAsia="zh-CN"/>
                    </w:rPr>
                  </w:pPr>
                  <w:r>
                    <w:rPr>
                      <w:rFonts w:hint="eastAsia" w:ascii="Times New Roman" w:hAnsi="Times New Roman" w:eastAsia="宋体" w:cs="宋体"/>
                      <w:b w:val="0"/>
                      <w:bCs/>
                      <w:color w:val="auto"/>
                      <w:szCs w:val="21"/>
                      <w:highlight w:val="none"/>
                    </w:rPr>
                    <w:t>G</w:t>
                  </w:r>
                  <w:r>
                    <w:rPr>
                      <w:rFonts w:hint="eastAsia" w:ascii="Times New Roman" w:hAnsi="Times New Roman" w:eastAsia="宋体" w:cs="宋体"/>
                      <w:b w:val="0"/>
                      <w:bCs/>
                      <w:color w:val="auto"/>
                      <w:szCs w:val="21"/>
                      <w:highlight w:val="none"/>
                      <w:lang w:val="en-US" w:eastAsia="zh-CN"/>
                    </w:rPr>
                    <w:t>5</w:t>
                  </w:r>
                </w:p>
              </w:tc>
              <w:tc>
                <w:tcPr>
                  <w:tcW w:w="653" w:type="pct"/>
                  <w:vAlign w:val="center"/>
                </w:tcPr>
                <w:p w14:paraId="08A462B6">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打磨</w:t>
                  </w:r>
                </w:p>
              </w:tc>
              <w:tc>
                <w:tcPr>
                  <w:tcW w:w="1140" w:type="pct"/>
                  <w:vAlign w:val="center"/>
                </w:tcPr>
                <w:p w14:paraId="73D40DE3">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颗粒物</w:t>
                  </w:r>
                </w:p>
              </w:tc>
              <w:tc>
                <w:tcPr>
                  <w:tcW w:w="515" w:type="pct"/>
                  <w:vAlign w:val="center"/>
                </w:tcPr>
                <w:p w14:paraId="0A714CF4">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间歇</w:t>
                  </w:r>
                </w:p>
              </w:tc>
              <w:tc>
                <w:tcPr>
                  <w:tcW w:w="1860" w:type="pct"/>
                  <w:vAlign w:val="center"/>
                </w:tcPr>
                <w:p w14:paraId="37AF7BB8">
                  <w:pPr>
                    <w:autoSpaceDE w:val="0"/>
                    <w:autoSpaceDN w:val="0"/>
                    <w:snapToGrid w:val="0"/>
                    <w:jc w:val="center"/>
                    <w:rPr>
                      <w:rFonts w:hint="default" w:ascii="Times New Roman" w:hAnsi="Times New Roman" w:eastAsia="宋体" w:cs="宋体"/>
                      <w:b w:val="0"/>
                      <w:color w:val="auto"/>
                      <w:highlight w:val="none"/>
                      <w:lang w:val="en-US"/>
                    </w:rPr>
                  </w:pPr>
                  <w:r>
                    <w:rPr>
                      <w:rFonts w:hint="eastAsia" w:cs="宋体"/>
                      <w:b w:val="0"/>
                      <w:smallCaps w:val="0"/>
                      <w:color w:val="auto"/>
                      <w:lang w:val="en-US" w:eastAsia="zh-CN"/>
                    </w:rPr>
                    <w:t>打磨粉尘经湿式打磨台处理后经车间无组织排放</w:t>
                  </w:r>
                </w:p>
              </w:tc>
            </w:tr>
            <w:tr w14:paraId="10A482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67888913">
                  <w:pPr>
                    <w:autoSpaceDE w:val="0"/>
                    <w:autoSpaceDN w:val="0"/>
                    <w:snapToGrid w:val="0"/>
                    <w:jc w:val="center"/>
                    <w:rPr>
                      <w:rFonts w:ascii="Times New Roman" w:hAnsi="Times New Roman" w:eastAsia="宋体" w:cs="宋体"/>
                      <w:b w:val="0"/>
                      <w:bCs/>
                      <w:color w:val="auto"/>
                      <w:szCs w:val="21"/>
                      <w:highlight w:val="none"/>
                    </w:rPr>
                  </w:pPr>
                </w:p>
              </w:tc>
              <w:tc>
                <w:tcPr>
                  <w:tcW w:w="522" w:type="pct"/>
                  <w:vAlign w:val="center"/>
                </w:tcPr>
                <w:p w14:paraId="669A4774">
                  <w:pPr>
                    <w:snapToGrid w:val="0"/>
                    <w:jc w:val="center"/>
                    <w:rPr>
                      <w:rFonts w:hint="eastAsia" w:ascii="Times New Roman" w:hAnsi="Times New Roman" w:eastAsia="宋体" w:cs="宋体"/>
                      <w:b w:val="0"/>
                      <w:bCs/>
                      <w:color w:val="auto"/>
                      <w:szCs w:val="21"/>
                      <w:highlight w:val="none"/>
                      <w:lang w:eastAsia="zh-CN"/>
                    </w:rPr>
                  </w:pPr>
                  <w:r>
                    <w:rPr>
                      <w:rFonts w:hint="eastAsia" w:ascii="Times New Roman" w:hAnsi="Times New Roman" w:eastAsia="宋体" w:cs="宋体"/>
                      <w:b w:val="0"/>
                      <w:bCs/>
                      <w:color w:val="auto"/>
                      <w:szCs w:val="21"/>
                      <w:highlight w:val="none"/>
                    </w:rPr>
                    <w:t>G</w:t>
                  </w:r>
                  <w:r>
                    <w:rPr>
                      <w:rFonts w:hint="eastAsia" w:ascii="Times New Roman" w:hAnsi="Times New Roman" w:eastAsia="宋体" w:cs="宋体"/>
                      <w:b w:val="0"/>
                      <w:bCs/>
                      <w:color w:val="auto"/>
                      <w:szCs w:val="21"/>
                      <w:highlight w:val="none"/>
                      <w:lang w:val="en-US" w:eastAsia="zh-CN"/>
                    </w:rPr>
                    <w:t>6</w:t>
                  </w:r>
                </w:p>
              </w:tc>
              <w:tc>
                <w:tcPr>
                  <w:tcW w:w="653" w:type="pct"/>
                  <w:vAlign w:val="center"/>
                </w:tcPr>
                <w:p w14:paraId="120C4B5A">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抛丸</w:t>
                  </w:r>
                </w:p>
              </w:tc>
              <w:tc>
                <w:tcPr>
                  <w:tcW w:w="1140" w:type="pct"/>
                  <w:vAlign w:val="center"/>
                </w:tcPr>
                <w:p w14:paraId="15DF937D">
                  <w:pPr>
                    <w:autoSpaceDE w:val="0"/>
                    <w:autoSpaceDN w:val="0"/>
                    <w:snapToGrid w:val="0"/>
                    <w:jc w:val="center"/>
                    <w:rPr>
                      <w:rFonts w:hint="eastAsia" w:ascii="Times New Roman" w:hAnsi="Times New Roman" w:eastAsia="宋体" w:cs="宋体"/>
                      <w:b w:val="0"/>
                      <w:bCs/>
                      <w:color w:val="auto"/>
                      <w:szCs w:val="21"/>
                      <w:highlight w:val="none"/>
                      <w:lang w:eastAsia="zh-CN"/>
                    </w:rPr>
                  </w:pPr>
                  <w:r>
                    <w:rPr>
                      <w:rFonts w:hint="eastAsia" w:cs="宋体"/>
                      <w:b w:val="0"/>
                      <w:bCs/>
                      <w:color w:val="auto"/>
                      <w:szCs w:val="21"/>
                      <w:highlight w:val="none"/>
                      <w:lang w:val="en-US" w:eastAsia="zh-CN"/>
                    </w:rPr>
                    <w:t>颗粒物</w:t>
                  </w:r>
                </w:p>
              </w:tc>
              <w:tc>
                <w:tcPr>
                  <w:tcW w:w="515" w:type="pct"/>
                  <w:vAlign w:val="center"/>
                </w:tcPr>
                <w:p w14:paraId="0E0AE3EB">
                  <w:pPr>
                    <w:autoSpaceDE w:val="0"/>
                    <w:autoSpaceDN w:val="0"/>
                    <w:snapToGrid w:val="0"/>
                    <w:jc w:val="center"/>
                    <w:rPr>
                      <w:rFonts w:ascii="Times New Roman" w:hAnsi="Times New Roman" w:eastAsia="宋体" w:cs="宋体"/>
                      <w:b w:val="0"/>
                      <w:bCs/>
                      <w:color w:val="auto"/>
                      <w:szCs w:val="21"/>
                      <w:highlight w:val="none"/>
                    </w:rPr>
                  </w:pPr>
                  <w:r>
                    <w:rPr>
                      <w:rFonts w:hint="eastAsia" w:ascii="Times New Roman" w:hAnsi="Times New Roman" w:eastAsia="宋体" w:cs="宋体"/>
                      <w:b w:val="0"/>
                      <w:bCs/>
                      <w:color w:val="auto"/>
                      <w:szCs w:val="21"/>
                      <w:highlight w:val="none"/>
                    </w:rPr>
                    <w:t>间歇</w:t>
                  </w:r>
                </w:p>
              </w:tc>
              <w:tc>
                <w:tcPr>
                  <w:tcW w:w="1860" w:type="pct"/>
                  <w:vAlign w:val="center"/>
                </w:tcPr>
                <w:p w14:paraId="69EBB26C">
                  <w:pPr>
                    <w:autoSpaceDE w:val="0"/>
                    <w:autoSpaceDN w:val="0"/>
                    <w:snapToGrid w:val="0"/>
                    <w:jc w:val="center"/>
                    <w:rPr>
                      <w:rFonts w:hint="default" w:ascii="Times New Roman" w:hAnsi="Times New Roman" w:eastAsia="宋体" w:cs="宋体"/>
                      <w:b w:val="0"/>
                      <w:color w:val="auto"/>
                      <w:highlight w:val="none"/>
                      <w:lang w:val="en-US" w:eastAsia="zh-CN"/>
                    </w:rPr>
                  </w:pPr>
                  <w:r>
                    <w:rPr>
                      <w:rFonts w:hint="eastAsia" w:cs="宋体"/>
                      <w:b w:val="0"/>
                      <w:color w:val="auto"/>
                      <w:highlight w:val="none"/>
                      <w:lang w:val="en-US" w:eastAsia="zh-CN"/>
                    </w:rPr>
                    <w:t>经负压收集，湿式除尘处理后</w:t>
                  </w:r>
                  <w:r>
                    <w:rPr>
                      <w:rFonts w:hint="eastAsia" w:cs="宋体"/>
                      <w:b w:val="0"/>
                      <w:smallCaps w:val="0"/>
                      <w:color w:val="auto"/>
                      <w:lang w:val="en-US" w:eastAsia="zh-CN"/>
                    </w:rPr>
                    <w:t>经</w:t>
                  </w:r>
                  <w:r>
                    <w:rPr>
                      <w:rFonts w:hint="eastAsia" w:ascii="Times New Roman" w:hAnsi="Times New Roman" w:eastAsia="宋体" w:cs="宋体"/>
                      <w:b w:val="0"/>
                      <w:smallCaps w:val="0"/>
                      <w:color w:val="auto"/>
                      <w:highlight w:val="none"/>
                      <w:lang w:val="en-US" w:eastAsia="zh-CN"/>
                    </w:rPr>
                    <w:t>15m高排气筒FQ-</w:t>
                  </w:r>
                  <w:r>
                    <w:rPr>
                      <w:rFonts w:hint="eastAsia" w:cs="宋体"/>
                      <w:b w:val="0"/>
                      <w:smallCaps w:val="0"/>
                      <w:color w:val="auto"/>
                      <w:highlight w:val="none"/>
                      <w:lang w:val="en-US" w:eastAsia="zh-CN"/>
                    </w:rPr>
                    <w:t>3</w:t>
                  </w:r>
                  <w:r>
                    <w:rPr>
                      <w:rFonts w:hint="eastAsia" w:ascii="Times New Roman" w:hAnsi="Times New Roman" w:eastAsia="宋体" w:cs="宋体"/>
                      <w:b w:val="0"/>
                      <w:smallCaps w:val="0"/>
                      <w:color w:val="auto"/>
                      <w:highlight w:val="none"/>
                      <w:lang w:eastAsia="zh-CN"/>
                    </w:rPr>
                    <w:t>排放</w:t>
                  </w:r>
                </w:p>
              </w:tc>
            </w:tr>
            <w:tr w14:paraId="38B81D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4F1D620F">
                  <w:pPr>
                    <w:autoSpaceDE w:val="0"/>
                    <w:autoSpaceDN w:val="0"/>
                    <w:snapToGrid w:val="0"/>
                    <w:jc w:val="center"/>
                    <w:rPr>
                      <w:rFonts w:ascii="Times New Roman" w:hAnsi="Times New Roman" w:eastAsia="宋体" w:cs="宋体"/>
                      <w:b w:val="0"/>
                      <w:bCs/>
                      <w:color w:val="auto"/>
                      <w:szCs w:val="21"/>
                      <w:highlight w:val="none"/>
                    </w:rPr>
                  </w:pPr>
                </w:p>
              </w:tc>
              <w:tc>
                <w:tcPr>
                  <w:tcW w:w="522" w:type="pct"/>
                  <w:vAlign w:val="center"/>
                </w:tcPr>
                <w:p w14:paraId="6CB43C51">
                  <w:pPr>
                    <w:snapToGrid w:val="0"/>
                    <w:jc w:val="center"/>
                    <w:rPr>
                      <w:rFonts w:hint="default" w:ascii="Times New Roman" w:hAnsi="Times New Roman" w:eastAsia="宋体" w:cs="宋体"/>
                      <w:b w:val="0"/>
                      <w:bCs/>
                      <w:color w:val="auto"/>
                      <w:szCs w:val="21"/>
                      <w:highlight w:val="none"/>
                      <w:lang w:val="en-US" w:eastAsia="zh-CN"/>
                    </w:rPr>
                  </w:pPr>
                  <w:r>
                    <w:rPr>
                      <w:rFonts w:hint="eastAsia" w:cs="宋体"/>
                      <w:b w:val="0"/>
                      <w:bCs/>
                      <w:color w:val="auto"/>
                      <w:szCs w:val="21"/>
                      <w:highlight w:val="none"/>
                      <w:lang w:val="en-US" w:eastAsia="zh-CN"/>
                    </w:rPr>
                    <w:t>G7</w:t>
                  </w:r>
                </w:p>
              </w:tc>
              <w:tc>
                <w:tcPr>
                  <w:tcW w:w="653" w:type="pct"/>
                  <w:vAlign w:val="center"/>
                </w:tcPr>
                <w:p w14:paraId="7EEFCAAB">
                  <w:pPr>
                    <w:autoSpaceDE w:val="0"/>
                    <w:autoSpaceDN w:val="0"/>
                    <w:snapToGrid w:val="0"/>
                    <w:jc w:val="center"/>
                    <w:rPr>
                      <w:rFonts w:hint="default" w:cs="宋体"/>
                      <w:b w:val="0"/>
                      <w:bCs/>
                      <w:color w:val="auto"/>
                      <w:szCs w:val="21"/>
                      <w:highlight w:val="none"/>
                      <w:lang w:val="en-US" w:eastAsia="zh-CN"/>
                    </w:rPr>
                  </w:pPr>
                  <w:r>
                    <w:rPr>
                      <w:rFonts w:hint="eastAsia" w:cs="宋体"/>
                      <w:b w:val="0"/>
                      <w:bCs/>
                      <w:color w:val="auto"/>
                      <w:szCs w:val="21"/>
                      <w:highlight w:val="none"/>
                      <w:lang w:val="en-US" w:eastAsia="zh-CN"/>
                    </w:rPr>
                    <w:t>振光</w:t>
                  </w:r>
                </w:p>
              </w:tc>
              <w:tc>
                <w:tcPr>
                  <w:tcW w:w="1140" w:type="pct"/>
                  <w:vAlign w:val="center"/>
                </w:tcPr>
                <w:p w14:paraId="2519532C">
                  <w:pPr>
                    <w:autoSpaceDE w:val="0"/>
                    <w:autoSpaceDN w:val="0"/>
                    <w:snapToGrid w:val="0"/>
                    <w:jc w:val="center"/>
                    <w:rPr>
                      <w:rFonts w:hint="default" w:cs="宋体"/>
                      <w:b w:val="0"/>
                      <w:bCs/>
                      <w:color w:val="auto"/>
                      <w:szCs w:val="21"/>
                      <w:highlight w:val="none"/>
                      <w:lang w:val="en-US" w:eastAsia="zh-CN"/>
                    </w:rPr>
                  </w:pPr>
                  <w:r>
                    <w:rPr>
                      <w:rFonts w:hint="eastAsia" w:cs="宋体"/>
                      <w:b w:val="0"/>
                      <w:bCs/>
                      <w:color w:val="auto"/>
                      <w:szCs w:val="21"/>
                      <w:highlight w:val="none"/>
                      <w:lang w:val="en-US" w:eastAsia="zh-CN"/>
                    </w:rPr>
                    <w:t>非甲烷总烃</w:t>
                  </w:r>
                </w:p>
              </w:tc>
              <w:tc>
                <w:tcPr>
                  <w:tcW w:w="515" w:type="pct"/>
                  <w:vAlign w:val="center"/>
                </w:tcPr>
                <w:p w14:paraId="6F290D2E">
                  <w:pPr>
                    <w:autoSpaceDE w:val="0"/>
                    <w:autoSpaceDN w:val="0"/>
                    <w:snapToGrid w:val="0"/>
                    <w:jc w:val="center"/>
                    <w:rPr>
                      <w:rFonts w:hint="default" w:ascii="Times New Roman" w:hAnsi="Times New Roman" w:eastAsia="宋体" w:cs="宋体"/>
                      <w:b w:val="0"/>
                      <w:bCs/>
                      <w:color w:val="auto"/>
                      <w:szCs w:val="21"/>
                      <w:highlight w:val="none"/>
                      <w:lang w:val="en-US" w:eastAsia="zh-CN"/>
                    </w:rPr>
                  </w:pPr>
                  <w:r>
                    <w:rPr>
                      <w:rFonts w:hint="eastAsia" w:ascii="Times New Roman" w:hAnsi="Times New Roman" w:eastAsia="宋体" w:cs="宋体"/>
                      <w:b w:val="0"/>
                      <w:bCs/>
                      <w:color w:val="auto"/>
                      <w:szCs w:val="21"/>
                      <w:highlight w:val="none"/>
                    </w:rPr>
                    <w:t>间歇</w:t>
                  </w:r>
                </w:p>
              </w:tc>
              <w:tc>
                <w:tcPr>
                  <w:tcW w:w="1860" w:type="pct"/>
                  <w:vAlign w:val="center"/>
                </w:tcPr>
                <w:p w14:paraId="7931D353">
                  <w:pPr>
                    <w:autoSpaceDE w:val="0"/>
                    <w:autoSpaceDN w:val="0"/>
                    <w:snapToGrid w:val="0"/>
                    <w:jc w:val="center"/>
                    <w:rPr>
                      <w:rFonts w:hint="default" w:cs="宋体"/>
                      <w:b w:val="0"/>
                      <w:color w:val="auto"/>
                      <w:highlight w:val="none"/>
                      <w:lang w:val="en-US" w:eastAsia="zh-CN"/>
                    </w:rPr>
                  </w:pPr>
                  <w:r>
                    <w:rPr>
                      <w:rFonts w:hint="eastAsia" w:cs="宋体"/>
                      <w:b w:val="0"/>
                      <w:color w:val="auto"/>
                      <w:highlight w:val="none"/>
                      <w:lang w:val="en-US" w:eastAsia="zh-CN"/>
                    </w:rPr>
                    <w:t>产生量极其有限，加强车间通风，车间无组织排放</w:t>
                  </w:r>
                </w:p>
              </w:tc>
            </w:tr>
            <w:tr w14:paraId="0E8F55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restart"/>
                  <w:vAlign w:val="center"/>
                </w:tcPr>
                <w:p w14:paraId="24ED39DE">
                  <w:pPr>
                    <w:autoSpaceDE w:val="0"/>
                    <w:autoSpaceDN w:val="0"/>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废水</w:t>
                  </w:r>
                </w:p>
              </w:tc>
              <w:tc>
                <w:tcPr>
                  <w:tcW w:w="522" w:type="pct"/>
                  <w:vAlign w:val="center"/>
                </w:tcPr>
                <w:p w14:paraId="60793345">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w:t>
                  </w:r>
                </w:p>
              </w:tc>
              <w:tc>
                <w:tcPr>
                  <w:tcW w:w="653" w:type="pct"/>
                  <w:vAlign w:val="center"/>
                </w:tcPr>
                <w:p w14:paraId="75153C30">
                  <w:pPr>
                    <w:snapToGrid w:val="0"/>
                    <w:jc w:val="center"/>
                    <w:rPr>
                      <w:rFonts w:ascii="Times New Roman" w:hAnsi="Times New Roman" w:eastAsia="宋体" w:cs="宋体"/>
                      <w:b w:val="0"/>
                      <w:color w:val="auto"/>
                      <w:kern w:val="0"/>
                      <w:szCs w:val="21"/>
                      <w:highlight w:val="none"/>
                    </w:rPr>
                  </w:pPr>
                  <w:r>
                    <w:rPr>
                      <w:rFonts w:ascii="Times New Roman" w:hAnsi="Times New Roman" w:eastAsia="宋体" w:cs="宋体"/>
                      <w:b w:val="0"/>
                      <w:color w:val="auto"/>
                      <w:kern w:val="0"/>
                      <w:szCs w:val="21"/>
                      <w:highlight w:val="none"/>
                    </w:rPr>
                    <w:t>办公生活</w:t>
                  </w:r>
                </w:p>
              </w:tc>
              <w:tc>
                <w:tcPr>
                  <w:tcW w:w="1140" w:type="pct"/>
                  <w:vAlign w:val="center"/>
                </w:tcPr>
                <w:p w14:paraId="78BDE426">
                  <w:pPr>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生活污水：COD、SS、NH</w:t>
                  </w:r>
                  <w:r>
                    <w:rPr>
                      <w:rFonts w:ascii="Times New Roman" w:hAnsi="Times New Roman" w:eastAsia="宋体" w:cs="宋体"/>
                      <w:b w:val="0"/>
                      <w:color w:val="auto"/>
                      <w:szCs w:val="21"/>
                      <w:highlight w:val="none"/>
                      <w:vertAlign w:val="subscript"/>
                    </w:rPr>
                    <w:t>3</w:t>
                  </w:r>
                  <w:r>
                    <w:rPr>
                      <w:rFonts w:ascii="Times New Roman" w:hAnsi="Times New Roman" w:eastAsia="宋体" w:cs="宋体"/>
                      <w:b w:val="0"/>
                      <w:color w:val="auto"/>
                      <w:szCs w:val="21"/>
                      <w:highlight w:val="none"/>
                    </w:rPr>
                    <w:t>-N、TP、TN</w:t>
                  </w:r>
                </w:p>
              </w:tc>
              <w:tc>
                <w:tcPr>
                  <w:tcW w:w="515" w:type="pct"/>
                  <w:vAlign w:val="center"/>
                </w:tcPr>
                <w:p w14:paraId="534F4274">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3A8CD178">
                  <w:pPr>
                    <w:snapToGrid w:val="0"/>
                    <w:jc w:val="center"/>
                    <w:rPr>
                      <w:rFonts w:hint="eastAsia" w:ascii="Times New Roman" w:hAnsi="Times New Roman" w:eastAsia="宋体" w:cs="宋体"/>
                      <w:b w:val="0"/>
                      <w:bCs/>
                      <w:color w:val="auto"/>
                      <w:szCs w:val="21"/>
                      <w:highlight w:val="none"/>
                      <w:lang w:eastAsia="zh-CN"/>
                    </w:rPr>
                  </w:pPr>
                  <w:r>
                    <w:rPr>
                      <w:rFonts w:ascii="Times New Roman" w:hAnsi="Times New Roman" w:eastAsia="宋体" w:cs="宋体"/>
                      <w:b w:val="0"/>
                      <w:color w:val="auto"/>
                      <w:szCs w:val="21"/>
                      <w:highlight w:val="none"/>
                    </w:rPr>
                    <w:t>接管</w:t>
                  </w:r>
                  <w:r>
                    <w:rPr>
                      <w:rFonts w:hint="eastAsia" w:cs="宋体"/>
                      <w:b w:val="0"/>
                      <w:color w:val="auto"/>
                      <w:szCs w:val="21"/>
                      <w:highlight w:val="none"/>
                      <w:lang w:eastAsia="zh-CN"/>
                    </w:rPr>
                    <w:t>金坛第二污水处理厂</w:t>
                  </w:r>
                </w:p>
              </w:tc>
            </w:tr>
            <w:tr w14:paraId="5E51DD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56CFF283">
                  <w:pPr>
                    <w:autoSpaceDE w:val="0"/>
                    <w:autoSpaceDN w:val="0"/>
                    <w:snapToGrid w:val="0"/>
                    <w:jc w:val="center"/>
                    <w:rPr>
                      <w:rFonts w:hint="eastAsia" w:ascii="Times New Roman" w:hAnsi="Times New Roman" w:eastAsia="宋体" w:cs="宋体"/>
                      <w:b w:val="0"/>
                      <w:color w:val="auto"/>
                      <w:szCs w:val="21"/>
                      <w:highlight w:val="none"/>
                    </w:rPr>
                  </w:pPr>
                </w:p>
              </w:tc>
              <w:tc>
                <w:tcPr>
                  <w:tcW w:w="522" w:type="pct"/>
                  <w:vAlign w:val="center"/>
                </w:tcPr>
                <w:p w14:paraId="0A563610">
                  <w:pPr>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W1</w:t>
                  </w:r>
                </w:p>
              </w:tc>
              <w:tc>
                <w:tcPr>
                  <w:tcW w:w="653" w:type="pct"/>
                  <w:vAlign w:val="center"/>
                </w:tcPr>
                <w:p w14:paraId="61C162BB">
                  <w:pPr>
                    <w:snapToGrid w:val="0"/>
                    <w:jc w:val="center"/>
                    <w:rPr>
                      <w:rFonts w:hint="eastAsia" w:ascii="Times New Roman" w:hAnsi="Times New Roman" w:eastAsia="宋体" w:cs="宋体"/>
                      <w:b w:val="0"/>
                      <w:color w:val="auto"/>
                      <w:kern w:val="0"/>
                      <w:szCs w:val="21"/>
                      <w:highlight w:val="none"/>
                      <w:lang w:val="en-US" w:eastAsia="zh-CN"/>
                    </w:rPr>
                  </w:pPr>
                  <w:r>
                    <w:rPr>
                      <w:rFonts w:hint="eastAsia" w:cs="宋体"/>
                      <w:b w:val="0"/>
                      <w:color w:val="auto"/>
                      <w:kern w:val="0"/>
                      <w:szCs w:val="21"/>
                      <w:highlight w:val="none"/>
                      <w:lang w:val="en-US" w:eastAsia="zh-CN"/>
                    </w:rPr>
                    <w:t>振光</w:t>
                  </w:r>
                </w:p>
              </w:tc>
              <w:tc>
                <w:tcPr>
                  <w:tcW w:w="1140" w:type="pct"/>
                  <w:vAlign w:val="center"/>
                </w:tcPr>
                <w:p w14:paraId="09711D1F">
                  <w:pPr>
                    <w:snapToGrid w:val="0"/>
                    <w:jc w:val="center"/>
                    <w:rPr>
                      <w:rFonts w:hint="default" w:ascii="Times New Roman" w:hAnsi="Times New Roman" w:eastAsia="宋体" w:cs="宋体"/>
                      <w:b w:val="0"/>
                      <w:color w:val="auto"/>
                      <w:szCs w:val="21"/>
                      <w:highlight w:val="none"/>
                      <w:lang w:val="en-US" w:eastAsia="zh-CN"/>
                    </w:rPr>
                  </w:pPr>
                  <w:r>
                    <w:rPr>
                      <w:rFonts w:ascii="Times New Roman" w:hAnsi="Times New Roman" w:eastAsia="宋体" w:cs="宋体"/>
                      <w:b w:val="0"/>
                      <w:color w:val="auto"/>
                      <w:szCs w:val="21"/>
                      <w:highlight w:val="none"/>
                    </w:rPr>
                    <w:t>COD、SS、</w:t>
                  </w:r>
                  <w:r>
                    <w:rPr>
                      <w:rFonts w:hint="eastAsia" w:cs="宋体"/>
                      <w:b w:val="0"/>
                      <w:color w:val="auto"/>
                      <w:szCs w:val="21"/>
                      <w:highlight w:val="none"/>
                      <w:lang w:val="en-US" w:eastAsia="zh-CN"/>
                    </w:rPr>
                    <w:t>石油类、LAS</w:t>
                  </w:r>
                </w:p>
              </w:tc>
              <w:tc>
                <w:tcPr>
                  <w:tcW w:w="515" w:type="pct"/>
                  <w:vAlign w:val="center"/>
                </w:tcPr>
                <w:p w14:paraId="123B0559">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Merge w:val="restart"/>
                  <w:vAlign w:val="center"/>
                </w:tcPr>
                <w:p w14:paraId="0A556C07">
                  <w:pPr>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经厂区废水处理设施处理后回用于清洗工序，不外排</w:t>
                  </w:r>
                </w:p>
              </w:tc>
            </w:tr>
            <w:tr w14:paraId="6F663E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7A99705E">
                  <w:pPr>
                    <w:autoSpaceDE w:val="0"/>
                    <w:autoSpaceDN w:val="0"/>
                    <w:snapToGrid w:val="0"/>
                    <w:jc w:val="center"/>
                    <w:rPr>
                      <w:rFonts w:hint="eastAsia" w:ascii="Times New Roman" w:hAnsi="Times New Roman" w:eastAsia="宋体" w:cs="宋体"/>
                      <w:b w:val="0"/>
                      <w:color w:val="auto"/>
                      <w:szCs w:val="21"/>
                      <w:highlight w:val="none"/>
                    </w:rPr>
                  </w:pPr>
                </w:p>
              </w:tc>
              <w:tc>
                <w:tcPr>
                  <w:tcW w:w="522" w:type="pct"/>
                  <w:vAlign w:val="center"/>
                </w:tcPr>
                <w:p w14:paraId="1D991850">
                  <w:pPr>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W2</w:t>
                  </w:r>
                </w:p>
              </w:tc>
              <w:tc>
                <w:tcPr>
                  <w:tcW w:w="653" w:type="pct"/>
                  <w:vAlign w:val="center"/>
                </w:tcPr>
                <w:p w14:paraId="3178D69F">
                  <w:pPr>
                    <w:snapToGrid w:val="0"/>
                    <w:jc w:val="center"/>
                    <w:rPr>
                      <w:rFonts w:hint="eastAsia" w:ascii="Times New Roman" w:hAnsi="Times New Roman" w:eastAsia="宋体" w:cs="宋体"/>
                      <w:b w:val="0"/>
                      <w:color w:val="auto"/>
                      <w:kern w:val="0"/>
                      <w:szCs w:val="21"/>
                      <w:highlight w:val="none"/>
                      <w:lang w:val="en-US" w:eastAsia="zh-CN"/>
                    </w:rPr>
                  </w:pPr>
                  <w:r>
                    <w:rPr>
                      <w:rFonts w:hint="eastAsia" w:cs="宋体"/>
                      <w:b w:val="0"/>
                      <w:color w:val="auto"/>
                      <w:kern w:val="0"/>
                      <w:szCs w:val="21"/>
                      <w:highlight w:val="none"/>
                      <w:lang w:val="en-US" w:eastAsia="zh-CN"/>
                    </w:rPr>
                    <w:t>清洗</w:t>
                  </w:r>
                </w:p>
              </w:tc>
              <w:tc>
                <w:tcPr>
                  <w:tcW w:w="1140" w:type="pct"/>
                  <w:vAlign w:val="center"/>
                </w:tcPr>
                <w:p w14:paraId="6F8377F6">
                  <w:pPr>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COD、SS、</w:t>
                  </w:r>
                  <w:r>
                    <w:rPr>
                      <w:rFonts w:hint="eastAsia" w:cs="宋体"/>
                      <w:b w:val="0"/>
                      <w:color w:val="auto"/>
                      <w:szCs w:val="21"/>
                      <w:highlight w:val="none"/>
                      <w:lang w:val="en-US" w:eastAsia="zh-CN"/>
                    </w:rPr>
                    <w:t>石油类、LAS</w:t>
                  </w:r>
                </w:p>
              </w:tc>
              <w:tc>
                <w:tcPr>
                  <w:tcW w:w="515" w:type="pct"/>
                  <w:vAlign w:val="center"/>
                </w:tcPr>
                <w:p w14:paraId="012ADAF0">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Merge w:val="continue"/>
                  <w:vAlign w:val="center"/>
                </w:tcPr>
                <w:p w14:paraId="119B8D29">
                  <w:pPr>
                    <w:snapToGrid w:val="0"/>
                    <w:jc w:val="center"/>
                    <w:rPr>
                      <w:rFonts w:ascii="Times New Roman" w:hAnsi="Times New Roman" w:eastAsia="宋体" w:cs="宋体"/>
                      <w:b w:val="0"/>
                      <w:color w:val="auto"/>
                      <w:szCs w:val="21"/>
                      <w:highlight w:val="none"/>
                    </w:rPr>
                  </w:pPr>
                </w:p>
              </w:tc>
            </w:tr>
            <w:tr w14:paraId="38DBCF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Align w:val="center"/>
                </w:tcPr>
                <w:p w14:paraId="073345C0">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噪声</w:t>
                  </w:r>
                </w:p>
              </w:tc>
              <w:tc>
                <w:tcPr>
                  <w:tcW w:w="522" w:type="pct"/>
                  <w:vAlign w:val="center"/>
                </w:tcPr>
                <w:p w14:paraId="62A8E591">
                  <w:pPr>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w:t>
                  </w:r>
                </w:p>
              </w:tc>
              <w:tc>
                <w:tcPr>
                  <w:tcW w:w="653" w:type="pct"/>
                  <w:vAlign w:val="center"/>
                </w:tcPr>
                <w:p w14:paraId="39CC9E64">
                  <w:pPr>
                    <w:snapToGrid w:val="0"/>
                    <w:jc w:val="center"/>
                    <w:rPr>
                      <w:rFonts w:ascii="Times New Roman" w:hAnsi="Times New Roman" w:eastAsia="宋体" w:cs="宋体"/>
                      <w:b w:val="0"/>
                      <w:color w:val="auto"/>
                      <w:kern w:val="0"/>
                      <w:szCs w:val="21"/>
                      <w:highlight w:val="none"/>
                    </w:rPr>
                  </w:pPr>
                  <w:r>
                    <w:rPr>
                      <w:rFonts w:ascii="Times New Roman" w:hAnsi="Times New Roman" w:eastAsia="宋体" w:cs="宋体"/>
                      <w:b w:val="0"/>
                      <w:color w:val="auto"/>
                      <w:kern w:val="0"/>
                      <w:szCs w:val="21"/>
                      <w:highlight w:val="none"/>
                    </w:rPr>
                    <w:t>机械设备</w:t>
                  </w:r>
                </w:p>
              </w:tc>
              <w:tc>
                <w:tcPr>
                  <w:tcW w:w="1140" w:type="pct"/>
                  <w:vAlign w:val="center"/>
                </w:tcPr>
                <w:p w14:paraId="3DFEAC46">
                  <w:pPr>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设备运转噪声</w:t>
                  </w:r>
                </w:p>
              </w:tc>
              <w:tc>
                <w:tcPr>
                  <w:tcW w:w="515" w:type="pct"/>
                  <w:vAlign w:val="center"/>
                </w:tcPr>
                <w:p w14:paraId="44A86173">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194B62FE">
                  <w:pPr>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厂房隔声、基础减震等</w:t>
                  </w:r>
                </w:p>
              </w:tc>
            </w:tr>
            <w:tr w14:paraId="4FEC3D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restart"/>
                  <w:vAlign w:val="center"/>
                </w:tcPr>
                <w:p w14:paraId="49AF2070">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固废</w:t>
                  </w:r>
                </w:p>
              </w:tc>
              <w:tc>
                <w:tcPr>
                  <w:tcW w:w="522" w:type="pct"/>
                  <w:vAlign w:val="center"/>
                </w:tcPr>
                <w:p w14:paraId="66F3BFD0">
                  <w:pPr>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S1</w:t>
                  </w:r>
                </w:p>
              </w:tc>
              <w:tc>
                <w:tcPr>
                  <w:tcW w:w="653" w:type="pct"/>
                  <w:vAlign w:val="center"/>
                </w:tcPr>
                <w:p w14:paraId="2AF65513">
                  <w:pPr>
                    <w:snapToGrid w:val="0"/>
                    <w:jc w:val="center"/>
                    <w:rPr>
                      <w:rFonts w:hint="default" w:ascii="Times New Roman" w:hAnsi="Times New Roman" w:eastAsia="宋体" w:cs="宋体"/>
                      <w:b w:val="0"/>
                      <w:color w:val="auto"/>
                      <w:kern w:val="0"/>
                      <w:szCs w:val="21"/>
                      <w:highlight w:val="none"/>
                      <w:lang w:val="en-US" w:eastAsia="zh-CN"/>
                    </w:rPr>
                  </w:pPr>
                  <w:r>
                    <w:rPr>
                      <w:rFonts w:hint="eastAsia" w:cs="宋体"/>
                      <w:b w:val="0"/>
                      <w:color w:val="auto"/>
                      <w:kern w:val="0"/>
                      <w:szCs w:val="21"/>
                      <w:highlight w:val="none"/>
                      <w:lang w:val="en-US" w:eastAsia="zh-CN"/>
                    </w:rPr>
                    <w:t>熔化</w:t>
                  </w:r>
                </w:p>
              </w:tc>
              <w:tc>
                <w:tcPr>
                  <w:tcW w:w="1140" w:type="pct"/>
                  <w:vAlign w:val="center"/>
                </w:tcPr>
                <w:p w14:paraId="23D24A7B">
                  <w:pPr>
                    <w:snapToGrid w:val="0"/>
                    <w:jc w:val="center"/>
                    <w:rPr>
                      <w:rFonts w:ascii="Times New Roman" w:hAnsi="Times New Roman" w:eastAsia="宋体" w:cs="宋体"/>
                      <w:b w:val="0"/>
                      <w:color w:val="auto"/>
                      <w:szCs w:val="21"/>
                      <w:highlight w:val="none"/>
                    </w:rPr>
                  </w:pPr>
                  <w:r>
                    <w:rPr>
                      <w:rFonts w:hint="eastAsia" w:cs="宋体"/>
                      <w:b w:val="0"/>
                      <w:color w:val="auto"/>
                      <w:kern w:val="0"/>
                      <w:szCs w:val="21"/>
                      <w:highlight w:val="none"/>
                      <w:lang w:val="en-US" w:eastAsia="zh-CN"/>
                    </w:rPr>
                    <w:t>铝灰渣</w:t>
                  </w:r>
                </w:p>
              </w:tc>
              <w:tc>
                <w:tcPr>
                  <w:tcW w:w="515" w:type="pct"/>
                  <w:vAlign w:val="center"/>
                </w:tcPr>
                <w:p w14:paraId="41876952">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71F27760">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委托有资质单位处置</w:t>
                  </w:r>
                </w:p>
              </w:tc>
            </w:tr>
            <w:tr w14:paraId="79E45C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77329B13">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0791F509">
                  <w:pPr>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S2</w:t>
                  </w:r>
                </w:p>
              </w:tc>
              <w:tc>
                <w:tcPr>
                  <w:tcW w:w="653" w:type="pct"/>
                  <w:vAlign w:val="center"/>
                </w:tcPr>
                <w:p w14:paraId="3A057244">
                  <w:pPr>
                    <w:snapToGrid w:val="0"/>
                    <w:jc w:val="center"/>
                    <w:rPr>
                      <w:rFonts w:hint="default" w:cs="宋体"/>
                      <w:b w:val="0"/>
                      <w:color w:val="auto"/>
                      <w:kern w:val="0"/>
                      <w:szCs w:val="21"/>
                      <w:highlight w:val="none"/>
                      <w:lang w:val="en-US" w:eastAsia="zh-CN"/>
                    </w:rPr>
                  </w:pPr>
                  <w:r>
                    <w:rPr>
                      <w:rFonts w:hint="eastAsia" w:cs="宋体"/>
                      <w:b w:val="0"/>
                      <w:color w:val="auto"/>
                      <w:kern w:val="0"/>
                      <w:szCs w:val="21"/>
                      <w:highlight w:val="none"/>
                      <w:lang w:val="en-US" w:eastAsia="zh-CN"/>
                    </w:rPr>
                    <w:t>脱模</w:t>
                  </w:r>
                </w:p>
              </w:tc>
              <w:tc>
                <w:tcPr>
                  <w:tcW w:w="1140" w:type="pct"/>
                  <w:vAlign w:val="center"/>
                </w:tcPr>
                <w:p w14:paraId="64C7B9F4">
                  <w:pPr>
                    <w:snapToGrid w:val="0"/>
                    <w:jc w:val="center"/>
                    <w:rPr>
                      <w:rFonts w:hint="default" w:cs="宋体"/>
                      <w:b w:val="0"/>
                      <w:color w:val="auto"/>
                      <w:kern w:val="0"/>
                      <w:szCs w:val="21"/>
                      <w:highlight w:val="none"/>
                      <w:lang w:val="en-US" w:eastAsia="zh-CN"/>
                    </w:rPr>
                  </w:pPr>
                  <w:r>
                    <w:rPr>
                      <w:rFonts w:hint="eastAsia" w:cs="宋体"/>
                      <w:b w:val="0"/>
                      <w:color w:val="auto"/>
                      <w:kern w:val="0"/>
                      <w:szCs w:val="21"/>
                      <w:highlight w:val="none"/>
                      <w:lang w:val="en-US" w:eastAsia="zh-CN"/>
                    </w:rPr>
                    <w:t>脱模废液</w:t>
                  </w:r>
                </w:p>
              </w:tc>
              <w:tc>
                <w:tcPr>
                  <w:tcW w:w="515" w:type="pct"/>
                  <w:vAlign w:val="center"/>
                </w:tcPr>
                <w:p w14:paraId="2EA72B1A">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28FB327B">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委托有资质单位处置</w:t>
                  </w:r>
                </w:p>
              </w:tc>
            </w:tr>
            <w:tr w14:paraId="281122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22915A1">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28DCCA6C">
                  <w:pPr>
                    <w:snapToGrid w:val="0"/>
                    <w:jc w:val="center"/>
                    <w:rPr>
                      <w:rFonts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S3</w:t>
                  </w:r>
                </w:p>
              </w:tc>
              <w:tc>
                <w:tcPr>
                  <w:tcW w:w="653" w:type="pct"/>
                  <w:vAlign w:val="center"/>
                </w:tcPr>
                <w:p w14:paraId="0BE4563D">
                  <w:pPr>
                    <w:snapToGrid w:val="0"/>
                    <w:jc w:val="center"/>
                    <w:rPr>
                      <w:rFonts w:hint="default" w:ascii="Times New Roman" w:hAnsi="Times New Roman" w:eastAsia="宋体" w:cs="宋体"/>
                      <w:b w:val="0"/>
                      <w:color w:val="auto"/>
                      <w:kern w:val="0"/>
                      <w:szCs w:val="21"/>
                      <w:highlight w:val="none"/>
                      <w:lang w:val="en-US" w:eastAsia="zh-CN"/>
                    </w:rPr>
                  </w:pPr>
                  <w:r>
                    <w:rPr>
                      <w:rFonts w:hint="eastAsia" w:cs="宋体"/>
                      <w:b w:val="0"/>
                      <w:color w:val="auto"/>
                      <w:kern w:val="0"/>
                      <w:szCs w:val="21"/>
                      <w:highlight w:val="none"/>
                      <w:lang w:val="en-US" w:eastAsia="zh-CN"/>
                    </w:rPr>
                    <w:t>打磨</w:t>
                  </w:r>
                </w:p>
              </w:tc>
              <w:tc>
                <w:tcPr>
                  <w:tcW w:w="1140" w:type="pct"/>
                  <w:vAlign w:val="center"/>
                </w:tcPr>
                <w:p w14:paraId="3EDEA383">
                  <w:pPr>
                    <w:snapToGrid w:val="0"/>
                    <w:jc w:val="center"/>
                    <w:rPr>
                      <w:rFonts w:hint="default"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 w:val="21"/>
                      <w:szCs w:val="21"/>
                      <w:highlight w:val="none"/>
                      <w:lang w:val="en-US" w:eastAsia="zh-CN" w:bidi="ar-SA"/>
                    </w:rPr>
                    <w:t>废打磨边角料</w:t>
                  </w:r>
                </w:p>
              </w:tc>
              <w:tc>
                <w:tcPr>
                  <w:tcW w:w="515" w:type="pct"/>
                  <w:vAlign w:val="center"/>
                </w:tcPr>
                <w:p w14:paraId="62E07347">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223EA601">
                  <w:pPr>
                    <w:autoSpaceDE w:val="0"/>
                    <w:autoSpaceDN w:val="0"/>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回用于熔化工序</w:t>
                  </w:r>
                </w:p>
              </w:tc>
            </w:tr>
            <w:tr w14:paraId="59A96B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6AC915FA">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04A3FA71">
                  <w:pPr>
                    <w:snapToGrid w:val="0"/>
                    <w:jc w:val="center"/>
                    <w:rPr>
                      <w:rFonts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S4</w:t>
                  </w:r>
                </w:p>
              </w:tc>
              <w:tc>
                <w:tcPr>
                  <w:tcW w:w="653" w:type="pct"/>
                  <w:vAlign w:val="center"/>
                </w:tcPr>
                <w:p w14:paraId="74C94ECC">
                  <w:pPr>
                    <w:snapToGrid w:val="0"/>
                    <w:jc w:val="center"/>
                    <w:rPr>
                      <w:rFonts w:hint="eastAsia" w:ascii="Times New Roman" w:hAnsi="Times New Roman" w:eastAsia="宋体" w:cs="宋体"/>
                      <w:b w:val="0"/>
                      <w:color w:val="auto"/>
                      <w:kern w:val="0"/>
                      <w:szCs w:val="21"/>
                      <w:highlight w:val="none"/>
                      <w:lang w:eastAsia="zh-CN"/>
                    </w:rPr>
                  </w:pPr>
                  <w:r>
                    <w:rPr>
                      <w:rFonts w:hint="eastAsia" w:cs="宋体"/>
                      <w:b w:val="0"/>
                      <w:color w:val="auto"/>
                      <w:kern w:val="0"/>
                      <w:szCs w:val="21"/>
                      <w:highlight w:val="none"/>
                      <w:lang w:val="en-US" w:eastAsia="zh-CN"/>
                    </w:rPr>
                    <w:t>机加工</w:t>
                  </w:r>
                </w:p>
              </w:tc>
              <w:tc>
                <w:tcPr>
                  <w:tcW w:w="1140" w:type="pct"/>
                  <w:vAlign w:val="center"/>
                </w:tcPr>
                <w:p w14:paraId="6EEA0DD8">
                  <w:pPr>
                    <w:snapToGrid w:val="0"/>
                    <w:jc w:val="center"/>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废机加工边角料</w:t>
                  </w:r>
                </w:p>
              </w:tc>
              <w:tc>
                <w:tcPr>
                  <w:tcW w:w="515" w:type="pct"/>
                  <w:vAlign w:val="center"/>
                </w:tcPr>
                <w:p w14:paraId="7F617BA0">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27A3DB79">
                  <w:pPr>
                    <w:autoSpaceDE w:val="0"/>
                    <w:autoSpaceDN w:val="0"/>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外售综合利用</w:t>
                  </w:r>
                </w:p>
              </w:tc>
            </w:tr>
            <w:tr w14:paraId="292838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4946D136">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2ACBA74F">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S5</w:t>
                  </w:r>
                </w:p>
              </w:tc>
              <w:tc>
                <w:tcPr>
                  <w:tcW w:w="653" w:type="pct"/>
                  <w:vAlign w:val="center"/>
                </w:tcPr>
                <w:p w14:paraId="3E936F7B">
                  <w:pPr>
                    <w:snapToGrid w:val="0"/>
                    <w:jc w:val="center"/>
                    <w:rPr>
                      <w:rFonts w:hint="eastAsia" w:ascii="Times New Roman" w:hAnsi="Times New Roman" w:eastAsia="宋体" w:cs="宋体"/>
                      <w:b w:val="0"/>
                      <w:color w:val="auto"/>
                      <w:kern w:val="0"/>
                      <w:szCs w:val="21"/>
                      <w:highlight w:val="none"/>
                      <w:lang w:eastAsia="zh-CN"/>
                    </w:rPr>
                  </w:pPr>
                  <w:r>
                    <w:rPr>
                      <w:rFonts w:hint="eastAsia" w:cs="宋体"/>
                      <w:b w:val="0"/>
                      <w:color w:val="auto"/>
                      <w:kern w:val="0"/>
                      <w:szCs w:val="21"/>
                      <w:highlight w:val="none"/>
                      <w:lang w:val="en-US" w:eastAsia="zh-CN"/>
                    </w:rPr>
                    <w:t>机加工</w:t>
                  </w:r>
                </w:p>
              </w:tc>
              <w:tc>
                <w:tcPr>
                  <w:tcW w:w="1140" w:type="pct"/>
                  <w:vAlign w:val="center"/>
                </w:tcPr>
                <w:p w14:paraId="616E760C">
                  <w:pPr>
                    <w:snapToGrid w:val="0"/>
                    <w:jc w:val="center"/>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废乳化液</w:t>
                  </w:r>
                </w:p>
              </w:tc>
              <w:tc>
                <w:tcPr>
                  <w:tcW w:w="515" w:type="pct"/>
                  <w:vAlign w:val="center"/>
                </w:tcPr>
                <w:p w14:paraId="247CE25B">
                  <w:pPr>
                    <w:autoSpaceDE w:val="0"/>
                    <w:autoSpaceDN w:val="0"/>
                    <w:snapToGrid w:val="0"/>
                    <w:jc w:val="center"/>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间歇</w:t>
                  </w:r>
                </w:p>
              </w:tc>
              <w:tc>
                <w:tcPr>
                  <w:tcW w:w="1860" w:type="pct"/>
                  <w:vAlign w:val="center"/>
                </w:tcPr>
                <w:p w14:paraId="70ABD6A1">
                  <w:pPr>
                    <w:autoSpaceDE w:val="0"/>
                    <w:autoSpaceDN w:val="0"/>
                    <w:snapToGrid w:val="0"/>
                    <w:jc w:val="center"/>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委托有资质单位处置</w:t>
                  </w:r>
                </w:p>
              </w:tc>
            </w:tr>
            <w:tr w14:paraId="0E5A2D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1912A600">
                  <w:pPr>
                    <w:autoSpaceDE w:val="0"/>
                    <w:autoSpaceDN w:val="0"/>
                    <w:snapToGrid w:val="0"/>
                    <w:jc w:val="center"/>
                    <w:rPr>
                      <w:rFonts w:ascii="Times New Roman" w:hAnsi="Times New Roman" w:eastAsia="宋体" w:cs="宋体"/>
                      <w:b w:val="0"/>
                      <w:color w:val="auto"/>
                      <w:szCs w:val="21"/>
                      <w:highlight w:val="none"/>
                    </w:rPr>
                  </w:pPr>
                </w:p>
              </w:tc>
              <w:tc>
                <w:tcPr>
                  <w:tcW w:w="522" w:type="pct"/>
                  <w:vAlign w:val="center"/>
                </w:tcPr>
                <w:p w14:paraId="0B743F4E">
                  <w:pPr>
                    <w:snapToGrid w:val="0"/>
                    <w:jc w:val="center"/>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S6</w:t>
                  </w:r>
                </w:p>
              </w:tc>
              <w:tc>
                <w:tcPr>
                  <w:tcW w:w="653" w:type="pct"/>
                  <w:vAlign w:val="center"/>
                </w:tcPr>
                <w:p w14:paraId="4FB97892">
                  <w:pPr>
                    <w:snapToGrid w:val="0"/>
                    <w:jc w:val="center"/>
                    <w:rPr>
                      <w:rFonts w:hint="default" w:cs="宋体"/>
                      <w:b w:val="0"/>
                      <w:color w:val="auto"/>
                      <w:kern w:val="0"/>
                      <w:szCs w:val="21"/>
                      <w:highlight w:val="none"/>
                      <w:lang w:val="en-US" w:eastAsia="zh-CN"/>
                    </w:rPr>
                  </w:pPr>
                  <w:r>
                    <w:rPr>
                      <w:rFonts w:hint="eastAsia" w:cs="宋体"/>
                      <w:b w:val="0"/>
                      <w:color w:val="auto"/>
                      <w:kern w:val="0"/>
                      <w:szCs w:val="21"/>
                      <w:highlight w:val="none"/>
                      <w:lang w:val="en-US" w:eastAsia="zh-CN"/>
                    </w:rPr>
                    <w:t>检验</w:t>
                  </w:r>
                </w:p>
              </w:tc>
              <w:tc>
                <w:tcPr>
                  <w:tcW w:w="1140" w:type="pct"/>
                  <w:vAlign w:val="center"/>
                </w:tcPr>
                <w:p w14:paraId="0E5472C4">
                  <w:pPr>
                    <w:snapToGrid w:val="0"/>
                    <w:jc w:val="center"/>
                    <w:rPr>
                      <w:rFonts w:hint="default" w:cs="宋体"/>
                      <w:b w:val="0"/>
                      <w:color w:val="auto"/>
                      <w:szCs w:val="21"/>
                      <w:highlight w:val="none"/>
                      <w:lang w:val="en-US" w:eastAsia="zh-CN"/>
                    </w:rPr>
                  </w:pPr>
                  <w:r>
                    <w:rPr>
                      <w:rFonts w:hint="eastAsia" w:cs="宋体"/>
                      <w:b w:val="0"/>
                      <w:color w:val="auto"/>
                      <w:szCs w:val="21"/>
                      <w:highlight w:val="none"/>
                      <w:lang w:val="en-US" w:eastAsia="zh-CN"/>
                    </w:rPr>
                    <w:t>不合格品</w:t>
                  </w:r>
                </w:p>
              </w:tc>
              <w:tc>
                <w:tcPr>
                  <w:tcW w:w="515" w:type="pct"/>
                  <w:vAlign w:val="center"/>
                </w:tcPr>
                <w:p w14:paraId="7EDD91A4">
                  <w:pPr>
                    <w:autoSpaceDE w:val="0"/>
                    <w:autoSpaceDN w:val="0"/>
                    <w:snapToGrid w:val="0"/>
                    <w:jc w:val="center"/>
                    <w:rPr>
                      <w:rFonts w:hint="eastAsia"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间歇</w:t>
                  </w:r>
                </w:p>
              </w:tc>
              <w:tc>
                <w:tcPr>
                  <w:tcW w:w="1860" w:type="pct"/>
                  <w:vAlign w:val="center"/>
                </w:tcPr>
                <w:p w14:paraId="4F446FE5">
                  <w:pPr>
                    <w:autoSpaceDE w:val="0"/>
                    <w:autoSpaceDN w:val="0"/>
                    <w:snapToGrid w:val="0"/>
                    <w:jc w:val="center"/>
                    <w:rPr>
                      <w:rFonts w:ascii="Times New Roman" w:hAnsi="Times New Roman" w:eastAsia="宋体" w:cs="宋体"/>
                      <w:b w:val="0"/>
                      <w:color w:val="auto"/>
                      <w:szCs w:val="21"/>
                      <w:highlight w:val="none"/>
                    </w:rPr>
                  </w:pPr>
                  <w:r>
                    <w:rPr>
                      <w:rFonts w:hint="eastAsia" w:cs="宋体"/>
                      <w:b w:val="0"/>
                      <w:color w:val="auto"/>
                      <w:szCs w:val="21"/>
                      <w:highlight w:val="none"/>
                      <w:lang w:val="en-US" w:eastAsia="zh-CN"/>
                    </w:rPr>
                    <w:t>回用于熔化工序</w:t>
                  </w:r>
                </w:p>
              </w:tc>
            </w:tr>
            <w:tr w14:paraId="0104A0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255AAFC">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1D4CA1BB">
                  <w:pPr>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w:t>
                  </w:r>
                </w:p>
              </w:tc>
              <w:tc>
                <w:tcPr>
                  <w:tcW w:w="653" w:type="pct"/>
                  <w:shd w:val="clear" w:color="auto" w:fill="auto"/>
                  <w:vAlign w:val="center"/>
                </w:tcPr>
                <w:p w14:paraId="6516C92A">
                  <w:pPr>
                    <w:snapToGrid w:val="0"/>
                    <w:jc w:val="center"/>
                    <w:rPr>
                      <w:rFonts w:hint="default" w:ascii="Times New Roman" w:hAnsi="Times New Roman" w:eastAsia="宋体" w:cs="宋体"/>
                      <w:b w:val="0"/>
                      <w:color w:val="auto"/>
                      <w:kern w:val="0"/>
                      <w:sz w:val="21"/>
                      <w:szCs w:val="21"/>
                      <w:highlight w:val="none"/>
                      <w:lang w:val="en-US" w:eastAsia="zh-CN" w:bidi="ar-SA"/>
                    </w:rPr>
                  </w:pPr>
                  <w:r>
                    <w:rPr>
                      <w:rFonts w:hint="eastAsia" w:ascii="Times New Roman" w:hAnsi="Times New Roman" w:eastAsia="宋体" w:cs="宋体"/>
                      <w:b w:val="0"/>
                      <w:color w:val="auto"/>
                      <w:szCs w:val="21"/>
                      <w:highlight w:val="none"/>
                    </w:rPr>
                    <w:t>废气处理</w:t>
                  </w:r>
                </w:p>
              </w:tc>
              <w:tc>
                <w:tcPr>
                  <w:tcW w:w="1140" w:type="pct"/>
                  <w:shd w:val="clear" w:color="auto" w:fill="auto"/>
                  <w:vAlign w:val="center"/>
                </w:tcPr>
                <w:p w14:paraId="69FE9F17">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除尘渣</w:t>
                  </w:r>
                </w:p>
              </w:tc>
              <w:tc>
                <w:tcPr>
                  <w:tcW w:w="515" w:type="pct"/>
                  <w:shd w:val="clear" w:color="auto" w:fill="auto"/>
                  <w:vAlign w:val="center"/>
                </w:tcPr>
                <w:p w14:paraId="16969871">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1A969F4E">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71C2CC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053FDD30">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5A6F2F13">
                  <w:pPr>
                    <w:snapToGrid w:val="0"/>
                    <w:jc w:val="center"/>
                    <w:rPr>
                      <w:rFonts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kern w:val="0"/>
                      <w:szCs w:val="21"/>
                      <w:highlight w:val="none"/>
                    </w:rPr>
                    <w:t>/</w:t>
                  </w:r>
                </w:p>
              </w:tc>
              <w:tc>
                <w:tcPr>
                  <w:tcW w:w="653" w:type="pct"/>
                  <w:shd w:val="clear" w:color="auto" w:fill="auto"/>
                  <w:vAlign w:val="center"/>
                </w:tcPr>
                <w:p w14:paraId="269D7F35">
                  <w:pPr>
                    <w:snapToGrid w:val="0"/>
                    <w:jc w:val="center"/>
                    <w:rPr>
                      <w:rFonts w:ascii="Times New Roman" w:hAnsi="Times New Roman" w:eastAsia="宋体" w:cs="宋体"/>
                      <w:b w:val="0"/>
                      <w:color w:val="auto"/>
                      <w:kern w:val="0"/>
                      <w:sz w:val="21"/>
                      <w:szCs w:val="21"/>
                      <w:highlight w:val="none"/>
                      <w:lang w:val="en-US" w:eastAsia="zh-CN" w:bidi="ar-SA"/>
                    </w:rPr>
                  </w:pPr>
                  <w:r>
                    <w:rPr>
                      <w:rFonts w:hint="eastAsia" w:ascii="Times New Roman" w:hAnsi="Times New Roman" w:eastAsia="宋体" w:cs="宋体"/>
                      <w:b w:val="0"/>
                      <w:color w:val="auto"/>
                      <w:szCs w:val="21"/>
                      <w:highlight w:val="none"/>
                    </w:rPr>
                    <w:t>废气处理</w:t>
                  </w:r>
                </w:p>
              </w:tc>
              <w:tc>
                <w:tcPr>
                  <w:tcW w:w="1140" w:type="pct"/>
                  <w:shd w:val="clear" w:color="auto" w:fill="auto"/>
                  <w:vAlign w:val="center"/>
                </w:tcPr>
                <w:p w14:paraId="4B547BD0">
                  <w:pPr>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废活性炭</w:t>
                  </w:r>
                </w:p>
              </w:tc>
              <w:tc>
                <w:tcPr>
                  <w:tcW w:w="515" w:type="pct"/>
                  <w:shd w:val="clear" w:color="auto" w:fill="auto"/>
                  <w:vAlign w:val="center"/>
                </w:tcPr>
                <w:p w14:paraId="56BAEE9D">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07449DDC">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0BA50ED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1C00F49E">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605093FB">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ascii="Times New Roman" w:hAnsi="Times New Roman" w:eastAsia="宋体" w:cs="宋体"/>
                      <w:b w:val="0"/>
                      <w:color w:val="auto"/>
                      <w:kern w:val="0"/>
                      <w:szCs w:val="21"/>
                      <w:highlight w:val="none"/>
                      <w:lang w:val="en-US" w:eastAsia="zh-CN"/>
                    </w:rPr>
                    <w:t>/</w:t>
                  </w:r>
                </w:p>
              </w:tc>
              <w:tc>
                <w:tcPr>
                  <w:tcW w:w="653" w:type="pct"/>
                  <w:shd w:val="clear" w:color="auto" w:fill="auto"/>
                  <w:vAlign w:val="center"/>
                </w:tcPr>
                <w:p w14:paraId="6B0AEE61">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lang w:val="en-US" w:eastAsia="zh-CN"/>
                    </w:rPr>
                    <w:t>废气处理</w:t>
                  </w:r>
                </w:p>
              </w:tc>
              <w:tc>
                <w:tcPr>
                  <w:tcW w:w="1140" w:type="pct"/>
                  <w:shd w:val="clear" w:color="auto" w:fill="auto"/>
                  <w:vAlign w:val="center"/>
                </w:tcPr>
                <w:p w14:paraId="2B7C6262">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除尘器收尘</w:t>
                  </w:r>
                </w:p>
              </w:tc>
              <w:tc>
                <w:tcPr>
                  <w:tcW w:w="515" w:type="pct"/>
                  <w:shd w:val="clear" w:color="auto" w:fill="auto"/>
                  <w:vAlign w:val="center"/>
                </w:tcPr>
                <w:p w14:paraId="35433CF6">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7CF01CEC">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外售综合利用</w:t>
                  </w:r>
                </w:p>
              </w:tc>
            </w:tr>
            <w:tr w14:paraId="4073BD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6453704E">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5749AE9B">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ascii="Times New Roman" w:hAnsi="Times New Roman" w:eastAsia="宋体" w:cs="宋体"/>
                      <w:b w:val="0"/>
                      <w:color w:val="auto"/>
                      <w:kern w:val="0"/>
                      <w:szCs w:val="21"/>
                      <w:highlight w:val="none"/>
                      <w:lang w:val="en-US" w:eastAsia="zh-CN"/>
                    </w:rPr>
                    <w:t>/</w:t>
                  </w:r>
                </w:p>
              </w:tc>
              <w:tc>
                <w:tcPr>
                  <w:tcW w:w="653" w:type="pct"/>
                  <w:shd w:val="clear" w:color="auto" w:fill="auto"/>
                  <w:vAlign w:val="center"/>
                </w:tcPr>
                <w:p w14:paraId="1CD5D7CE">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设备维护</w:t>
                  </w:r>
                </w:p>
              </w:tc>
              <w:tc>
                <w:tcPr>
                  <w:tcW w:w="1140" w:type="pct"/>
                  <w:shd w:val="clear" w:color="auto" w:fill="auto"/>
                  <w:vAlign w:val="center"/>
                </w:tcPr>
                <w:p w14:paraId="1B07F81D">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废矿物油</w:t>
                  </w:r>
                </w:p>
              </w:tc>
              <w:tc>
                <w:tcPr>
                  <w:tcW w:w="515" w:type="pct"/>
                  <w:shd w:val="clear" w:color="auto" w:fill="auto"/>
                  <w:vAlign w:val="center"/>
                </w:tcPr>
                <w:p w14:paraId="666FA6C3">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18BF9216">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3C6D68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56907BC9">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5BD271BE">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kern w:val="0"/>
                      <w:szCs w:val="21"/>
                      <w:highlight w:val="none"/>
                    </w:rPr>
                    <w:t>/</w:t>
                  </w:r>
                </w:p>
              </w:tc>
              <w:tc>
                <w:tcPr>
                  <w:tcW w:w="653" w:type="pct"/>
                  <w:shd w:val="clear" w:color="auto" w:fill="auto"/>
                  <w:vAlign w:val="center"/>
                </w:tcPr>
                <w:p w14:paraId="733159C6">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kern w:val="0"/>
                      <w:szCs w:val="21"/>
                      <w:highlight w:val="none"/>
                    </w:rPr>
                    <w:t>原料包装</w:t>
                  </w:r>
                </w:p>
              </w:tc>
              <w:tc>
                <w:tcPr>
                  <w:tcW w:w="1140" w:type="pct"/>
                  <w:shd w:val="clear" w:color="auto" w:fill="auto"/>
                  <w:vAlign w:val="center"/>
                </w:tcPr>
                <w:p w14:paraId="340D7F85">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废包装桶</w:t>
                  </w:r>
                </w:p>
              </w:tc>
              <w:tc>
                <w:tcPr>
                  <w:tcW w:w="515" w:type="pct"/>
                  <w:shd w:val="clear" w:color="auto" w:fill="auto"/>
                  <w:vAlign w:val="center"/>
                </w:tcPr>
                <w:p w14:paraId="2ABE6A1F">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78D28D48">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012013D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23994C9A">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6BBD9216">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Cs w:val="21"/>
                      <w:highlight w:val="none"/>
                      <w:lang w:val="en-US" w:eastAsia="zh-CN"/>
                    </w:rPr>
                    <w:t>/</w:t>
                  </w:r>
                </w:p>
              </w:tc>
              <w:tc>
                <w:tcPr>
                  <w:tcW w:w="653" w:type="pct"/>
                  <w:shd w:val="clear" w:color="auto" w:fill="auto"/>
                  <w:vAlign w:val="center"/>
                </w:tcPr>
                <w:p w14:paraId="5F09336C">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Cs w:val="21"/>
                      <w:highlight w:val="none"/>
                      <w:lang w:val="en-US" w:eastAsia="zh-CN"/>
                    </w:rPr>
                    <w:t>废水处理</w:t>
                  </w:r>
                </w:p>
              </w:tc>
              <w:tc>
                <w:tcPr>
                  <w:tcW w:w="1140" w:type="pct"/>
                  <w:shd w:val="clear" w:color="auto" w:fill="auto"/>
                  <w:vAlign w:val="center"/>
                </w:tcPr>
                <w:p w14:paraId="2320A2E9">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RO浓液</w:t>
                  </w:r>
                </w:p>
              </w:tc>
              <w:tc>
                <w:tcPr>
                  <w:tcW w:w="515" w:type="pct"/>
                  <w:shd w:val="clear" w:color="auto" w:fill="auto"/>
                  <w:vAlign w:val="center"/>
                </w:tcPr>
                <w:p w14:paraId="097547B3">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36446DD1">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518C03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531E9CAA">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1043F798">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Cs w:val="21"/>
                      <w:highlight w:val="none"/>
                      <w:lang w:val="en-US" w:eastAsia="zh-CN"/>
                    </w:rPr>
                    <w:t>/</w:t>
                  </w:r>
                </w:p>
              </w:tc>
              <w:tc>
                <w:tcPr>
                  <w:tcW w:w="653" w:type="pct"/>
                  <w:shd w:val="clear" w:color="auto" w:fill="auto"/>
                  <w:vAlign w:val="center"/>
                </w:tcPr>
                <w:p w14:paraId="03572B94">
                  <w:pPr>
                    <w:snapToGrid w:val="0"/>
                    <w:jc w:val="center"/>
                    <w:rPr>
                      <w:rFonts w:hint="default"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Cs w:val="21"/>
                      <w:highlight w:val="none"/>
                      <w:lang w:val="en-US" w:eastAsia="zh-CN"/>
                    </w:rPr>
                    <w:t>废水处理</w:t>
                  </w:r>
                </w:p>
              </w:tc>
              <w:tc>
                <w:tcPr>
                  <w:tcW w:w="1140" w:type="pct"/>
                  <w:shd w:val="clear" w:color="auto" w:fill="auto"/>
                  <w:vAlign w:val="center"/>
                </w:tcPr>
                <w:p w14:paraId="0B2BFFA9">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废过滤介质</w:t>
                  </w:r>
                </w:p>
              </w:tc>
              <w:tc>
                <w:tcPr>
                  <w:tcW w:w="515" w:type="pct"/>
                  <w:shd w:val="clear" w:color="auto" w:fill="auto"/>
                  <w:vAlign w:val="center"/>
                </w:tcPr>
                <w:p w14:paraId="5414C038">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21F9AADA">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委托有资质单位处置</w:t>
                  </w:r>
                </w:p>
              </w:tc>
            </w:tr>
            <w:tr w14:paraId="487C9A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06" w:type="pct"/>
                  <w:vMerge w:val="continue"/>
                  <w:vAlign w:val="center"/>
                </w:tcPr>
                <w:p w14:paraId="741CCCE7">
                  <w:pPr>
                    <w:autoSpaceDE w:val="0"/>
                    <w:autoSpaceDN w:val="0"/>
                    <w:snapToGrid w:val="0"/>
                    <w:jc w:val="center"/>
                    <w:rPr>
                      <w:rFonts w:ascii="Times New Roman" w:hAnsi="Times New Roman" w:eastAsia="宋体" w:cs="宋体"/>
                      <w:b w:val="0"/>
                      <w:color w:val="auto"/>
                      <w:szCs w:val="21"/>
                      <w:highlight w:val="none"/>
                    </w:rPr>
                  </w:pPr>
                </w:p>
              </w:tc>
              <w:tc>
                <w:tcPr>
                  <w:tcW w:w="522" w:type="pct"/>
                  <w:shd w:val="clear" w:color="auto" w:fill="auto"/>
                  <w:vAlign w:val="center"/>
                </w:tcPr>
                <w:p w14:paraId="7281EF36">
                  <w:pPr>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w:t>
                  </w:r>
                </w:p>
              </w:tc>
              <w:tc>
                <w:tcPr>
                  <w:tcW w:w="653" w:type="pct"/>
                  <w:shd w:val="clear" w:color="auto" w:fill="auto"/>
                  <w:vAlign w:val="center"/>
                </w:tcPr>
                <w:p w14:paraId="4E5A2374">
                  <w:pPr>
                    <w:snapToGrid w:val="0"/>
                    <w:jc w:val="center"/>
                    <w:rPr>
                      <w:rFonts w:hint="eastAsia" w:ascii="Times New Roman" w:hAnsi="Times New Roman" w:eastAsia="宋体" w:cs="宋体"/>
                      <w:b w:val="0"/>
                      <w:color w:val="auto"/>
                      <w:kern w:val="0"/>
                      <w:sz w:val="21"/>
                      <w:szCs w:val="21"/>
                      <w:highlight w:val="none"/>
                      <w:lang w:val="en-US" w:eastAsia="zh-CN" w:bidi="ar-SA"/>
                    </w:rPr>
                  </w:pPr>
                  <w:r>
                    <w:rPr>
                      <w:rFonts w:hint="eastAsia" w:cs="宋体"/>
                      <w:b w:val="0"/>
                      <w:color w:val="auto"/>
                      <w:kern w:val="0"/>
                      <w:szCs w:val="21"/>
                      <w:highlight w:val="none"/>
                      <w:lang w:val="en-US" w:eastAsia="zh-CN"/>
                    </w:rPr>
                    <w:t>设备维护</w:t>
                  </w:r>
                </w:p>
              </w:tc>
              <w:tc>
                <w:tcPr>
                  <w:tcW w:w="1140" w:type="pct"/>
                  <w:shd w:val="clear" w:color="auto" w:fill="auto"/>
                  <w:vAlign w:val="center"/>
                </w:tcPr>
                <w:p w14:paraId="0AAA7E06">
                  <w:pPr>
                    <w:snapToGrid w:val="0"/>
                    <w:jc w:val="center"/>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含油劳保用品</w:t>
                  </w:r>
                </w:p>
              </w:tc>
              <w:tc>
                <w:tcPr>
                  <w:tcW w:w="515" w:type="pct"/>
                  <w:shd w:val="clear" w:color="auto" w:fill="auto"/>
                  <w:vAlign w:val="center"/>
                </w:tcPr>
                <w:p w14:paraId="22C54B90">
                  <w:pPr>
                    <w:autoSpaceDE w:val="0"/>
                    <w:autoSpaceDN w:val="0"/>
                    <w:snapToGrid w:val="0"/>
                    <w:jc w:val="center"/>
                    <w:rPr>
                      <w:rFonts w:hint="eastAsia"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间歇</w:t>
                  </w:r>
                </w:p>
              </w:tc>
              <w:tc>
                <w:tcPr>
                  <w:tcW w:w="1860" w:type="pct"/>
                  <w:shd w:val="clear" w:color="auto" w:fill="auto"/>
                  <w:vAlign w:val="center"/>
                </w:tcPr>
                <w:p w14:paraId="4CDB7C3A">
                  <w:pPr>
                    <w:autoSpaceDE w:val="0"/>
                    <w:autoSpaceDN w:val="0"/>
                    <w:snapToGrid w:val="0"/>
                    <w:jc w:val="center"/>
                    <w:rPr>
                      <w:rFonts w:ascii="Times New Roman" w:hAnsi="Times New Roman" w:eastAsia="宋体" w:cs="宋体"/>
                      <w:b w:val="0"/>
                      <w:color w:val="auto"/>
                      <w:kern w:val="2"/>
                      <w:sz w:val="21"/>
                      <w:szCs w:val="21"/>
                      <w:highlight w:val="none"/>
                      <w:lang w:val="en-US" w:eastAsia="zh-CN" w:bidi="ar-SA"/>
                    </w:rPr>
                  </w:pPr>
                  <w:r>
                    <w:rPr>
                      <w:rFonts w:ascii="Times New Roman" w:hAnsi="Times New Roman" w:eastAsia="宋体" w:cs="宋体"/>
                      <w:b w:val="0"/>
                      <w:color w:val="auto"/>
                      <w:szCs w:val="21"/>
                      <w:highlight w:val="none"/>
                    </w:rPr>
                    <w:t>环卫清运</w:t>
                  </w:r>
                </w:p>
              </w:tc>
            </w:tr>
          </w:tbl>
          <w:p w14:paraId="6030BC04">
            <w:pPr>
              <w:tabs>
                <w:tab w:val="left" w:pos="960"/>
              </w:tabs>
              <w:spacing w:beforeLines="50"/>
              <w:jc w:val="center"/>
              <w:rPr>
                <w:rFonts w:ascii="Times New Roman" w:hAnsi="Times New Roman" w:eastAsia="宋体" w:cs="宋体"/>
                <w:b/>
                <w:bCs w:val="0"/>
                <w:color w:val="auto"/>
                <w:spacing w:val="-4"/>
                <w:szCs w:val="21"/>
                <w:highlight w:val="none"/>
              </w:rPr>
            </w:pPr>
          </w:p>
          <w:p w14:paraId="3BA86F44">
            <w:pPr>
              <w:tabs>
                <w:tab w:val="left" w:pos="960"/>
              </w:tabs>
              <w:spacing w:beforeLines="50"/>
              <w:jc w:val="center"/>
              <w:rPr>
                <w:rFonts w:ascii="Times New Roman" w:hAnsi="Times New Roman" w:eastAsia="宋体" w:cs="宋体"/>
                <w:b/>
                <w:bCs w:val="0"/>
                <w:color w:val="auto"/>
                <w:spacing w:val="-4"/>
                <w:szCs w:val="21"/>
                <w:highlight w:val="none"/>
              </w:rPr>
            </w:pPr>
          </w:p>
          <w:p w14:paraId="4FE99868">
            <w:pPr>
              <w:tabs>
                <w:tab w:val="left" w:pos="960"/>
              </w:tabs>
              <w:spacing w:beforeLines="50"/>
              <w:jc w:val="center"/>
              <w:rPr>
                <w:rFonts w:ascii="Times New Roman" w:hAnsi="Times New Roman" w:eastAsia="宋体" w:cs="宋体"/>
                <w:b/>
                <w:bCs w:val="0"/>
                <w:color w:val="auto"/>
                <w:spacing w:val="-4"/>
                <w:szCs w:val="21"/>
                <w:highlight w:val="none"/>
              </w:rPr>
            </w:pPr>
          </w:p>
          <w:p w14:paraId="691E1128">
            <w:pPr>
              <w:tabs>
                <w:tab w:val="left" w:pos="3435"/>
              </w:tabs>
              <w:autoSpaceDE w:val="0"/>
              <w:autoSpaceDN w:val="0"/>
              <w:spacing w:line="360" w:lineRule="auto"/>
              <w:ind w:firstLine="420" w:firstLineChars="200"/>
              <w:rPr>
                <w:rFonts w:ascii="Times New Roman" w:hAnsi="Times New Roman" w:eastAsia="宋体" w:cs="宋体"/>
                <w:b w:val="0"/>
                <w:bCs/>
                <w:color w:val="auto"/>
                <w:szCs w:val="21"/>
                <w:highlight w:val="none"/>
              </w:rPr>
            </w:pPr>
          </w:p>
          <w:p w14:paraId="2F9FE768">
            <w:pPr>
              <w:tabs>
                <w:tab w:val="left" w:pos="3435"/>
              </w:tabs>
              <w:autoSpaceDE w:val="0"/>
              <w:autoSpaceDN w:val="0"/>
              <w:spacing w:line="360" w:lineRule="auto"/>
              <w:ind w:firstLine="420" w:firstLineChars="200"/>
              <w:rPr>
                <w:rFonts w:ascii="Times New Roman" w:hAnsi="Times New Roman" w:eastAsia="宋体" w:cs="宋体"/>
                <w:b w:val="0"/>
                <w:bCs/>
                <w:color w:val="auto"/>
                <w:szCs w:val="21"/>
                <w:highlight w:val="none"/>
              </w:rPr>
            </w:pPr>
          </w:p>
          <w:p w14:paraId="35C8FF09">
            <w:pPr>
              <w:tabs>
                <w:tab w:val="left" w:pos="3435"/>
              </w:tabs>
              <w:autoSpaceDE w:val="0"/>
              <w:autoSpaceDN w:val="0"/>
              <w:spacing w:line="360" w:lineRule="auto"/>
              <w:ind w:firstLine="420" w:firstLineChars="200"/>
              <w:rPr>
                <w:rFonts w:ascii="Times New Roman" w:hAnsi="Times New Roman" w:eastAsia="宋体" w:cs="宋体"/>
                <w:b w:val="0"/>
                <w:bCs/>
                <w:color w:val="auto"/>
                <w:szCs w:val="21"/>
                <w:highlight w:val="none"/>
              </w:rPr>
            </w:pPr>
          </w:p>
        </w:tc>
      </w:tr>
      <w:tr w14:paraId="42BC5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6DA15">
            <w:pPr>
              <w:pStyle w:val="19"/>
              <w:widowControl w:val="0"/>
              <w:adjustRightInd w:val="0"/>
              <w:snapToGrid w:val="0"/>
              <w:spacing w:before="0" w:beforeAutospacing="0" w:after="0" w:afterAutospacing="0"/>
              <w:jc w:val="center"/>
              <w:rPr>
                <w:rFonts w:ascii="Times New Roman" w:hAnsi="Times New Roman" w:eastAsia="宋体" w:cs="宋体"/>
                <w:b w:val="0"/>
                <w:color w:val="auto"/>
                <w:sz w:val="21"/>
                <w:szCs w:val="21"/>
                <w:highlight w:val="none"/>
              </w:rPr>
            </w:pPr>
            <w:r>
              <w:rPr>
                <w:rFonts w:hint="eastAsia" w:ascii="Times New Roman" w:hAnsi="Times New Roman" w:eastAsia="宋体" w:cs="宋体"/>
                <w:b w:val="0"/>
                <w:bCs/>
                <w:color w:val="auto"/>
                <w:kern w:val="2"/>
                <w:sz w:val="21"/>
                <w:szCs w:val="21"/>
                <w:highlight w:val="none"/>
              </w:rPr>
              <w:t>与项目有关的原有环境污染问题</w:t>
            </w:r>
          </w:p>
        </w:tc>
        <w:tc>
          <w:tcPr>
            <w:tcW w:w="8430" w:type="dxa"/>
            <w:tcBorders>
              <w:top w:val="single" w:color="000000" w:sz="4" w:space="0"/>
              <w:left w:val="single" w:color="000000" w:sz="4" w:space="0"/>
              <w:bottom w:val="single" w:color="000000" w:sz="4" w:space="0"/>
              <w:right w:val="single" w:color="000000" w:sz="4" w:space="0"/>
            </w:tcBorders>
            <w:shd w:val="clear" w:color="auto" w:fill="FFFFFF"/>
          </w:tcPr>
          <w:p w14:paraId="61D44F6F">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b w:val="0"/>
                <w:color w:val="auto"/>
                <w:szCs w:val="24"/>
                <w:highlight w:val="none"/>
                <w:lang w:val="en-US" w:eastAsia="zh-CN"/>
              </w:rPr>
              <w:t>一</w:t>
            </w:r>
            <w:r>
              <w:rPr>
                <w:rFonts w:hint="eastAsia" w:ascii="Times New Roman" w:hAnsi="Times New Roman" w:eastAsia="宋体"/>
                <w:b w:val="0"/>
                <w:color w:val="auto"/>
                <w:szCs w:val="24"/>
                <w:highlight w:val="none"/>
              </w:rPr>
              <w:t>、</w:t>
            </w:r>
            <w:r>
              <w:rPr>
                <w:rFonts w:hint="eastAsia" w:cs="Times New Roman"/>
                <w:b w:val="0"/>
                <w:bCs w:val="0"/>
                <w:color w:val="auto"/>
                <w:sz w:val="24"/>
                <w:lang w:val="en-US" w:eastAsia="zh-CN"/>
              </w:rPr>
              <w:t>原有项目情况</w:t>
            </w:r>
          </w:p>
          <w:p w14:paraId="0693F2E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lang w:val="en-US" w:eastAsia="zh-CN"/>
              </w:rPr>
            </w:pPr>
            <w:r>
              <w:rPr>
                <w:rFonts w:hint="eastAsia" w:ascii="Times New Roman" w:hAnsi="Times New Roman" w:eastAsia="宋体"/>
                <w:b w:val="0"/>
                <w:color w:val="auto"/>
                <w:szCs w:val="24"/>
                <w:highlight w:val="none"/>
                <w:lang w:val="en-US" w:eastAsia="zh-CN"/>
              </w:rPr>
              <w:t>常州市文卫管件模具有限公司成立于2000年7月12日，位于江苏省常州市金坛区河山环路26号，经营范围：铝压铸件，锌压铸件，模具，塑料制品，橡塑制品制造、加工；机械零部件加工。（依法须经批准的项目，经相关部门批准后方可开展经营活动）。</w:t>
            </w:r>
          </w:p>
          <w:p w14:paraId="5C81474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lang w:val="en-US" w:eastAsia="zh-CN"/>
              </w:rPr>
            </w:pPr>
            <w:r>
              <w:rPr>
                <w:rFonts w:hint="eastAsia" w:ascii="Times New Roman" w:hAnsi="Times New Roman" w:eastAsia="宋体"/>
                <w:b w:val="0"/>
                <w:color w:val="auto"/>
                <w:szCs w:val="24"/>
                <w:highlight w:val="none"/>
                <w:lang w:val="en-US" w:eastAsia="zh-CN"/>
              </w:rPr>
              <w:t>公司“新建压铸机、注塑件项目”于2015年6月12日取得了常州市金坛区环境保护局的审批意见（坛环开审[2015]45号），在设计建设过程中，对项目部分建设内容进行了调整，重新报批了环评手续，并于2018年11月27日取得了常州市环境保护局的审批意见（常金环审[2018]140号），该项目于2019年1月通过了自主环保三同时验收，于2019年4月9日取得了常州市生态环境局固体废物污染防治设施验收意见的函（常环金验[2019]35号）。企业于2020年6月22日申领了排污许可证，许可证编号：91320413323641574X001U。</w:t>
            </w:r>
          </w:p>
          <w:p w14:paraId="5E436F47">
            <w:pPr>
              <w:tabs>
                <w:tab w:val="left" w:pos="960"/>
              </w:tabs>
              <w:spacing w:before="93" w:beforeLines="30"/>
              <w:jc w:val="center"/>
              <w:rPr>
                <w:rFonts w:hint="default" w:ascii="Times New Roman" w:hAnsi="Times New Roman" w:cs="Times New Roman"/>
                <w:b/>
                <w:bCs w:val="0"/>
                <w:color w:val="auto"/>
                <w:spacing w:val="-4"/>
                <w:sz w:val="24"/>
                <w:szCs w:val="21"/>
              </w:rPr>
            </w:pPr>
            <w:r>
              <w:rPr>
                <w:rFonts w:hint="default" w:ascii="Times New Roman" w:hAnsi="Times New Roman" w:cs="Times New Roman"/>
                <w:b/>
                <w:bCs w:val="0"/>
                <w:color w:val="auto"/>
                <w:spacing w:val="-4"/>
                <w:sz w:val="24"/>
                <w:szCs w:val="21"/>
              </w:rPr>
              <w:t>表</w:t>
            </w:r>
            <w:r>
              <w:rPr>
                <w:rFonts w:hint="eastAsia" w:cs="Times New Roman"/>
                <w:b/>
                <w:bCs w:val="0"/>
                <w:color w:val="auto"/>
                <w:spacing w:val="-4"/>
                <w:sz w:val="24"/>
                <w:szCs w:val="21"/>
                <w:lang w:val="en-US" w:eastAsia="zh-CN"/>
              </w:rPr>
              <w:t>2.3-1</w:t>
            </w:r>
            <w:r>
              <w:rPr>
                <w:rFonts w:hint="default" w:ascii="Times New Roman" w:hAnsi="Times New Roman" w:cs="Times New Roman"/>
                <w:b/>
                <w:bCs w:val="0"/>
                <w:color w:val="auto"/>
                <w:spacing w:val="-4"/>
                <w:sz w:val="24"/>
                <w:szCs w:val="21"/>
              </w:rPr>
              <w:t xml:space="preserve">  </w:t>
            </w:r>
            <w:r>
              <w:rPr>
                <w:rFonts w:hint="eastAsia" w:cs="Times New Roman"/>
                <w:b/>
                <w:bCs w:val="0"/>
                <w:color w:val="auto"/>
                <w:spacing w:val="-4"/>
                <w:sz w:val="24"/>
                <w:szCs w:val="21"/>
                <w:lang w:val="en-US" w:eastAsia="zh-CN"/>
              </w:rPr>
              <w:t>原有</w:t>
            </w:r>
            <w:r>
              <w:rPr>
                <w:rFonts w:hint="eastAsia" w:cs="Times New Roman"/>
                <w:b/>
                <w:bCs w:val="0"/>
                <w:color w:val="auto"/>
                <w:spacing w:val="-4"/>
                <w:sz w:val="24"/>
                <w:szCs w:val="21"/>
                <w:lang w:eastAsia="zh-CN"/>
              </w:rPr>
              <w:t>项目</w:t>
            </w:r>
            <w:r>
              <w:rPr>
                <w:rFonts w:hint="default" w:ascii="Times New Roman" w:hAnsi="Times New Roman" w:cs="Times New Roman"/>
                <w:b/>
                <w:bCs w:val="0"/>
                <w:color w:val="auto"/>
                <w:spacing w:val="-4"/>
                <w:sz w:val="24"/>
                <w:szCs w:val="21"/>
              </w:rPr>
              <w:t>环保手续情况</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2380"/>
              <w:gridCol w:w="4064"/>
            </w:tblGrid>
            <w:tr w14:paraId="6FDF89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896" w:type="dxa"/>
                  <w:noWrap w:val="0"/>
                  <w:vAlign w:val="center"/>
                </w:tcPr>
                <w:p w14:paraId="448B59A4">
                  <w:pPr>
                    <w:jc w:val="center"/>
                    <w:rPr>
                      <w:rFonts w:hint="default" w:ascii="Times New Roman" w:hAnsi="Times New Roman" w:cs="Times New Roman"/>
                      <w:b/>
                      <w:bCs w:val="0"/>
                      <w:color w:val="auto"/>
                      <w:szCs w:val="21"/>
                    </w:rPr>
                  </w:pPr>
                  <w:r>
                    <w:rPr>
                      <w:rFonts w:hint="eastAsia" w:cs="Times New Roman"/>
                      <w:b/>
                      <w:bCs w:val="0"/>
                      <w:color w:val="auto"/>
                      <w:szCs w:val="21"/>
                      <w:lang w:eastAsia="zh-CN"/>
                    </w:rPr>
                    <w:t>原有项目</w:t>
                  </w:r>
                  <w:r>
                    <w:rPr>
                      <w:rFonts w:hint="default" w:ascii="Times New Roman" w:hAnsi="Times New Roman" w:cs="Times New Roman"/>
                      <w:b/>
                      <w:bCs w:val="0"/>
                      <w:color w:val="auto"/>
                      <w:szCs w:val="21"/>
                    </w:rPr>
                    <w:t>名称</w:t>
                  </w:r>
                </w:p>
              </w:tc>
              <w:tc>
                <w:tcPr>
                  <w:tcW w:w="2380" w:type="dxa"/>
                  <w:noWrap w:val="0"/>
                  <w:vAlign w:val="center"/>
                </w:tcPr>
                <w:p w14:paraId="04EBC205">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审批情况</w:t>
                  </w:r>
                </w:p>
              </w:tc>
              <w:tc>
                <w:tcPr>
                  <w:tcW w:w="4064" w:type="dxa"/>
                  <w:noWrap w:val="0"/>
                  <w:vAlign w:val="center"/>
                </w:tcPr>
                <w:p w14:paraId="37C009F3">
                  <w:pPr>
                    <w:jc w:val="center"/>
                    <w:rPr>
                      <w:rFonts w:hint="default" w:ascii="Times New Roman" w:hAnsi="Times New Roman" w:cs="Times New Roman"/>
                      <w:b/>
                      <w:bCs w:val="0"/>
                      <w:color w:val="auto"/>
                      <w:szCs w:val="21"/>
                    </w:rPr>
                  </w:pPr>
                  <w:r>
                    <w:rPr>
                      <w:rFonts w:hint="default" w:ascii="Times New Roman" w:hAnsi="Times New Roman" w:cs="Times New Roman"/>
                      <w:b/>
                      <w:bCs w:val="0"/>
                      <w:color w:val="auto"/>
                      <w:szCs w:val="21"/>
                    </w:rPr>
                    <w:t>环保验收情况</w:t>
                  </w:r>
                </w:p>
              </w:tc>
            </w:tr>
            <w:tr w14:paraId="789A0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896" w:type="dxa"/>
                  <w:noWrap w:val="0"/>
                  <w:vAlign w:val="center"/>
                </w:tcPr>
                <w:p w14:paraId="2CC22449">
                  <w:pPr>
                    <w:jc w:val="center"/>
                    <w:rPr>
                      <w:rFonts w:hint="default" w:ascii="Times New Roman" w:hAnsi="Times New Roman" w:cs="Times New Roman"/>
                      <w:b w:val="0"/>
                      <w:color w:val="auto"/>
                      <w:szCs w:val="21"/>
                    </w:rPr>
                  </w:pPr>
                  <w:r>
                    <w:rPr>
                      <w:rFonts w:hint="default" w:ascii="Times New Roman" w:hAnsi="Times New Roman" w:cs="Times New Roman"/>
                      <w:b w:val="0"/>
                      <w:color w:val="auto"/>
                      <w:szCs w:val="21"/>
                    </w:rPr>
                    <w:t>新建压铸机、注塑件项目</w:t>
                  </w:r>
                </w:p>
              </w:tc>
              <w:tc>
                <w:tcPr>
                  <w:tcW w:w="2380" w:type="dxa"/>
                  <w:noWrap w:val="0"/>
                  <w:vAlign w:val="center"/>
                </w:tcPr>
                <w:p w14:paraId="48B5151C">
                  <w:pPr>
                    <w:jc w:val="center"/>
                    <w:rPr>
                      <w:rFonts w:hint="default" w:ascii="Times New Roman" w:hAnsi="Times New Roman" w:cs="Times New Roman"/>
                      <w:b w:val="0"/>
                      <w:color w:val="auto"/>
                      <w:szCs w:val="21"/>
                    </w:rPr>
                  </w:pPr>
                  <w:r>
                    <w:rPr>
                      <w:rFonts w:hint="default" w:ascii="Times New Roman" w:hAnsi="Times New Roman" w:cs="Times New Roman"/>
                      <w:b w:val="0"/>
                      <w:color w:val="auto"/>
                      <w:szCs w:val="21"/>
                    </w:rPr>
                    <w:t>于2015年6月12日取得了常州市金坛区环境保护局的审批意见（坛环开审[2015]45号）</w:t>
                  </w:r>
                </w:p>
              </w:tc>
              <w:tc>
                <w:tcPr>
                  <w:tcW w:w="4064" w:type="dxa"/>
                  <w:noWrap w:val="0"/>
                  <w:vAlign w:val="center"/>
                </w:tcPr>
                <w:p w14:paraId="0C549DB1">
                  <w:pPr>
                    <w:jc w:val="center"/>
                    <w:rPr>
                      <w:rFonts w:hint="default" w:ascii="Times New Roman" w:hAnsi="Times New Roman" w:eastAsia="宋体" w:cs="Times New Roman"/>
                      <w:b w:val="0"/>
                      <w:color w:val="auto"/>
                      <w:szCs w:val="21"/>
                      <w:lang w:eastAsia="zh-CN"/>
                    </w:rPr>
                  </w:pPr>
                  <w:r>
                    <w:rPr>
                      <w:rFonts w:hint="eastAsia" w:eastAsia="宋体" w:cs="Times New Roman"/>
                      <w:b w:val="0"/>
                      <w:color w:val="auto"/>
                      <w:szCs w:val="21"/>
                      <w:lang w:val="en-US" w:eastAsia="zh-CN"/>
                    </w:rPr>
                    <w:t>/</w:t>
                  </w:r>
                </w:p>
              </w:tc>
            </w:tr>
            <w:tr w14:paraId="4718F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896" w:type="dxa"/>
                  <w:noWrap w:val="0"/>
                  <w:vAlign w:val="center"/>
                </w:tcPr>
                <w:p w14:paraId="434560C0">
                  <w:pPr>
                    <w:jc w:val="center"/>
                    <w:rPr>
                      <w:rFonts w:hint="default" w:ascii="Times New Roman" w:hAnsi="Times New Roman" w:cs="Times New Roman"/>
                      <w:b w:val="0"/>
                      <w:color w:val="auto"/>
                      <w:szCs w:val="21"/>
                    </w:rPr>
                  </w:pPr>
                  <w:r>
                    <w:rPr>
                      <w:rFonts w:hint="default" w:ascii="Times New Roman" w:hAnsi="Times New Roman" w:cs="Times New Roman"/>
                      <w:b w:val="0"/>
                      <w:color w:val="auto"/>
                      <w:szCs w:val="21"/>
                    </w:rPr>
                    <w:t>新建压铸机、注塑件</w:t>
                  </w:r>
                  <w:r>
                    <w:rPr>
                      <w:rFonts w:hint="eastAsia" w:cs="Times New Roman"/>
                      <w:b w:val="0"/>
                      <w:color w:val="auto"/>
                      <w:szCs w:val="21"/>
                      <w:lang w:val="en-US" w:eastAsia="zh-CN"/>
                    </w:rPr>
                    <w:t>重新报批</w:t>
                  </w:r>
                  <w:r>
                    <w:rPr>
                      <w:rFonts w:hint="default" w:ascii="Times New Roman" w:hAnsi="Times New Roman" w:cs="Times New Roman"/>
                      <w:b w:val="0"/>
                      <w:color w:val="auto"/>
                      <w:szCs w:val="21"/>
                    </w:rPr>
                    <w:t>项目</w:t>
                  </w:r>
                </w:p>
              </w:tc>
              <w:tc>
                <w:tcPr>
                  <w:tcW w:w="2380" w:type="dxa"/>
                  <w:noWrap w:val="0"/>
                  <w:vAlign w:val="center"/>
                </w:tcPr>
                <w:p w14:paraId="50EDFAF6">
                  <w:pPr>
                    <w:jc w:val="center"/>
                    <w:rPr>
                      <w:rFonts w:hint="default" w:ascii="Times New Roman" w:hAnsi="Times New Roman" w:cs="Times New Roman"/>
                      <w:b w:val="0"/>
                      <w:color w:val="auto"/>
                      <w:szCs w:val="21"/>
                    </w:rPr>
                  </w:pPr>
                  <w:r>
                    <w:rPr>
                      <w:rFonts w:hint="default" w:ascii="Times New Roman" w:hAnsi="Times New Roman" w:cs="Times New Roman"/>
                      <w:b w:val="0"/>
                      <w:color w:val="auto"/>
                      <w:szCs w:val="21"/>
                    </w:rPr>
                    <w:t>于2018年11月27日取得了常州市环境保护局的审批意见（常金环审[2018]140号）</w:t>
                  </w:r>
                </w:p>
              </w:tc>
              <w:tc>
                <w:tcPr>
                  <w:tcW w:w="4064" w:type="dxa"/>
                  <w:noWrap w:val="0"/>
                  <w:vAlign w:val="center"/>
                </w:tcPr>
                <w:p w14:paraId="3B98AB6F">
                  <w:pPr>
                    <w:jc w:val="center"/>
                    <w:rPr>
                      <w:rFonts w:hint="eastAsia" w:eastAsia="宋体" w:cs="Times New Roman"/>
                      <w:b w:val="0"/>
                      <w:color w:val="auto"/>
                      <w:szCs w:val="21"/>
                      <w:lang w:val="en-US" w:eastAsia="zh-CN"/>
                    </w:rPr>
                  </w:pPr>
                  <w:r>
                    <w:rPr>
                      <w:rFonts w:hint="eastAsia" w:eastAsia="宋体" w:cs="Times New Roman"/>
                      <w:b w:val="0"/>
                      <w:color w:val="auto"/>
                      <w:szCs w:val="21"/>
                      <w:lang w:val="en-US" w:eastAsia="zh-CN"/>
                    </w:rPr>
                    <w:t>于2018年11月27日取得了常州市环境保护局的审批意见（常金环审[2018]140号），该项目于2019年1月通过了自主环保三同时验收，于2019年4月9日取得了常州市生态环境局固体废物污染防治设施验收意见的函（常环金验[2019]35号）</w:t>
                  </w:r>
                </w:p>
              </w:tc>
            </w:tr>
            <w:tr w14:paraId="6E5BC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896" w:type="dxa"/>
                  <w:noWrap w:val="0"/>
                  <w:vAlign w:val="center"/>
                </w:tcPr>
                <w:p w14:paraId="07288894">
                  <w:pPr>
                    <w:jc w:val="center"/>
                    <w:rPr>
                      <w:rFonts w:hint="eastAsia" w:ascii="Times New Roman" w:hAnsi="Times New Roman" w:eastAsia="宋体" w:cs="Times New Roman"/>
                      <w:b w:val="0"/>
                      <w:color w:val="auto"/>
                      <w:szCs w:val="21"/>
                      <w:lang w:val="en-US" w:eastAsia="zh-CN"/>
                    </w:rPr>
                  </w:pPr>
                  <w:r>
                    <w:rPr>
                      <w:rFonts w:hint="eastAsia" w:ascii="Times New Roman" w:hAnsi="Times New Roman" w:cs="Times New Roman"/>
                      <w:b w:val="0"/>
                      <w:color w:val="auto"/>
                      <w:szCs w:val="21"/>
                      <w:lang w:val="en-US" w:eastAsia="zh-CN"/>
                    </w:rPr>
                    <w:t>排污许可证</w:t>
                  </w:r>
                </w:p>
              </w:tc>
              <w:tc>
                <w:tcPr>
                  <w:tcW w:w="6444" w:type="dxa"/>
                  <w:gridSpan w:val="2"/>
                  <w:noWrap w:val="0"/>
                  <w:vAlign w:val="center"/>
                </w:tcPr>
                <w:p w14:paraId="52F4C31B">
                  <w:pPr>
                    <w:jc w:val="center"/>
                    <w:rPr>
                      <w:rFonts w:hint="default" w:ascii="Times New Roman" w:hAnsi="Times New Roman" w:eastAsia="宋体" w:cs="Times New Roman"/>
                      <w:b w:val="0"/>
                      <w:color w:val="auto"/>
                      <w:szCs w:val="21"/>
                      <w:lang w:eastAsia="zh-CN"/>
                    </w:rPr>
                  </w:pPr>
                  <w:r>
                    <w:rPr>
                      <w:rFonts w:hint="default" w:ascii="Times New Roman" w:hAnsi="Times New Roman" w:eastAsia="宋体" w:cs="Times New Roman"/>
                      <w:b w:val="0"/>
                      <w:color w:val="auto"/>
                      <w:szCs w:val="21"/>
                      <w:lang w:eastAsia="zh-CN"/>
                    </w:rPr>
                    <w:t>于2020年6月22日申领了排污许可证，并于2023年5月31日办理了延续手续，许可证编号：91320413323641574X001U</w:t>
                  </w:r>
                </w:p>
              </w:tc>
            </w:tr>
          </w:tbl>
          <w:p w14:paraId="39B0BE7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与本项目有关的原有污染情况及主要环境问题是现有工程情况。以下内容主要根据环评报告表、原有项目实际建设情况整理。</w:t>
            </w:r>
          </w:p>
          <w:p w14:paraId="111F5C2F">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1、原有项目产能</w:t>
            </w:r>
          </w:p>
          <w:p w14:paraId="7B1F838A">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原有项目产能具体见表2</w:t>
            </w:r>
            <w:r>
              <w:rPr>
                <w:rFonts w:hint="eastAsia" w:ascii="Times New Roman" w:hAnsi="Times New Roman"/>
                <w:b w:val="0"/>
                <w:color w:val="auto"/>
                <w:szCs w:val="24"/>
                <w:highlight w:val="none"/>
                <w:lang w:val="en-US" w:eastAsia="zh-CN"/>
              </w:rPr>
              <w:t>.1</w:t>
            </w:r>
            <w:r>
              <w:rPr>
                <w:rFonts w:hint="eastAsia" w:ascii="Times New Roman" w:hAnsi="Times New Roman" w:eastAsia="宋体"/>
                <w:b w:val="0"/>
                <w:color w:val="auto"/>
                <w:szCs w:val="24"/>
                <w:highlight w:val="none"/>
              </w:rPr>
              <w:t>-</w:t>
            </w:r>
            <w:r>
              <w:rPr>
                <w:rFonts w:hint="eastAsia" w:ascii="Times New Roman" w:hAnsi="Times New Roman"/>
                <w:b w:val="0"/>
                <w:color w:val="auto"/>
                <w:szCs w:val="24"/>
                <w:highlight w:val="none"/>
                <w:lang w:val="en-US" w:eastAsia="zh-CN"/>
              </w:rPr>
              <w:t>3</w:t>
            </w:r>
            <w:r>
              <w:rPr>
                <w:rFonts w:hint="eastAsia" w:ascii="Times New Roman" w:hAnsi="Times New Roman" w:eastAsia="宋体"/>
                <w:b w:val="0"/>
                <w:color w:val="auto"/>
                <w:szCs w:val="24"/>
                <w:highlight w:val="none"/>
              </w:rPr>
              <w:t>。</w:t>
            </w:r>
          </w:p>
          <w:p w14:paraId="3D3694D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2、原有项目原辅材料消耗</w:t>
            </w:r>
          </w:p>
          <w:p w14:paraId="70F3F3DC">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原有项目原辅料使用情况具体见表2</w:t>
            </w:r>
            <w:r>
              <w:rPr>
                <w:rFonts w:hint="eastAsia" w:ascii="Times New Roman" w:hAnsi="Times New Roman"/>
                <w:b w:val="0"/>
                <w:color w:val="auto"/>
                <w:szCs w:val="24"/>
                <w:highlight w:val="none"/>
                <w:lang w:val="en-US" w:eastAsia="zh-CN"/>
              </w:rPr>
              <w:t>.1</w:t>
            </w:r>
            <w:r>
              <w:rPr>
                <w:rFonts w:hint="eastAsia" w:ascii="Times New Roman" w:hAnsi="Times New Roman" w:eastAsia="宋体"/>
                <w:b w:val="0"/>
                <w:color w:val="auto"/>
                <w:szCs w:val="24"/>
                <w:highlight w:val="none"/>
              </w:rPr>
              <w:t>-</w:t>
            </w:r>
            <w:r>
              <w:rPr>
                <w:rFonts w:hint="eastAsia" w:ascii="Times New Roman" w:hAnsi="Times New Roman"/>
                <w:b w:val="0"/>
                <w:color w:val="auto"/>
                <w:szCs w:val="24"/>
                <w:highlight w:val="none"/>
                <w:lang w:val="en-US" w:eastAsia="zh-CN"/>
              </w:rPr>
              <w:t>4</w:t>
            </w:r>
            <w:r>
              <w:rPr>
                <w:rFonts w:hint="eastAsia" w:ascii="Times New Roman" w:hAnsi="Times New Roman" w:eastAsia="宋体"/>
                <w:b w:val="0"/>
                <w:color w:val="auto"/>
                <w:szCs w:val="24"/>
                <w:highlight w:val="none"/>
              </w:rPr>
              <w:t>。</w:t>
            </w:r>
          </w:p>
          <w:p w14:paraId="7C03DCDD">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3、原有项目设备清单</w:t>
            </w:r>
          </w:p>
          <w:p w14:paraId="67B0BE3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原有项目设备使用情况具体见表2</w:t>
            </w:r>
            <w:r>
              <w:rPr>
                <w:rFonts w:hint="eastAsia" w:ascii="Times New Roman" w:hAnsi="Times New Roman"/>
                <w:b w:val="0"/>
                <w:color w:val="auto"/>
                <w:szCs w:val="24"/>
                <w:highlight w:val="none"/>
                <w:lang w:val="en-US" w:eastAsia="zh-CN"/>
              </w:rPr>
              <w:t>.1</w:t>
            </w:r>
            <w:r>
              <w:rPr>
                <w:rFonts w:hint="eastAsia" w:ascii="Times New Roman" w:hAnsi="Times New Roman" w:eastAsia="宋体"/>
                <w:b w:val="0"/>
                <w:color w:val="auto"/>
                <w:szCs w:val="24"/>
                <w:highlight w:val="none"/>
              </w:rPr>
              <w:t>-</w:t>
            </w:r>
            <w:r>
              <w:rPr>
                <w:rFonts w:hint="eastAsia" w:ascii="Times New Roman" w:hAnsi="Times New Roman"/>
                <w:b w:val="0"/>
                <w:color w:val="auto"/>
                <w:szCs w:val="24"/>
                <w:highlight w:val="none"/>
                <w:lang w:val="en-US" w:eastAsia="zh-CN"/>
              </w:rPr>
              <w:t>7</w:t>
            </w:r>
            <w:r>
              <w:rPr>
                <w:rFonts w:hint="eastAsia" w:ascii="Times New Roman" w:hAnsi="Times New Roman" w:eastAsia="宋体"/>
                <w:b w:val="0"/>
                <w:color w:val="auto"/>
                <w:szCs w:val="24"/>
                <w:highlight w:val="none"/>
              </w:rPr>
              <w:t>。</w:t>
            </w:r>
          </w:p>
          <w:p w14:paraId="2B400FC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4、原有工程生产工艺</w:t>
            </w:r>
          </w:p>
          <w:p w14:paraId="5C16290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原有项目</w:t>
            </w:r>
            <w:r>
              <w:rPr>
                <w:rFonts w:hint="eastAsia" w:ascii="Times New Roman" w:hAnsi="Times New Roman"/>
                <w:b w:val="0"/>
                <w:color w:val="auto"/>
                <w:szCs w:val="24"/>
                <w:highlight w:val="none"/>
                <w:lang w:val="en-US" w:eastAsia="zh-CN"/>
              </w:rPr>
              <w:t>铝铸件</w:t>
            </w:r>
            <w:r>
              <w:rPr>
                <w:rFonts w:hint="eastAsia" w:ascii="Times New Roman" w:hAnsi="Times New Roman" w:eastAsia="宋体"/>
                <w:b w:val="0"/>
                <w:color w:val="auto"/>
                <w:szCs w:val="24"/>
                <w:highlight w:val="none"/>
              </w:rPr>
              <w:t>生产工艺见图2</w:t>
            </w:r>
            <w:r>
              <w:rPr>
                <w:rFonts w:hint="eastAsia" w:ascii="Times New Roman" w:hAnsi="Times New Roman"/>
                <w:b w:val="0"/>
                <w:color w:val="auto"/>
                <w:szCs w:val="24"/>
                <w:highlight w:val="none"/>
                <w:lang w:val="en-US" w:eastAsia="zh-CN"/>
              </w:rPr>
              <w:t>.2</w:t>
            </w:r>
            <w:r>
              <w:rPr>
                <w:rFonts w:hint="eastAsia" w:ascii="Times New Roman" w:hAnsi="Times New Roman" w:eastAsia="宋体"/>
                <w:b w:val="0"/>
                <w:color w:val="auto"/>
                <w:szCs w:val="24"/>
                <w:highlight w:val="none"/>
              </w:rPr>
              <w:t>-</w:t>
            </w:r>
            <w:r>
              <w:rPr>
                <w:rFonts w:hint="eastAsia" w:ascii="Times New Roman" w:hAnsi="Times New Roman"/>
                <w:b w:val="0"/>
                <w:color w:val="auto"/>
                <w:szCs w:val="24"/>
                <w:highlight w:val="none"/>
                <w:lang w:val="en-US" w:eastAsia="zh-CN"/>
              </w:rPr>
              <w:t>1</w:t>
            </w:r>
            <w:r>
              <w:rPr>
                <w:rFonts w:hint="eastAsia" w:ascii="Times New Roman" w:hAnsi="Times New Roman" w:eastAsia="宋体"/>
                <w:b w:val="0"/>
                <w:color w:val="auto"/>
                <w:szCs w:val="24"/>
                <w:highlight w:val="none"/>
              </w:rPr>
              <w:t>。</w:t>
            </w:r>
          </w:p>
          <w:p w14:paraId="34AEE5BE">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lang w:eastAsia="zh-CN"/>
              </w:rPr>
            </w:pPr>
            <w:r>
              <w:rPr>
                <w:rFonts w:hint="eastAsia" w:ascii="Times New Roman" w:hAnsi="Times New Roman" w:eastAsia="宋体"/>
                <w:b w:val="0"/>
                <w:color w:val="auto"/>
                <w:szCs w:val="24"/>
                <w:highlight w:val="none"/>
              </w:rPr>
              <w:t>原有项目</w:t>
            </w:r>
            <w:r>
              <w:rPr>
                <w:rFonts w:hint="eastAsia" w:ascii="Times New Roman" w:hAnsi="Times New Roman"/>
                <w:b w:val="0"/>
                <w:color w:val="auto"/>
                <w:szCs w:val="24"/>
                <w:highlight w:val="none"/>
                <w:lang w:val="en-US" w:eastAsia="zh-CN"/>
              </w:rPr>
              <w:t>注塑件</w:t>
            </w:r>
            <w:r>
              <w:rPr>
                <w:rFonts w:hint="eastAsia" w:ascii="Times New Roman" w:hAnsi="Times New Roman" w:eastAsia="宋体"/>
                <w:b w:val="0"/>
                <w:color w:val="auto"/>
                <w:szCs w:val="24"/>
                <w:highlight w:val="none"/>
              </w:rPr>
              <w:t>生产工艺见</w:t>
            </w:r>
            <w:r>
              <w:rPr>
                <w:rFonts w:hint="eastAsia" w:ascii="Times New Roman" w:hAnsi="Times New Roman" w:eastAsia="宋体"/>
                <w:b w:val="0"/>
                <w:color w:val="auto"/>
                <w:szCs w:val="24"/>
                <w:highlight w:val="none"/>
                <w:lang w:val="en-US" w:eastAsia="zh-CN"/>
              </w:rPr>
              <w:t>下</w:t>
            </w:r>
            <w:r>
              <w:rPr>
                <w:rFonts w:hint="eastAsia" w:ascii="Times New Roman" w:hAnsi="Times New Roman" w:eastAsia="宋体"/>
                <w:b w:val="0"/>
                <w:color w:val="auto"/>
                <w:szCs w:val="24"/>
                <w:highlight w:val="none"/>
              </w:rPr>
              <w:t>图</w:t>
            </w:r>
            <w:r>
              <w:rPr>
                <w:rFonts w:hint="eastAsia" w:ascii="Times New Roman" w:hAnsi="Times New Roman" w:eastAsia="宋体"/>
                <w:b w:val="0"/>
                <w:color w:val="auto"/>
                <w:szCs w:val="24"/>
                <w:highlight w:val="none"/>
                <w:lang w:eastAsia="zh-CN"/>
              </w:rPr>
              <w:t>。</w:t>
            </w:r>
          </w:p>
          <w:p w14:paraId="072B1001">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center"/>
              <w:textAlignment w:val="auto"/>
              <w:rPr>
                <w:rFonts w:hint="eastAsia" w:ascii="Times New Roman" w:hAnsi="Times New Roman" w:eastAsia="宋体"/>
                <w:b w:val="0"/>
                <w:color w:val="auto"/>
                <w:szCs w:val="24"/>
                <w:highlight w:val="none"/>
              </w:rPr>
            </w:pPr>
            <w:r>
              <w:rPr>
                <w:b w:val="0"/>
                <w:color w:val="auto"/>
              </w:rPr>
              <w:drawing>
                <wp:inline distT="0" distB="0" distL="114300" distR="114300">
                  <wp:extent cx="3202305" cy="3209290"/>
                  <wp:effectExtent l="0" t="0" r="10795" b="381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7"/>
                          <a:stretch>
                            <a:fillRect/>
                          </a:stretch>
                        </pic:blipFill>
                        <pic:spPr>
                          <a:xfrm>
                            <a:off x="0" y="0"/>
                            <a:ext cx="3202305" cy="3209290"/>
                          </a:xfrm>
                          <a:prstGeom prst="rect">
                            <a:avLst/>
                          </a:prstGeom>
                          <a:noFill/>
                          <a:ln>
                            <a:noFill/>
                          </a:ln>
                        </pic:spPr>
                      </pic:pic>
                    </a:graphicData>
                  </a:graphic>
                </wp:inline>
              </w:drawing>
            </w:r>
          </w:p>
          <w:p w14:paraId="71F11349">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center"/>
              <w:textAlignment w:val="auto"/>
              <w:rPr>
                <w:rFonts w:hint="eastAsia" w:ascii="Times New Roman" w:hAnsi="Times New Roman" w:eastAsia="宋体"/>
                <w:b w:val="0"/>
                <w:bCs/>
                <w:color w:val="auto"/>
                <w:szCs w:val="24"/>
                <w:highlight w:val="none"/>
              </w:rPr>
            </w:pPr>
            <w:r>
              <w:rPr>
                <w:rFonts w:hint="eastAsia" w:ascii="Times New Roman" w:hAnsi="Times New Roman" w:eastAsia="宋体"/>
                <w:b w:val="0"/>
                <w:bCs/>
                <w:color w:val="auto"/>
                <w:szCs w:val="24"/>
                <w:highlight w:val="none"/>
                <w:lang w:val="en-US" w:eastAsia="zh-CN"/>
              </w:rPr>
              <w:t>图2.2-2 原有项目注塑件生产工艺</w:t>
            </w:r>
          </w:p>
          <w:p w14:paraId="298BC53D">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工艺流程：</w:t>
            </w:r>
          </w:p>
          <w:p w14:paraId="6376E26E">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投料：通过人工操作将塑料粒子、</w:t>
            </w:r>
            <w:r>
              <w:rPr>
                <w:rFonts w:hint="eastAsia" w:ascii="Times New Roman" w:hAnsi="Times New Roman"/>
                <w:b w:val="0"/>
                <w:color w:val="auto"/>
                <w:szCs w:val="24"/>
                <w:highlight w:val="none"/>
                <w:lang w:val="en-US" w:eastAsia="zh-CN"/>
              </w:rPr>
              <w:t>厂内产生的</w:t>
            </w:r>
            <w:r>
              <w:rPr>
                <w:rFonts w:hint="eastAsia" w:ascii="Times New Roman" w:hAnsi="Times New Roman" w:eastAsia="宋体"/>
                <w:b w:val="0"/>
                <w:color w:val="auto"/>
                <w:szCs w:val="24"/>
                <w:highlight w:val="none"/>
              </w:rPr>
              <w:t>不合格品及废塑料投入注塑机配套料斗中。</w:t>
            </w:r>
          </w:p>
          <w:p w14:paraId="69C2261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注塑：塑料粒子通过注塑机内的电加热系统熔化，加热温度在165℃左右，并进入模具注塑成型。注塑机采用冷却水隔套冷却，冷却水经循环冷却水池冷却后循环回用，循环冷却水不外排，有少量蒸发定期添加。该工段产生有机废气</w:t>
            </w:r>
            <w:r>
              <w:rPr>
                <w:rFonts w:hint="eastAsia" w:ascii="Times New Roman" w:hAnsi="Times New Roman"/>
                <w:b w:val="0"/>
                <w:color w:val="auto"/>
                <w:szCs w:val="24"/>
                <w:highlight w:val="none"/>
                <w:lang w:val="en-US" w:eastAsia="zh-CN"/>
              </w:rPr>
              <w:t>G</w:t>
            </w:r>
            <w:r>
              <w:rPr>
                <w:rFonts w:hint="eastAsia" w:ascii="Times New Roman" w:hAnsi="Times New Roman" w:eastAsia="宋体"/>
                <w:b w:val="0"/>
                <w:color w:val="auto"/>
                <w:szCs w:val="24"/>
                <w:highlight w:val="none"/>
              </w:rPr>
              <w:t>1-1、噪声N1-1、废塑料S1-1。</w:t>
            </w:r>
          </w:p>
          <w:p w14:paraId="31748D42">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冷却：待模具中的注塑机自然冷却。</w:t>
            </w:r>
          </w:p>
          <w:p w14:paraId="3EF325A9">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开模：打开模具，将冷却成型后的注塑件取出。</w:t>
            </w:r>
          </w:p>
          <w:p w14:paraId="720B8E1E">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检验：对产品进行检验。该工段产生不合格S1-2。</w:t>
            </w:r>
          </w:p>
          <w:p w14:paraId="7487EBD4">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破碎：将</w:t>
            </w:r>
            <w:r>
              <w:rPr>
                <w:rFonts w:hint="eastAsia" w:ascii="Times New Roman" w:hAnsi="Times New Roman"/>
                <w:b w:val="0"/>
                <w:color w:val="auto"/>
                <w:szCs w:val="24"/>
                <w:highlight w:val="none"/>
                <w:lang w:val="en-US" w:eastAsia="zh-CN"/>
              </w:rPr>
              <w:t>厂内产生的</w:t>
            </w:r>
            <w:r>
              <w:rPr>
                <w:rFonts w:hint="eastAsia" w:ascii="Times New Roman" w:hAnsi="Times New Roman" w:eastAsia="宋体"/>
                <w:b w:val="0"/>
                <w:color w:val="auto"/>
                <w:szCs w:val="24"/>
                <w:highlight w:val="none"/>
              </w:rPr>
              <w:t>废塑料S1-</w:t>
            </w:r>
            <w:r>
              <w:rPr>
                <w:rFonts w:hint="eastAsia" w:ascii="Times New Roman" w:hAnsi="Times New Roman"/>
                <w:b w:val="0"/>
                <w:color w:val="auto"/>
                <w:szCs w:val="24"/>
                <w:highlight w:val="none"/>
                <w:lang w:val="en-US" w:eastAsia="zh-CN"/>
              </w:rPr>
              <w:t>1</w:t>
            </w:r>
            <w:r>
              <w:rPr>
                <w:rFonts w:hint="eastAsia" w:ascii="Times New Roman" w:hAnsi="Times New Roman" w:eastAsia="宋体"/>
                <w:b w:val="0"/>
                <w:color w:val="auto"/>
                <w:szCs w:val="24"/>
                <w:highlight w:val="none"/>
              </w:rPr>
              <w:t>、不合格品S1-2投入破碎机破碎后重新投料，该工段产生噪声N1-2。废塑料、不合格品在粉碎时注入新鲜水，通过在密闭的粉碎机中进行湿法粉碎，经粉碎机粉碎成小块的塑料重新投入注塑机内再利用。（本项目在密闭的粉碎机中采用湿法粉碎处理工艺，废塑料、不合格品被破碎成小块切片，切片大约在10cm×10cm左右，由于采用湿法粉碎处理工艺，粉碎为大粒径切片，故无粉尘产生）。由于粉碎用水对水质要求不高，故粉碎机内的水经沉淀处理，定期捞渣，循环使用，定期添加，不外排。</w:t>
            </w:r>
          </w:p>
          <w:p w14:paraId="5D444676">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5、原有项目污染物达标分析</w:t>
            </w:r>
          </w:p>
          <w:p w14:paraId="19125FD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1）废水</w:t>
            </w:r>
          </w:p>
          <w:p w14:paraId="24726685">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原有项目已按照雨污分流制设计、建设，厂内雨水、污水分别设置收集管网进行分开收集;原有项目无生产废水产生及排放，生活污水经化粪池处理后接管至</w:t>
            </w:r>
            <w:r>
              <w:rPr>
                <w:rFonts w:hint="eastAsia" w:ascii="Times New Roman" w:hAnsi="Times New Roman"/>
                <w:b w:val="0"/>
                <w:color w:val="auto"/>
                <w:szCs w:val="24"/>
                <w:highlight w:val="none"/>
                <w:lang w:val="en-US" w:eastAsia="zh-CN"/>
              </w:rPr>
              <w:t>金坛第二污水</w:t>
            </w:r>
            <w:r>
              <w:rPr>
                <w:rFonts w:hint="eastAsia" w:ascii="Times New Roman" w:hAnsi="Times New Roman" w:eastAsia="宋体"/>
                <w:b w:val="0"/>
                <w:color w:val="auto"/>
                <w:szCs w:val="24"/>
                <w:highlight w:val="none"/>
              </w:rPr>
              <w:t>处理厂深度处理，尾水排放至</w:t>
            </w:r>
            <w:r>
              <w:rPr>
                <w:rFonts w:hint="eastAsia" w:ascii="Times New Roman" w:hAnsi="Times New Roman"/>
                <w:b w:val="0"/>
                <w:color w:val="auto"/>
                <w:szCs w:val="24"/>
                <w:highlight w:val="none"/>
                <w:lang w:val="en-US" w:eastAsia="zh-CN"/>
              </w:rPr>
              <w:t>尧塘</w:t>
            </w:r>
            <w:r>
              <w:rPr>
                <w:rFonts w:hint="eastAsia" w:ascii="Times New Roman" w:hAnsi="Times New Roman" w:eastAsia="宋体"/>
                <w:b w:val="0"/>
                <w:color w:val="auto"/>
                <w:szCs w:val="24"/>
                <w:highlight w:val="none"/>
              </w:rPr>
              <w:t>河，对周围不构成直接影响</w:t>
            </w:r>
            <w:r>
              <w:rPr>
                <w:rFonts w:hint="eastAsia" w:ascii="Times New Roman" w:hAnsi="Times New Roman"/>
                <w:b w:val="0"/>
                <w:color w:val="auto"/>
                <w:szCs w:val="24"/>
                <w:highlight w:val="none"/>
                <w:lang w:eastAsia="zh-CN"/>
              </w:rPr>
              <w:t>；</w:t>
            </w:r>
            <w:r>
              <w:rPr>
                <w:rFonts w:hint="eastAsia" w:ascii="Times New Roman" w:hAnsi="Times New Roman"/>
                <w:b w:val="0"/>
                <w:color w:val="auto"/>
                <w:szCs w:val="24"/>
                <w:highlight w:val="none"/>
                <w:lang w:val="en-US" w:eastAsia="zh-CN"/>
              </w:rPr>
              <w:t>雨水经区域管网收集后最终排至尧塘河</w:t>
            </w:r>
            <w:r>
              <w:rPr>
                <w:rFonts w:hint="eastAsia" w:ascii="Times New Roman" w:hAnsi="Times New Roman" w:eastAsia="宋体"/>
                <w:b w:val="0"/>
                <w:color w:val="auto"/>
                <w:szCs w:val="24"/>
                <w:highlight w:val="none"/>
              </w:rPr>
              <w:t>。</w:t>
            </w:r>
          </w:p>
          <w:p w14:paraId="264476D5">
            <w:pPr>
              <w:keepNext w:val="0"/>
              <w:keepLines w:val="0"/>
              <w:pageBreakBefore w:val="0"/>
              <w:widowControl w:val="0"/>
              <w:kinsoku/>
              <w:wordWrap/>
              <w:overflowPunct/>
              <w:topLinePunct w:val="0"/>
              <w:autoSpaceDE/>
              <w:autoSpaceDN/>
              <w:bidi w:val="0"/>
              <w:adjustRightInd/>
              <w:snapToGrid/>
              <w:spacing w:before="157" w:beforeLines="50"/>
              <w:ind w:firstLine="422" w:firstLineChars="20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2.3</w:t>
            </w:r>
            <w:r>
              <w:rPr>
                <w:b/>
                <w:bCs/>
                <w:color w:val="auto"/>
                <w:sz w:val="21"/>
                <w:szCs w:val="21"/>
              </w:rPr>
              <w:t>-</w:t>
            </w:r>
            <w:r>
              <w:rPr>
                <w:rFonts w:hint="eastAsia"/>
                <w:b/>
                <w:bCs/>
                <w:color w:val="auto"/>
                <w:sz w:val="21"/>
                <w:szCs w:val="21"/>
                <w:lang w:val="en-US" w:eastAsia="zh-CN"/>
              </w:rPr>
              <w:t>2</w:t>
            </w:r>
            <w:r>
              <w:rPr>
                <w:b/>
                <w:bCs/>
                <w:color w:val="auto"/>
                <w:sz w:val="21"/>
                <w:szCs w:val="21"/>
              </w:rPr>
              <w:t xml:space="preserve">  </w:t>
            </w:r>
            <w:r>
              <w:rPr>
                <w:rFonts w:hint="eastAsia"/>
                <w:b/>
                <w:bCs/>
                <w:color w:val="auto"/>
                <w:sz w:val="21"/>
                <w:szCs w:val="21"/>
                <w:lang w:val="en-US" w:eastAsia="zh-CN"/>
              </w:rPr>
              <w:t>废水</w:t>
            </w:r>
            <w:r>
              <w:rPr>
                <w:b/>
                <w:bCs/>
                <w:color w:val="auto"/>
                <w:sz w:val="21"/>
                <w:szCs w:val="21"/>
              </w:rPr>
              <w:t>检测结果</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3"/>
              <w:gridCol w:w="1309"/>
              <w:gridCol w:w="1244"/>
              <w:gridCol w:w="1244"/>
              <w:gridCol w:w="1244"/>
              <w:gridCol w:w="1403"/>
            </w:tblGrid>
            <w:tr w14:paraId="1FBD7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restart"/>
                  <w:tcBorders>
                    <w:tl2br w:val="nil"/>
                    <w:tr2bl w:val="nil"/>
                  </w:tcBorders>
                  <w:noWrap w:val="0"/>
                  <w:vAlign w:val="center"/>
                </w:tcPr>
                <w:p w14:paraId="0AA4AF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采样日期</w:t>
                  </w:r>
                </w:p>
              </w:tc>
              <w:tc>
                <w:tcPr>
                  <w:tcW w:w="785" w:type="pct"/>
                  <w:vMerge w:val="restart"/>
                  <w:tcBorders>
                    <w:tl2br w:val="nil"/>
                    <w:tr2bl w:val="nil"/>
                  </w:tcBorders>
                  <w:noWrap w:val="0"/>
                  <w:vAlign w:val="center"/>
                </w:tcPr>
                <w:p w14:paraId="10370B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检测项目</w:t>
                  </w:r>
                </w:p>
              </w:tc>
              <w:tc>
                <w:tcPr>
                  <w:tcW w:w="3079" w:type="pct"/>
                  <w:gridSpan w:val="4"/>
                  <w:tcBorders>
                    <w:tl2br w:val="nil"/>
                    <w:tr2bl w:val="nil"/>
                  </w:tcBorders>
                  <w:noWrap w:val="0"/>
                  <w:vAlign w:val="center"/>
                </w:tcPr>
                <w:p w14:paraId="22885C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W1生活污水接管口</w:t>
                  </w:r>
                </w:p>
              </w:tc>
            </w:tr>
            <w:tr w14:paraId="2A993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16FC59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bCs/>
                      <w:color w:val="auto"/>
                      <w:sz w:val="21"/>
                      <w:szCs w:val="21"/>
                      <w:vertAlign w:val="baseline"/>
                      <w:lang w:val="en-US" w:eastAsia="zh-CN"/>
                    </w:rPr>
                  </w:pPr>
                </w:p>
              </w:tc>
              <w:tc>
                <w:tcPr>
                  <w:tcW w:w="785" w:type="pct"/>
                  <w:vMerge w:val="continue"/>
                  <w:tcBorders>
                    <w:tl2br w:val="nil"/>
                    <w:tr2bl w:val="nil"/>
                  </w:tcBorders>
                  <w:noWrap w:val="0"/>
                  <w:vAlign w:val="center"/>
                </w:tcPr>
                <w:p w14:paraId="7F2AE6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bCs/>
                      <w:color w:val="auto"/>
                      <w:sz w:val="21"/>
                      <w:szCs w:val="21"/>
                      <w:vertAlign w:val="baseline"/>
                      <w:lang w:val="en-US" w:eastAsia="zh-CN"/>
                    </w:rPr>
                  </w:pPr>
                </w:p>
              </w:tc>
              <w:tc>
                <w:tcPr>
                  <w:tcW w:w="746" w:type="pct"/>
                  <w:tcBorders>
                    <w:tl2br w:val="nil"/>
                    <w:tr2bl w:val="nil"/>
                  </w:tcBorders>
                  <w:noWrap w:val="0"/>
                  <w:vAlign w:val="center"/>
                </w:tcPr>
                <w:p w14:paraId="5AC34D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1</w:t>
                  </w:r>
                </w:p>
              </w:tc>
              <w:tc>
                <w:tcPr>
                  <w:tcW w:w="746" w:type="pct"/>
                  <w:tcBorders>
                    <w:tl2br w:val="nil"/>
                    <w:tr2bl w:val="nil"/>
                  </w:tcBorders>
                  <w:noWrap w:val="0"/>
                  <w:vAlign w:val="center"/>
                </w:tcPr>
                <w:p w14:paraId="046931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w:t>
                  </w:r>
                </w:p>
              </w:tc>
              <w:tc>
                <w:tcPr>
                  <w:tcW w:w="746" w:type="pct"/>
                  <w:tcBorders>
                    <w:tl2br w:val="nil"/>
                    <w:tr2bl w:val="nil"/>
                  </w:tcBorders>
                  <w:noWrap w:val="0"/>
                  <w:vAlign w:val="center"/>
                </w:tcPr>
                <w:p w14:paraId="286C8E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3</w:t>
                  </w:r>
                </w:p>
              </w:tc>
              <w:tc>
                <w:tcPr>
                  <w:tcW w:w="839" w:type="pct"/>
                  <w:tcBorders>
                    <w:tl2br w:val="nil"/>
                    <w:tr2bl w:val="nil"/>
                  </w:tcBorders>
                  <w:noWrap w:val="0"/>
                  <w:vAlign w:val="center"/>
                </w:tcPr>
                <w:p w14:paraId="47FDC0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均值/范围</w:t>
                  </w:r>
                </w:p>
              </w:tc>
            </w:tr>
            <w:tr w14:paraId="196A5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restart"/>
                  <w:tcBorders>
                    <w:tl2br w:val="nil"/>
                    <w:tr2bl w:val="nil"/>
                  </w:tcBorders>
                  <w:noWrap w:val="0"/>
                  <w:vAlign w:val="center"/>
                </w:tcPr>
                <w:p w14:paraId="7146AC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2024年5月11日</w:t>
                  </w:r>
                </w:p>
              </w:tc>
              <w:tc>
                <w:tcPr>
                  <w:tcW w:w="785" w:type="pct"/>
                  <w:tcBorders>
                    <w:tl2br w:val="nil"/>
                    <w:tr2bl w:val="nil"/>
                  </w:tcBorders>
                  <w:noWrap w:val="0"/>
                  <w:vAlign w:val="center"/>
                </w:tcPr>
                <w:p w14:paraId="118D90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pH值</w:t>
                  </w:r>
                </w:p>
              </w:tc>
              <w:tc>
                <w:tcPr>
                  <w:tcW w:w="746" w:type="pct"/>
                  <w:tcBorders>
                    <w:tl2br w:val="nil"/>
                    <w:tr2bl w:val="nil"/>
                  </w:tcBorders>
                  <w:noWrap w:val="0"/>
                  <w:vAlign w:val="center"/>
                </w:tcPr>
                <w:p w14:paraId="43BA53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7.7</w:t>
                  </w:r>
                </w:p>
              </w:tc>
              <w:tc>
                <w:tcPr>
                  <w:tcW w:w="746" w:type="pct"/>
                  <w:tcBorders>
                    <w:tl2br w:val="nil"/>
                    <w:tr2bl w:val="nil"/>
                  </w:tcBorders>
                  <w:noWrap w:val="0"/>
                  <w:vAlign w:val="center"/>
                </w:tcPr>
                <w:p w14:paraId="3829A1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7.8</w:t>
                  </w:r>
                </w:p>
              </w:tc>
              <w:tc>
                <w:tcPr>
                  <w:tcW w:w="746" w:type="pct"/>
                  <w:tcBorders>
                    <w:tl2br w:val="nil"/>
                    <w:tr2bl w:val="nil"/>
                  </w:tcBorders>
                  <w:noWrap w:val="0"/>
                  <w:vAlign w:val="center"/>
                </w:tcPr>
                <w:p w14:paraId="2F9FE0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7.7</w:t>
                  </w:r>
                </w:p>
              </w:tc>
              <w:tc>
                <w:tcPr>
                  <w:tcW w:w="839" w:type="pct"/>
                  <w:tcBorders>
                    <w:tl2br w:val="nil"/>
                    <w:tr2bl w:val="nil"/>
                  </w:tcBorders>
                  <w:noWrap w:val="0"/>
                  <w:vAlign w:val="center"/>
                </w:tcPr>
                <w:p w14:paraId="0DAA84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7.7-7.8</w:t>
                  </w:r>
                </w:p>
              </w:tc>
            </w:tr>
            <w:tr w14:paraId="74004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6E4C4D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val="0"/>
                      <w:bCs w:val="0"/>
                      <w:color w:val="auto"/>
                      <w:sz w:val="21"/>
                      <w:szCs w:val="21"/>
                      <w:vertAlign w:val="baseline"/>
                      <w:lang w:val="en-US" w:eastAsia="zh-CN"/>
                    </w:rPr>
                  </w:pPr>
                </w:p>
              </w:tc>
              <w:tc>
                <w:tcPr>
                  <w:tcW w:w="785" w:type="pct"/>
                  <w:tcBorders>
                    <w:tl2br w:val="nil"/>
                    <w:tr2bl w:val="nil"/>
                  </w:tcBorders>
                  <w:noWrap w:val="0"/>
                  <w:vAlign w:val="center"/>
                </w:tcPr>
                <w:p w14:paraId="5BBF31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w:t>
                  </w:r>
                </w:p>
              </w:tc>
              <w:tc>
                <w:tcPr>
                  <w:tcW w:w="746" w:type="pct"/>
                  <w:tcBorders>
                    <w:tl2br w:val="nil"/>
                    <w:tr2bl w:val="nil"/>
                  </w:tcBorders>
                  <w:noWrap w:val="0"/>
                  <w:vAlign w:val="center"/>
                </w:tcPr>
                <w:p w14:paraId="3C3984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124</w:t>
                  </w:r>
                </w:p>
              </w:tc>
              <w:tc>
                <w:tcPr>
                  <w:tcW w:w="746" w:type="pct"/>
                  <w:tcBorders>
                    <w:tl2br w:val="nil"/>
                    <w:tr2bl w:val="nil"/>
                  </w:tcBorders>
                  <w:noWrap w:val="0"/>
                  <w:vAlign w:val="center"/>
                </w:tcPr>
                <w:p w14:paraId="79E30EE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128</w:t>
                  </w:r>
                </w:p>
              </w:tc>
              <w:tc>
                <w:tcPr>
                  <w:tcW w:w="746" w:type="pct"/>
                  <w:tcBorders>
                    <w:tl2br w:val="nil"/>
                    <w:tr2bl w:val="nil"/>
                  </w:tcBorders>
                  <w:noWrap w:val="0"/>
                  <w:vAlign w:val="center"/>
                </w:tcPr>
                <w:p w14:paraId="067748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128</w:t>
                  </w:r>
                </w:p>
              </w:tc>
              <w:tc>
                <w:tcPr>
                  <w:tcW w:w="839" w:type="pct"/>
                  <w:tcBorders>
                    <w:tl2br w:val="nil"/>
                    <w:tr2bl w:val="nil"/>
                  </w:tcBorders>
                  <w:noWrap w:val="0"/>
                  <w:vAlign w:val="center"/>
                </w:tcPr>
                <w:p w14:paraId="36075E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127</w:t>
                  </w:r>
                </w:p>
              </w:tc>
            </w:tr>
            <w:tr w14:paraId="1F618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7182CB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val="0"/>
                      <w:bCs w:val="0"/>
                      <w:color w:val="auto"/>
                      <w:sz w:val="21"/>
                      <w:szCs w:val="21"/>
                      <w:vertAlign w:val="baseline"/>
                      <w:lang w:val="en-US" w:eastAsia="zh-CN"/>
                    </w:rPr>
                  </w:pPr>
                </w:p>
              </w:tc>
              <w:tc>
                <w:tcPr>
                  <w:tcW w:w="785" w:type="pct"/>
                  <w:tcBorders>
                    <w:tl2br w:val="nil"/>
                    <w:tr2bl w:val="nil"/>
                  </w:tcBorders>
                  <w:noWrap w:val="0"/>
                  <w:vAlign w:val="center"/>
                </w:tcPr>
                <w:p w14:paraId="7B1261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c>
                <w:tcPr>
                  <w:tcW w:w="746" w:type="pct"/>
                  <w:tcBorders>
                    <w:tl2br w:val="nil"/>
                    <w:tr2bl w:val="nil"/>
                  </w:tcBorders>
                  <w:noWrap w:val="0"/>
                  <w:vAlign w:val="center"/>
                </w:tcPr>
                <w:p w14:paraId="7B3876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w:t>
                  </w:r>
                </w:p>
              </w:tc>
              <w:tc>
                <w:tcPr>
                  <w:tcW w:w="746" w:type="pct"/>
                  <w:tcBorders>
                    <w:tl2br w:val="nil"/>
                    <w:tr2bl w:val="nil"/>
                  </w:tcBorders>
                  <w:noWrap w:val="0"/>
                  <w:vAlign w:val="center"/>
                </w:tcPr>
                <w:p w14:paraId="24255A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42</w:t>
                  </w:r>
                </w:p>
              </w:tc>
              <w:tc>
                <w:tcPr>
                  <w:tcW w:w="746" w:type="pct"/>
                  <w:tcBorders>
                    <w:tl2br w:val="nil"/>
                    <w:tr2bl w:val="nil"/>
                  </w:tcBorders>
                  <w:noWrap w:val="0"/>
                  <w:vAlign w:val="center"/>
                </w:tcPr>
                <w:p w14:paraId="6F351A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34</w:t>
                  </w:r>
                </w:p>
              </w:tc>
              <w:tc>
                <w:tcPr>
                  <w:tcW w:w="839" w:type="pct"/>
                  <w:tcBorders>
                    <w:tl2br w:val="nil"/>
                    <w:tr2bl w:val="nil"/>
                  </w:tcBorders>
                  <w:noWrap w:val="0"/>
                  <w:vAlign w:val="center"/>
                </w:tcPr>
                <w:p w14:paraId="270636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38</w:t>
                  </w:r>
                </w:p>
              </w:tc>
            </w:tr>
            <w:tr w14:paraId="5443C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22B9B1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val="0"/>
                      <w:bCs w:val="0"/>
                      <w:color w:val="auto"/>
                      <w:sz w:val="21"/>
                      <w:szCs w:val="21"/>
                      <w:vertAlign w:val="baseline"/>
                      <w:lang w:val="en-US" w:eastAsia="zh-CN"/>
                    </w:rPr>
                  </w:pPr>
                </w:p>
              </w:tc>
              <w:tc>
                <w:tcPr>
                  <w:tcW w:w="785" w:type="pct"/>
                  <w:tcBorders>
                    <w:tl2br w:val="nil"/>
                    <w:tr2bl w:val="nil"/>
                  </w:tcBorders>
                  <w:noWrap w:val="0"/>
                  <w:vAlign w:val="center"/>
                </w:tcPr>
                <w:p w14:paraId="27796A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氨氮</w:t>
                  </w:r>
                </w:p>
              </w:tc>
              <w:tc>
                <w:tcPr>
                  <w:tcW w:w="746" w:type="pct"/>
                  <w:tcBorders>
                    <w:tl2br w:val="nil"/>
                    <w:tr2bl w:val="nil"/>
                  </w:tcBorders>
                  <w:noWrap w:val="0"/>
                  <w:vAlign w:val="center"/>
                </w:tcPr>
                <w:p w14:paraId="55C9CB6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18.1</w:t>
                  </w:r>
                </w:p>
              </w:tc>
              <w:tc>
                <w:tcPr>
                  <w:tcW w:w="746" w:type="pct"/>
                  <w:tcBorders>
                    <w:tl2br w:val="nil"/>
                    <w:tr2bl w:val="nil"/>
                  </w:tcBorders>
                  <w:noWrap w:val="0"/>
                  <w:vAlign w:val="center"/>
                </w:tcPr>
                <w:p w14:paraId="567376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18.5</w:t>
                  </w:r>
                </w:p>
              </w:tc>
              <w:tc>
                <w:tcPr>
                  <w:tcW w:w="746" w:type="pct"/>
                  <w:tcBorders>
                    <w:tl2br w:val="nil"/>
                    <w:tr2bl w:val="nil"/>
                  </w:tcBorders>
                  <w:noWrap w:val="0"/>
                  <w:vAlign w:val="center"/>
                </w:tcPr>
                <w:p w14:paraId="797251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17.6</w:t>
                  </w:r>
                </w:p>
              </w:tc>
              <w:tc>
                <w:tcPr>
                  <w:tcW w:w="839" w:type="pct"/>
                  <w:tcBorders>
                    <w:tl2br w:val="nil"/>
                    <w:tr2bl w:val="nil"/>
                  </w:tcBorders>
                  <w:noWrap w:val="0"/>
                  <w:vAlign w:val="center"/>
                </w:tcPr>
                <w:p w14:paraId="12A4DD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18.1</w:t>
                  </w:r>
                </w:p>
              </w:tc>
            </w:tr>
            <w:tr w14:paraId="5FA8B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27F4C5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val="0"/>
                      <w:bCs w:val="0"/>
                      <w:color w:val="auto"/>
                      <w:sz w:val="21"/>
                      <w:szCs w:val="21"/>
                      <w:vertAlign w:val="baseline"/>
                      <w:lang w:val="en-US" w:eastAsia="zh-CN"/>
                    </w:rPr>
                  </w:pPr>
                </w:p>
              </w:tc>
              <w:tc>
                <w:tcPr>
                  <w:tcW w:w="785" w:type="pct"/>
                  <w:tcBorders>
                    <w:tl2br w:val="nil"/>
                    <w:tr2bl w:val="nil"/>
                  </w:tcBorders>
                  <w:noWrap w:val="0"/>
                  <w:vAlign w:val="center"/>
                </w:tcPr>
                <w:p w14:paraId="61FEA0F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TP</w:t>
                  </w:r>
                </w:p>
              </w:tc>
              <w:tc>
                <w:tcPr>
                  <w:tcW w:w="746" w:type="pct"/>
                  <w:tcBorders>
                    <w:tl2br w:val="nil"/>
                    <w:tr2bl w:val="nil"/>
                  </w:tcBorders>
                  <w:noWrap w:val="0"/>
                  <w:vAlign w:val="center"/>
                </w:tcPr>
                <w:p w14:paraId="4C01B6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2.89</w:t>
                  </w:r>
                </w:p>
              </w:tc>
              <w:tc>
                <w:tcPr>
                  <w:tcW w:w="746" w:type="pct"/>
                  <w:tcBorders>
                    <w:tl2br w:val="nil"/>
                    <w:tr2bl w:val="nil"/>
                  </w:tcBorders>
                  <w:noWrap w:val="0"/>
                  <w:vAlign w:val="center"/>
                </w:tcPr>
                <w:p w14:paraId="273D9B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2.88</w:t>
                  </w:r>
                </w:p>
              </w:tc>
              <w:tc>
                <w:tcPr>
                  <w:tcW w:w="746" w:type="pct"/>
                  <w:tcBorders>
                    <w:tl2br w:val="nil"/>
                    <w:tr2bl w:val="nil"/>
                  </w:tcBorders>
                  <w:noWrap w:val="0"/>
                  <w:vAlign w:val="center"/>
                </w:tcPr>
                <w:p w14:paraId="072AAD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2.9</w:t>
                  </w:r>
                </w:p>
              </w:tc>
              <w:tc>
                <w:tcPr>
                  <w:tcW w:w="839" w:type="pct"/>
                  <w:tcBorders>
                    <w:tl2br w:val="nil"/>
                    <w:tr2bl w:val="nil"/>
                  </w:tcBorders>
                  <w:noWrap w:val="0"/>
                  <w:vAlign w:val="center"/>
                </w:tcPr>
                <w:p w14:paraId="55549F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2.89</w:t>
                  </w:r>
                </w:p>
              </w:tc>
            </w:tr>
            <w:tr w14:paraId="52BDA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35" w:type="pct"/>
                  <w:vMerge w:val="continue"/>
                  <w:tcBorders>
                    <w:tl2br w:val="nil"/>
                    <w:tr2bl w:val="nil"/>
                  </w:tcBorders>
                  <w:noWrap w:val="0"/>
                  <w:vAlign w:val="center"/>
                </w:tcPr>
                <w:p w14:paraId="6687AB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cs="Times New Roman"/>
                      <w:b w:val="0"/>
                      <w:bCs w:val="0"/>
                      <w:color w:val="auto"/>
                      <w:sz w:val="21"/>
                      <w:szCs w:val="21"/>
                      <w:vertAlign w:val="baseline"/>
                      <w:lang w:val="en-US" w:eastAsia="zh-CN"/>
                    </w:rPr>
                  </w:pPr>
                </w:p>
              </w:tc>
              <w:tc>
                <w:tcPr>
                  <w:tcW w:w="785" w:type="pct"/>
                  <w:tcBorders>
                    <w:tl2br w:val="nil"/>
                    <w:tr2bl w:val="nil"/>
                  </w:tcBorders>
                  <w:noWrap w:val="0"/>
                  <w:vAlign w:val="center"/>
                </w:tcPr>
                <w:p w14:paraId="0ACA40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TN</w:t>
                  </w:r>
                </w:p>
              </w:tc>
              <w:tc>
                <w:tcPr>
                  <w:tcW w:w="746" w:type="pct"/>
                  <w:tcBorders>
                    <w:tl2br w:val="nil"/>
                    <w:tr2bl w:val="nil"/>
                  </w:tcBorders>
                  <w:noWrap w:val="0"/>
                  <w:vAlign w:val="center"/>
                </w:tcPr>
                <w:p w14:paraId="47BC1D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23.9</w:t>
                  </w:r>
                </w:p>
              </w:tc>
              <w:tc>
                <w:tcPr>
                  <w:tcW w:w="746" w:type="pct"/>
                  <w:tcBorders>
                    <w:tl2br w:val="nil"/>
                    <w:tr2bl w:val="nil"/>
                  </w:tcBorders>
                  <w:noWrap w:val="0"/>
                  <w:vAlign w:val="center"/>
                </w:tcPr>
                <w:p w14:paraId="5644F98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22.8</w:t>
                  </w:r>
                </w:p>
              </w:tc>
              <w:tc>
                <w:tcPr>
                  <w:tcW w:w="746" w:type="pct"/>
                  <w:tcBorders>
                    <w:tl2br w:val="nil"/>
                    <w:tr2bl w:val="nil"/>
                  </w:tcBorders>
                  <w:noWrap w:val="0"/>
                  <w:vAlign w:val="center"/>
                </w:tcPr>
                <w:p w14:paraId="1CC139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23.1</w:t>
                  </w:r>
                </w:p>
              </w:tc>
              <w:tc>
                <w:tcPr>
                  <w:tcW w:w="839" w:type="pct"/>
                  <w:tcBorders>
                    <w:tl2br w:val="nil"/>
                    <w:tr2bl w:val="nil"/>
                  </w:tcBorders>
                  <w:noWrap w:val="0"/>
                  <w:vAlign w:val="center"/>
                </w:tcPr>
                <w:p w14:paraId="66ED0E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22.3</w:t>
                  </w:r>
                </w:p>
              </w:tc>
            </w:tr>
          </w:tbl>
          <w:p w14:paraId="492AD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2）废气</w:t>
            </w:r>
          </w:p>
          <w:p w14:paraId="6CC26C34">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cs="Times New Roman"/>
                <w:b w:val="0"/>
                <w:bCs w:val="0"/>
                <w:color w:val="auto"/>
                <w:sz w:val="24"/>
                <w:szCs w:val="24"/>
                <w:lang w:val="en-US" w:eastAsia="zh-CN"/>
              </w:rPr>
              <w:t>原有项目注塑废气经集气罩收集后经二级活性炭处理后经15m高排气筒FQ-2排放，熔化烟尘、天然气废气经收集后经</w:t>
            </w:r>
            <w:r>
              <w:rPr>
                <w:rFonts w:hint="eastAsia" w:ascii="Times New Roman" w:hAnsi="Times New Roman" w:cs="Times New Roman"/>
                <w:b w:val="0"/>
                <w:bCs w:val="0"/>
                <w:color w:val="auto"/>
                <w:sz w:val="24"/>
                <w:szCs w:val="24"/>
                <w:lang w:val="en-US" w:eastAsia="zh-CN"/>
              </w:rPr>
              <w:t>水喷淋</w:t>
            </w:r>
            <w:r>
              <w:rPr>
                <w:rFonts w:hint="eastAsia" w:ascii="Times New Roman" w:hAnsi="Times New Roman" w:eastAsia="宋体" w:cs="Times New Roman"/>
                <w:b w:val="0"/>
                <w:bCs w:val="0"/>
                <w:color w:val="auto"/>
                <w:sz w:val="24"/>
                <w:szCs w:val="24"/>
                <w:lang w:val="en-US" w:eastAsia="zh-CN"/>
              </w:rPr>
              <w:t>处理后经15m高排气筒FQ-1排放，压铸粉尘、脱模剂废气经收集后经静电除尘+二级活性炭处理后经15m高排气筒FQ-1排放，对周围环境影响较小。</w:t>
            </w:r>
          </w:p>
          <w:p w14:paraId="3392DB9C">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3FAD684F">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4A95C9C0">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3F9BFD0D">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17977B57">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3EC64DBB">
            <w:pPr>
              <w:keepNext w:val="0"/>
              <w:keepLines w:val="0"/>
              <w:pageBreakBefore w:val="0"/>
              <w:widowControl w:val="0"/>
              <w:kinsoku/>
              <w:wordWrap/>
              <w:overflowPunct/>
              <w:topLinePunct w:val="0"/>
              <w:autoSpaceDE/>
              <w:autoSpaceDN/>
              <w:bidi w:val="0"/>
              <w:adjustRightInd/>
              <w:snapToGrid/>
              <w:spacing w:before="157" w:beforeLines="50"/>
              <w:ind w:firstLine="420" w:firstLineChars="200"/>
              <w:jc w:val="center"/>
              <w:textAlignment w:val="auto"/>
              <w:rPr>
                <w:b w:val="0"/>
                <w:color w:val="auto"/>
                <w:sz w:val="21"/>
                <w:szCs w:val="21"/>
              </w:rPr>
            </w:pPr>
          </w:p>
          <w:p w14:paraId="0DF4972E">
            <w:pPr>
              <w:pStyle w:val="7"/>
              <w:rPr>
                <w:color w:val="auto"/>
              </w:rPr>
            </w:pPr>
          </w:p>
          <w:p w14:paraId="599CD3BC">
            <w:pPr>
              <w:keepNext w:val="0"/>
              <w:keepLines w:val="0"/>
              <w:pageBreakBefore w:val="0"/>
              <w:widowControl w:val="0"/>
              <w:kinsoku/>
              <w:wordWrap/>
              <w:overflowPunct/>
              <w:topLinePunct w:val="0"/>
              <w:autoSpaceDE/>
              <w:autoSpaceDN/>
              <w:bidi w:val="0"/>
              <w:adjustRightInd/>
              <w:snapToGrid/>
              <w:spacing w:before="157" w:beforeLines="50"/>
              <w:ind w:firstLine="422" w:firstLineChars="20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2.3</w:t>
            </w:r>
            <w:r>
              <w:rPr>
                <w:b/>
                <w:bCs/>
                <w:color w:val="auto"/>
                <w:sz w:val="21"/>
                <w:szCs w:val="21"/>
              </w:rPr>
              <w:t>-</w:t>
            </w:r>
            <w:r>
              <w:rPr>
                <w:rFonts w:hint="eastAsia"/>
                <w:b/>
                <w:bCs/>
                <w:color w:val="auto"/>
                <w:sz w:val="21"/>
                <w:szCs w:val="21"/>
                <w:lang w:val="en-US" w:eastAsia="zh-CN"/>
              </w:rPr>
              <w:t>3</w:t>
            </w:r>
            <w:r>
              <w:rPr>
                <w:b/>
                <w:bCs/>
                <w:color w:val="auto"/>
                <w:sz w:val="21"/>
                <w:szCs w:val="21"/>
              </w:rPr>
              <w:t xml:space="preserve">  有组织废气</w:t>
            </w:r>
            <w:r>
              <w:rPr>
                <w:rFonts w:hint="eastAsia"/>
                <w:b/>
                <w:bCs/>
                <w:color w:val="auto"/>
                <w:sz w:val="21"/>
                <w:szCs w:val="21"/>
                <w:lang w:val="en-US" w:eastAsia="zh-CN"/>
              </w:rPr>
              <w:t>出口</w:t>
            </w:r>
            <w:r>
              <w:rPr>
                <w:b/>
                <w:bCs/>
                <w:color w:val="auto"/>
                <w:sz w:val="21"/>
                <w:szCs w:val="21"/>
              </w:rPr>
              <w:t>检测结果</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2360"/>
              <w:gridCol w:w="1476"/>
              <w:gridCol w:w="1476"/>
              <w:gridCol w:w="1504"/>
            </w:tblGrid>
            <w:tr w14:paraId="783DB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restart"/>
                  <w:tcBorders>
                    <w:tl2br w:val="nil"/>
                    <w:tr2bl w:val="nil"/>
                  </w:tcBorders>
                  <w:noWrap w:val="0"/>
                  <w:vAlign w:val="center"/>
                </w:tcPr>
                <w:p w14:paraId="70FB7CC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检测项目</w:t>
                  </w:r>
                </w:p>
              </w:tc>
              <w:tc>
                <w:tcPr>
                  <w:tcW w:w="2672" w:type="pct"/>
                  <w:gridSpan w:val="3"/>
                  <w:tcBorders>
                    <w:tl2br w:val="nil"/>
                    <w:tr2bl w:val="nil"/>
                  </w:tcBorders>
                  <w:noWrap w:val="0"/>
                  <w:vAlign w:val="center"/>
                </w:tcPr>
                <w:p w14:paraId="6730D2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检测结果</w:t>
                  </w:r>
                </w:p>
              </w:tc>
            </w:tr>
            <w:tr w14:paraId="10B12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continue"/>
                  <w:tcBorders>
                    <w:tl2br w:val="nil"/>
                    <w:tr2bl w:val="nil"/>
                  </w:tcBorders>
                  <w:noWrap w:val="0"/>
                  <w:vAlign w:val="center"/>
                </w:tcPr>
                <w:p w14:paraId="0CB42A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2672" w:type="pct"/>
                  <w:gridSpan w:val="3"/>
                  <w:tcBorders>
                    <w:tl2br w:val="nil"/>
                    <w:tr2bl w:val="nil"/>
                  </w:tcBorders>
                  <w:noWrap w:val="0"/>
                  <w:vAlign w:val="center"/>
                </w:tcPr>
                <w:p w14:paraId="38D894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bCs/>
                      <w:color w:val="auto"/>
                      <w:szCs w:val="21"/>
                      <w:lang w:val="en-US" w:eastAsia="zh-CN"/>
                    </w:rPr>
                  </w:pPr>
                  <w:r>
                    <w:rPr>
                      <w:b/>
                      <w:bCs/>
                      <w:color w:val="auto"/>
                      <w:szCs w:val="21"/>
                    </w:rPr>
                    <w:t>采样时间：</w:t>
                  </w:r>
                  <w:r>
                    <w:rPr>
                      <w:rFonts w:hint="eastAsia"/>
                      <w:b/>
                      <w:bCs/>
                      <w:color w:val="auto"/>
                      <w:szCs w:val="21"/>
                      <w:lang w:val="en-US" w:eastAsia="zh-CN"/>
                    </w:rPr>
                    <w:t>2024.5.10</w:t>
                  </w:r>
                </w:p>
              </w:tc>
            </w:tr>
            <w:tr w14:paraId="671BB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continue"/>
                  <w:tcBorders>
                    <w:tl2br w:val="nil"/>
                    <w:tr2bl w:val="nil"/>
                  </w:tcBorders>
                  <w:noWrap w:val="0"/>
                  <w:vAlign w:val="center"/>
                </w:tcPr>
                <w:p w14:paraId="004659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885" w:type="pct"/>
                  <w:tcBorders>
                    <w:tl2br w:val="nil"/>
                    <w:tr2bl w:val="nil"/>
                  </w:tcBorders>
                  <w:noWrap w:val="0"/>
                  <w:vAlign w:val="center"/>
                </w:tcPr>
                <w:p w14:paraId="616B94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1</w:t>
                  </w:r>
                </w:p>
              </w:tc>
              <w:tc>
                <w:tcPr>
                  <w:tcW w:w="885" w:type="pct"/>
                  <w:tcBorders>
                    <w:tl2br w:val="nil"/>
                    <w:tr2bl w:val="nil"/>
                  </w:tcBorders>
                  <w:noWrap w:val="0"/>
                  <w:vAlign w:val="center"/>
                </w:tcPr>
                <w:p w14:paraId="2B1F0F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2</w:t>
                  </w:r>
                </w:p>
              </w:tc>
              <w:tc>
                <w:tcPr>
                  <w:tcW w:w="902" w:type="pct"/>
                  <w:tcBorders>
                    <w:tl2br w:val="nil"/>
                    <w:tr2bl w:val="nil"/>
                  </w:tcBorders>
                  <w:noWrap w:val="0"/>
                  <w:vAlign w:val="center"/>
                </w:tcPr>
                <w:p w14:paraId="2FC331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3</w:t>
                  </w:r>
                </w:p>
              </w:tc>
            </w:tr>
            <w:tr w14:paraId="49460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69ECC8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测点位置</w:t>
                  </w:r>
                </w:p>
              </w:tc>
              <w:tc>
                <w:tcPr>
                  <w:tcW w:w="2672" w:type="pct"/>
                  <w:gridSpan w:val="3"/>
                  <w:tcBorders>
                    <w:tl2br w:val="nil"/>
                    <w:tr2bl w:val="nil"/>
                  </w:tcBorders>
                  <w:noWrap w:val="0"/>
                  <w:vAlign w:val="center"/>
                </w:tcPr>
                <w:p w14:paraId="7D712E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FQ-1出口</w:t>
                  </w:r>
                </w:p>
              </w:tc>
            </w:tr>
            <w:tr w14:paraId="127E8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6CB5D7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净化装置</w:t>
                  </w:r>
                </w:p>
              </w:tc>
              <w:tc>
                <w:tcPr>
                  <w:tcW w:w="2672" w:type="pct"/>
                  <w:gridSpan w:val="3"/>
                  <w:tcBorders>
                    <w:tl2br w:val="nil"/>
                    <w:tr2bl w:val="nil"/>
                  </w:tcBorders>
                  <w:noWrap w:val="0"/>
                  <w:vAlign w:val="center"/>
                </w:tcPr>
                <w:p w14:paraId="0821C8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静电除尘+二级活性炭；水喷淋</w:t>
                  </w:r>
                </w:p>
              </w:tc>
            </w:tr>
            <w:tr w14:paraId="126BF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625DC5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排气筒高度（m）</w:t>
                  </w:r>
                </w:p>
              </w:tc>
              <w:tc>
                <w:tcPr>
                  <w:tcW w:w="2672" w:type="pct"/>
                  <w:gridSpan w:val="3"/>
                  <w:tcBorders>
                    <w:tl2br w:val="nil"/>
                    <w:tr2bl w:val="nil"/>
                  </w:tcBorders>
                  <w:noWrap w:val="0"/>
                  <w:vAlign w:val="center"/>
                </w:tcPr>
                <w:p w14:paraId="50792E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15</w:t>
                  </w:r>
                </w:p>
              </w:tc>
            </w:tr>
            <w:tr w14:paraId="1BCDD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restart"/>
                  <w:tcBorders>
                    <w:tl2br w:val="nil"/>
                    <w:tr2bl w:val="nil"/>
                  </w:tcBorders>
                  <w:noWrap w:val="0"/>
                  <w:vAlign w:val="center"/>
                </w:tcPr>
                <w:p w14:paraId="061002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SO</w:t>
                  </w:r>
                  <w:r>
                    <w:rPr>
                      <w:rFonts w:hint="eastAsia"/>
                      <w:b w:val="0"/>
                      <w:color w:val="auto"/>
                      <w:szCs w:val="21"/>
                      <w:vertAlign w:val="subscript"/>
                      <w:lang w:val="en-US" w:eastAsia="zh-CN"/>
                    </w:rPr>
                    <w:t>2</w:t>
                  </w:r>
                </w:p>
              </w:tc>
              <w:tc>
                <w:tcPr>
                  <w:tcW w:w="1414" w:type="pct"/>
                  <w:tcBorders>
                    <w:tl2br w:val="nil"/>
                    <w:tr2bl w:val="nil"/>
                  </w:tcBorders>
                  <w:noWrap w:val="0"/>
                  <w:vAlign w:val="center"/>
                </w:tcPr>
                <w:p w14:paraId="09AB633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排放浓度（mg/m</w:t>
                  </w:r>
                  <w:r>
                    <w:rPr>
                      <w:b w:val="0"/>
                      <w:color w:val="auto"/>
                      <w:szCs w:val="21"/>
                      <w:vertAlign w:val="superscript"/>
                    </w:rPr>
                    <w:t>3</w:t>
                  </w:r>
                  <w:r>
                    <w:rPr>
                      <w:b w:val="0"/>
                      <w:color w:val="auto"/>
                      <w:szCs w:val="21"/>
                    </w:rPr>
                    <w:t>）</w:t>
                  </w:r>
                </w:p>
              </w:tc>
              <w:tc>
                <w:tcPr>
                  <w:tcW w:w="885" w:type="pct"/>
                  <w:tcBorders>
                    <w:tl2br w:val="nil"/>
                    <w:tr2bl w:val="nil"/>
                  </w:tcBorders>
                  <w:noWrap w:val="0"/>
                  <w:vAlign w:val="center"/>
                </w:tcPr>
                <w:p w14:paraId="6546D9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ND</w:t>
                  </w:r>
                </w:p>
              </w:tc>
              <w:tc>
                <w:tcPr>
                  <w:tcW w:w="885" w:type="pct"/>
                  <w:tcBorders>
                    <w:tl2br w:val="nil"/>
                    <w:tr2bl w:val="nil"/>
                  </w:tcBorders>
                  <w:noWrap w:val="0"/>
                  <w:vAlign w:val="center"/>
                </w:tcPr>
                <w:p w14:paraId="7DA822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ND</w:t>
                  </w:r>
                </w:p>
              </w:tc>
              <w:tc>
                <w:tcPr>
                  <w:tcW w:w="902" w:type="pct"/>
                  <w:tcBorders>
                    <w:tl2br w:val="nil"/>
                    <w:tr2bl w:val="nil"/>
                  </w:tcBorders>
                  <w:noWrap w:val="0"/>
                  <w:vAlign w:val="center"/>
                </w:tcPr>
                <w:p w14:paraId="7C45A5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7</w:t>
                  </w:r>
                </w:p>
              </w:tc>
            </w:tr>
            <w:tr w14:paraId="27DDB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continue"/>
                  <w:tcBorders>
                    <w:tl2br w:val="nil"/>
                    <w:tr2bl w:val="nil"/>
                  </w:tcBorders>
                  <w:noWrap w:val="0"/>
                  <w:vAlign w:val="center"/>
                </w:tcPr>
                <w:p w14:paraId="66817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1414" w:type="pct"/>
                  <w:tcBorders>
                    <w:tl2br w:val="nil"/>
                    <w:tr2bl w:val="nil"/>
                  </w:tcBorders>
                  <w:noWrap w:val="0"/>
                  <w:vAlign w:val="center"/>
                </w:tcPr>
                <w:p w14:paraId="42CB05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排放速率（kg/h）</w:t>
                  </w:r>
                </w:p>
              </w:tc>
              <w:tc>
                <w:tcPr>
                  <w:tcW w:w="885" w:type="pct"/>
                  <w:tcBorders>
                    <w:tl2br w:val="nil"/>
                    <w:tr2bl w:val="nil"/>
                  </w:tcBorders>
                  <w:noWrap w:val="0"/>
                  <w:vAlign w:val="center"/>
                </w:tcPr>
                <w:p w14:paraId="68C026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w:t>
                  </w:r>
                </w:p>
              </w:tc>
              <w:tc>
                <w:tcPr>
                  <w:tcW w:w="885" w:type="pct"/>
                  <w:tcBorders>
                    <w:tl2br w:val="nil"/>
                    <w:tr2bl w:val="nil"/>
                  </w:tcBorders>
                  <w:noWrap w:val="0"/>
                  <w:vAlign w:val="center"/>
                </w:tcPr>
                <w:p w14:paraId="741801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w:t>
                  </w:r>
                </w:p>
              </w:tc>
              <w:tc>
                <w:tcPr>
                  <w:tcW w:w="902" w:type="pct"/>
                  <w:tcBorders>
                    <w:tl2br w:val="nil"/>
                    <w:tr2bl w:val="nil"/>
                  </w:tcBorders>
                  <w:noWrap w:val="0"/>
                  <w:vAlign w:val="center"/>
                </w:tcPr>
                <w:p w14:paraId="1BFC5D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0.0952</w:t>
                  </w:r>
                </w:p>
              </w:tc>
            </w:tr>
            <w:tr w14:paraId="6BDBB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1" w:type="dxa"/>
                  <w:vMerge w:val="restart"/>
                  <w:tcBorders>
                    <w:tl2br w:val="nil"/>
                    <w:tr2bl w:val="nil"/>
                  </w:tcBorders>
                  <w:noWrap w:val="0"/>
                  <w:vAlign w:val="center"/>
                </w:tcPr>
                <w:p w14:paraId="5F73AE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NOx</w:t>
                  </w:r>
                </w:p>
              </w:tc>
              <w:tc>
                <w:tcPr>
                  <w:tcW w:w="1414" w:type="pct"/>
                  <w:tcBorders>
                    <w:tl2br w:val="nil"/>
                    <w:tr2bl w:val="nil"/>
                  </w:tcBorders>
                  <w:noWrap w:val="0"/>
                  <w:vAlign w:val="center"/>
                </w:tcPr>
                <w:p w14:paraId="22B5B7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排放浓度（mg/m</w:t>
                  </w:r>
                  <w:r>
                    <w:rPr>
                      <w:b w:val="0"/>
                      <w:color w:val="auto"/>
                      <w:szCs w:val="21"/>
                      <w:vertAlign w:val="superscript"/>
                    </w:rPr>
                    <w:t>3</w:t>
                  </w:r>
                  <w:r>
                    <w:rPr>
                      <w:b w:val="0"/>
                      <w:color w:val="auto"/>
                      <w:szCs w:val="21"/>
                    </w:rPr>
                    <w:t>）</w:t>
                  </w:r>
                </w:p>
              </w:tc>
              <w:tc>
                <w:tcPr>
                  <w:tcW w:w="885" w:type="pct"/>
                  <w:tcBorders>
                    <w:tl2br w:val="nil"/>
                    <w:tr2bl w:val="nil"/>
                  </w:tcBorders>
                  <w:noWrap w:val="0"/>
                  <w:vAlign w:val="center"/>
                </w:tcPr>
                <w:p w14:paraId="73EEF8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ND</w:t>
                  </w:r>
                </w:p>
              </w:tc>
              <w:tc>
                <w:tcPr>
                  <w:tcW w:w="885" w:type="pct"/>
                  <w:tcBorders>
                    <w:tl2br w:val="nil"/>
                    <w:tr2bl w:val="nil"/>
                  </w:tcBorders>
                  <w:noWrap w:val="0"/>
                  <w:vAlign w:val="center"/>
                </w:tcPr>
                <w:p w14:paraId="6492B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13</w:t>
                  </w:r>
                </w:p>
              </w:tc>
              <w:tc>
                <w:tcPr>
                  <w:tcW w:w="902" w:type="pct"/>
                  <w:tcBorders>
                    <w:tl2br w:val="nil"/>
                    <w:tr2bl w:val="nil"/>
                  </w:tcBorders>
                  <w:noWrap w:val="0"/>
                  <w:vAlign w:val="center"/>
                </w:tcPr>
                <w:p w14:paraId="75FF87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ND</w:t>
                  </w:r>
                </w:p>
              </w:tc>
            </w:tr>
            <w:tr w14:paraId="02E80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continue"/>
                  <w:tcBorders>
                    <w:tl2br w:val="nil"/>
                    <w:tr2bl w:val="nil"/>
                  </w:tcBorders>
                  <w:noWrap w:val="0"/>
                  <w:vAlign w:val="center"/>
                </w:tcPr>
                <w:p w14:paraId="07506F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1414" w:type="pct"/>
                  <w:tcBorders>
                    <w:tl2br w:val="nil"/>
                    <w:tr2bl w:val="nil"/>
                  </w:tcBorders>
                  <w:noWrap w:val="0"/>
                  <w:vAlign w:val="center"/>
                </w:tcPr>
                <w:p w14:paraId="67D77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排放速率（kg/h）</w:t>
                  </w:r>
                </w:p>
              </w:tc>
              <w:tc>
                <w:tcPr>
                  <w:tcW w:w="885" w:type="pct"/>
                  <w:tcBorders>
                    <w:tl2br w:val="nil"/>
                    <w:tr2bl w:val="nil"/>
                  </w:tcBorders>
                  <w:noWrap w:val="0"/>
                  <w:vAlign w:val="center"/>
                </w:tcPr>
                <w:p w14:paraId="469DDC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w:t>
                  </w:r>
                </w:p>
              </w:tc>
              <w:tc>
                <w:tcPr>
                  <w:tcW w:w="885" w:type="pct"/>
                  <w:tcBorders>
                    <w:tl2br w:val="nil"/>
                    <w:tr2bl w:val="nil"/>
                  </w:tcBorders>
                  <w:noWrap w:val="0"/>
                  <w:vAlign w:val="center"/>
                </w:tcPr>
                <w:p w14:paraId="34EB2E5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0.177</w:t>
                  </w:r>
                </w:p>
              </w:tc>
              <w:tc>
                <w:tcPr>
                  <w:tcW w:w="902" w:type="pct"/>
                  <w:tcBorders>
                    <w:tl2br w:val="nil"/>
                    <w:tr2bl w:val="nil"/>
                  </w:tcBorders>
                  <w:noWrap w:val="0"/>
                  <w:vAlign w:val="center"/>
                </w:tcPr>
                <w:p w14:paraId="338641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w:t>
                  </w:r>
                </w:p>
              </w:tc>
            </w:tr>
            <w:tr w14:paraId="38EAD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1" w:type="dxa"/>
                  <w:vMerge w:val="restart"/>
                  <w:tcBorders>
                    <w:tl2br w:val="nil"/>
                    <w:tr2bl w:val="nil"/>
                  </w:tcBorders>
                  <w:noWrap w:val="0"/>
                  <w:vAlign w:val="center"/>
                </w:tcPr>
                <w:p w14:paraId="5F76A2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颗粒物</w:t>
                  </w:r>
                </w:p>
              </w:tc>
              <w:tc>
                <w:tcPr>
                  <w:tcW w:w="1414" w:type="pct"/>
                  <w:tcBorders>
                    <w:tl2br w:val="nil"/>
                    <w:tr2bl w:val="nil"/>
                  </w:tcBorders>
                  <w:noWrap w:val="0"/>
                  <w:vAlign w:val="center"/>
                </w:tcPr>
                <w:p w14:paraId="32CC8D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排放浓度（mg/m</w:t>
                  </w:r>
                  <w:r>
                    <w:rPr>
                      <w:b w:val="0"/>
                      <w:color w:val="auto"/>
                      <w:szCs w:val="21"/>
                      <w:vertAlign w:val="superscript"/>
                    </w:rPr>
                    <w:t>3</w:t>
                  </w:r>
                  <w:r>
                    <w:rPr>
                      <w:b w:val="0"/>
                      <w:color w:val="auto"/>
                      <w:szCs w:val="21"/>
                    </w:rPr>
                    <w:t>）</w:t>
                  </w:r>
                </w:p>
              </w:tc>
              <w:tc>
                <w:tcPr>
                  <w:tcW w:w="885" w:type="pct"/>
                  <w:tcBorders>
                    <w:tl2br w:val="nil"/>
                    <w:tr2bl w:val="nil"/>
                  </w:tcBorders>
                  <w:noWrap w:val="0"/>
                  <w:vAlign w:val="center"/>
                </w:tcPr>
                <w:p w14:paraId="112108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1.1</w:t>
                  </w:r>
                </w:p>
              </w:tc>
              <w:tc>
                <w:tcPr>
                  <w:tcW w:w="885" w:type="pct"/>
                  <w:tcBorders>
                    <w:tl2br w:val="nil"/>
                    <w:tr2bl w:val="nil"/>
                  </w:tcBorders>
                  <w:noWrap w:val="0"/>
                  <w:vAlign w:val="center"/>
                </w:tcPr>
                <w:p w14:paraId="415EA7A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1.5</w:t>
                  </w:r>
                </w:p>
              </w:tc>
              <w:tc>
                <w:tcPr>
                  <w:tcW w:w="902" w:type="pct"/>
                  <w:tcBorders>
                    <w:tl2br w:val="nil"/>
                    <w:tr2bl w:val="nil"/>
                  </w:tcBorders>
                  <w:noWrap w:val="0"/>
                  <w:vAlign w:val="center"/>
                </w:tcPr>
                <w:p w14:paraId="155CC7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1.3</w:t>
                  </w:r>
                </w:p>
              </w:tc>
            </w:tr>
            <w:tr w14:paraId="2DA20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continue"/>
                  <w:tcBorders>
                    <w:tl2br w:val="nil"/>
                    <w:tr2bl w:val="nil"/>
                  </w:tcBorders>
                  <w:noWrap w:val="0"/>
                  <w:vAlign w:val="center"/>
                </w:tcPr>
                <w:p w14:paraId="784D6B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1414" w:type="pct"/>
                  <w:tcBorders>
                    <w:tl2br w:val="nil"/>
                    <w:tr2bl w:val="nil"/>
                  </w:tcBorders>
                  <w:noWrap w:val="0"/>
                  <w:vAlign w:val="center"/>
                </w:tcPr>
                <w:p w14:paraId="2B9660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排放速率（kg/h）</w:t>
                  </w:r>
                </w:p>
              </w:tc>
              <w:tc>
                <w:tcPr>
                  <w:tcW w:w="885" w:type="pct"/>
                  <w:tcBorders>
                    <w:tl2br w:val="nil"/>
                    <w:tr2bl w:val="nil"/>
                  </w:tcBorders>
                  <w:noWrap w:val="0"/>
                  <w:vAlign w:val="center"/>
                </w:tcPr>
                <w:p w14:paraId="42EB86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0.012</w:t>
                  </w:r>
                </w:p>
              </w:tc>
              <w:tc>
                <w:tcPr>
                  <w:tcW w:w="885" w:type="pct"/>
                  <w:tcBorders>
                    <w:tl2br w:val="nil"/>
                    <w:tr2bl w:val="nil"/>
                  </w:tcBorders>
                  <w:noWrap w:val="0"/>
                  <w:vAlign w:val="center"/>
                </w:tcPr>
                <w:p w14:paraId="6CD5D2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0.0204</w:t>
                  </w:r>
                </w:p>
              </w:tc>
              <w:tc>
                <w:tcPr>
                  <w:tcW w:w="902" w:type="pct"/>
                  <w:tcBorders>
                    <w:tl2br w:val="nil"/>
                    <w:tr2bl w:val="nil"/>
                  </w:tcBorders>
                  <w:noWrap w:val="0"/>
                  <w:vAlign w:val="center"/>
                </w:tcPr>
                <w:p w14:paraId="6B59CB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0.0177</w:t>
                  </w:r>
                </w:p>
              </w:tc>
            </w:tr>
            <w:tr w14:paraId="7A7B2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restart"/>
                  <w:tcBorders>
                    <w:tl2br w:val="nil"/>
                    <w:tr2bl w:val="nil"/>
                  </w:tcBorders>
                  <w:noWrap w:val="0"/>
                  <w:vAlign w:val="center"/>
                </w:tcPr>
                <w:p w14:paraId="01637D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非甲烷总烃</w:t>
                  </w:r>
                </w:p>
              </w:tc>
              <w:tc>
                <w:tcPr>
                  <w:tcW w:w="1414" w:type="pct"/>
                  <w:tcBorders>
                    <w:tl2br w:val="nil"/>
                    <w:tr2bl w:val="nil"/>
                  </w:tcBorders>
                  <w:noWrap w:val="0"/>
                  <w:vAlign w:val="center"/>
                </w:tcPr>
                <w:p w14:paraId="474898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排放浓度（mg/m</w:t>
                  </w:r>
                  <w:r>
                    <w:rPr>
                      <w:b w:val="0"/>
                      <w:color w:val="auto"/>
                      <w:szCs w:val="21"/>
                      <w:vertAlign w:val="superscript"/>
                    </w:rPr>
                    <w:t>3</w:t>
                  </w:r>
                  <w:r>
                    <w:rPr>
                      <w:b w:val="0"/>
                      <w:color w:val="auto"/>
                      <w:szCs w:val="21"/>
                    </w:rPr>
                    <w:t>）</w:t>
                  </w:r>
                </w:p>
              </w:tc>
              <w:tc>
                <w:tcPr>
                  <w:tcW w:w="885" w:type="pct"/>
                  <w:tcBorders>
                    <w:tl2br w:val="nil"/>
                    <w:tr2bl w:val="nil"/>
                  </w:tcBorders>
                  <w:noWrap w:val="0"/>
                  <w:vAlign w:val="center"/>
                </w:tcPr>
                <w:p w14:paraId="0DDFAB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6.43</w:t>
                  </w:r>
                </w:p>
              </w:tc>
              <w:tc>
                <w:tcPr>
                  <w:tcW w:w="885" w:type="pct"/>
                  <w:tcBorders>
                    <w:tl2br w:val="nil"/>
                    <w:tr2bl w:val="nil"/>
                  </w:tcBorders>
                  <w:noWrap w:val="0"/>
                  <w:vAlign w:val="center"/>
                </w:tcPr>
                <w:p w14:paraId="5955EA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5.90</w:t>
                  </w:r>
                </w:p>
              </w:tc>
              <w:tc>
                <w:tcPr>
                  <w:tcW w:w="902" w:type="pct"/>
                  <w:tcBorders>
                    <w:tl2br w:val="nil"/>
                    <w:tr2bl w:val="nil"/>
                  </w:tcBorders>
                  <w:noWrap w:val="0"/>
                  <w:vAlign w:val="center"/>
                </w:tcPr>
                <w:p w14:paraId="5890A7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8.53</w:t>
                  </w:r>
                </w:p>
              </w:tc>
            </w:tr>
            <w:tr w14:paraId="59F16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continue"/>
                  <w:tcBorders>
                    <w:tl2br w:val="nil"/>
                    <w:tr2bl w:val="nil"/>
                  </w:tcBorders>
                  <w:noWrap w:val="0"/>
                  <w:vAlign w:val="center"/>
                </w:tcPr>
                <w:p w14:paraId="4C9AFB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1414" w:type="pct"/>
                  <w:tcBorders>
                    <w:tl2br w:val="nil"/>
                    <w:tr2bl w:val="nil"/>
                  </w:tcBorders>
                  <w:noWrap w:val="0"/>
                  <w:vAlign w:val="center"/>
                </w:tcPr>
                <w:p w14:paraId="7B56536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排放速率（kg/h）</w:t>
                  </w:r>
                </w:p>
              </w:tc>
              <w:tc>
                <w:tcPr>
                  <w:tcW w:w="885" w:type="pct"/>
                  <w:tcBorders>
                    <w:tl2br w:val="nil"/>
                    <w:tr2bl w:val="nil"/>
                  </w:tcBorders>
                  <w:noWrap w:val="0"/>
                  <w:vAlign w:val="center"/>
                </w:tcPr>
                <w:p w14:paraId="43F3C56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0.0898</w:t>
                  </w:r>
                </w:p>
              </w:tc>
              <w:tc>
                <w:tcPr>
                  <w:tcW w:w="885" w:type="pct"/>
                  <w:tcBorders>
                    <w:tl2br w:val="nil"/>
                    <w:tr2bl w:val="nil"/>
                  </w:tcBorders>
                  <w:noWrap w:val="0"/>
                  <w:vAlign w:val="center"/>
                </w:tcPr>
                <w:p w14:paraId="6C6698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0.0887</w:t>
                  </w:r>
                </w:p>
              </w:tc>
              <w:tc>
                <w:tcPr>
                  <w:tcW w:w="902" w:type="pct"/>
                  <w:tcBorders>
                    <w:tl2br w:val="nil"/>
                    <w:tr2bl w:val="nil"/>
                  </w:tcBorders>
                  <w:noWrap w:val="0"/>
                  <w:vAlign w:val="center"/>
                </w:tcPr>
                <w:p w14:paraId="2B9D78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0.132</w:t>
                  </w:r>
                </w:p>
              </w:tc>
            </w:tr>
          </w:tbl>
          <w:p w14:paraId="48E98F0C">
            <w:pPr>
              <w:keepNext w:val="0"/>
              <w:keepLines w:val="0"/>
              <w:pageBreakBefore w:val="0"/>
              <w:widowControl w:val="0"/>
              <w:kinsoku/>
              <w:wordWrap/>
              <w:overflowPunct/>
              <w:topLinePunct w:val="0"/>
              <w:autoSpaceDE/>
              <w:autoSpaceDN/>
              <w:bidi w:val="0"/>
              <w:adjustRightInd/>
              <w:snapToGrid/>
              <w:spacing w:before="157" w:beforeLines="50"/>
              <w:ind w:firstLine="422" w:firstLineChars="200"/>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2.3</w:t>
            </w:r>
            <w:r>
              <w:rPr>
                <w:b/>
                <w:bCs/>
                <w:color w:val="auto"/>
                <w:sz w:val="21"/>
                <w:szCs w:val="21"/>
              </w:rPr>
              <w:t>-</w:t>
            </w:r>
            <w:r>
              <w:rPr>
                <w:rFonts w:hint="eastAsia"/>
                <w:b/>
                <w:bCs/>
                <w:color w:val="auto"/>
                <w:sz w:val="21"/>
                <w:szCs w:val="21"/>
                <w:lang w:val="en-US" w:eastAsia="zh-CN"/>
              </w:rPr>
              <w:t>4</w:t>
            </w:r>
            <w:r>
              <w:rPr>
                <w:b/>
                <w:bCs/>
                <w:color w:val="auto"/>
                <w:sz w:val="21"/>
                <w:szCs w:val="21"/>
              </w:rPr>
              <w:t xml:space="preserve">  有组织废气</w:t>
            </w:r>
            <w:r>
              <w:rPr>
                <w:rFonts w:hint="eastAsia"/>
                <w:b/>
                <w:bCs/>
                <w:color w:val="auto"/>
                <w:sz w:val="21"/>
                <w:szCs w:val="21"/>
                <w:lang w:val="en-US" w:eastAsia="zh-CN"/>
              </w:rPr>
              <w:t>出口</w:t>
            </w:r>
            <w:r>
              <w:rPr>
                <w:b/>
                <w:bCs/>
                <w:color w:val="auto"/>
                <w:sz w:val="21"/>
                <w:szCs w:val="21"/>
              </w:rPr>
              <w:t>检测结果</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2360"/>
              <w:gridCol w:w="1476"/>
              <w:gridCol w:w="1476"/>
              <w:gridCol w:w="1504"/>
            </w:tblGrid>
            <w:tr w14:paraId="3B11F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restart"/>
                  <w:tcBorders>
                    <w:tl2br w:val="nil"/>
                    <w:tr2bl w:val="nil"/>
                  </w:tcBorders>
                  <w:noWrap w:val="0"/>
                  <w:vAlign w:val="center"/>
                </w:tcPr>
                <w:p w14:paraId="62BD4D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检测项目</w:t>
                  </w:r>
                </w:p>
              </w:tc>
              <w:tc>
                <w:tcPr>
                  <w:tcW w:w="2672" w:type="pct"/>
                  <w:gridSpan w:val="3"/>
                  <w:tcBorders>
                    <w:tl2br w:val="nil"/>
                    <w:tr2bl w:val="nil"/>
                  </w:tcBorders>
                  <w:noWrap w:val="0"/>
                  <w:vAlign w:val="center"/>
                </w:tcPr>
                <w:p w14:paraId="79D0786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检测结果</w:t>
                  </w:r>
                </w:p>
              </w:tc>
            </w:tr>
            <w:tr w14:paraId="02F21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continue"/>
                  <w:tcBorders>
                    <w:tl2br w:val="nil"/>
                    <w:tr2bl w:val="nil"/>
                  </w:tcBorders>
                  <w:noWrap w:val="0"/>
                  <w:vAlign w:val="center"/>
                </w:tcPr>
                <w:p w14:paraId="519177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2672" w:type="pct"/>
                  <w:gridSpan w:val="3"/>
                  <w:tcBorders>
                    <w:tl2br w:val="nil"/>
                    <w:tr2bl w:val="nil"/>
                  </w:tcBorders>
                  <w:noWrap w:val="0"/>
                  <w:vAlign w:val="center"/>
                </w:tcPr>
                <w:p w14:paraId="248240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bCs/>
                      <w:color w:val="auto"/>
                      <w:szCs w:val="21"/>
                      <w:lang w:val="en-US" w:eastAsia="zh-CN"/>
                    </w:rPr>
                  </w:pPr>
                  <w:r>
                    <w:rPr>
                      <w:b/>
                      <w:bCs/>
                      <w:color w:val="auto"/>
                      <w:szCs w:val="21"/>
                    </w:rPr>
                    <w:t>采样时间：</w:t>
                  </w:r>
                  <w:r>
                    <w:rPr>
                      <w:rFonts w:hint="eastAsia"/>
                      <w:b/>
                      <w:bCs/>
                      <w:color w:val="auto"/>
                      <w:szCs w:val="21"/>
                      <w:lang w:val="en-US" w:eastAsia="zh-CN"/>
                    </w:rPr>
                    <w:t>2024.5.10</w:t>
                  </w:r>
                </w:p>
              </w:tc>
            </w:tr>
            <w:tr w14:paraId="63DF1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vMerge w:val="continue"/>
                  <w:tcBorders>
                    <w:tl2br w:val="nil"/>
                    <w:tr2bl w:val="nil"/>
                  </w:tcBorders>
                  <w:noWrap w:val="0"/>
                  <w:vAlign w:val="center"/>
                </w:tcPr>
                <w:p w14:paraId="597616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885" w:type="pct"/>
                  <w:tcBorders>
                    <w:tl2br w:val="nil"/>
                    <w:tr2bl w:val="nil"/>
                  </w:tcBorders>
                  <w:noWrap w:val="0"/>
                  <w:vAlign w:val="center"/>
                </w:tcPr>
                <w:p w14:paraId="7F5787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1</w:t>
                  </w:r>
                </w:p>
              </w:tc>
              <w:tc>
                <w:tcPr>
                  <w:tcW w:w="885" w:type="pct"/>
                  <w:tcBorders>
                    <w:tl2br w:val="nil"/>
                    <w:tr2bl w:val="nil"/>
                  </w:tcBorders>
                  <w:noWrap w:val="0"/>
                  <w:vAlign w:val="center"/>
                </w:tcPr>
                <w:p w14:paraId="58316A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2</w:t>
                  </w:r>
                </w:p>
              </w:tc>
              <w:tc>
                <w:tcPr>
                  <w:tcW w:w="902" w:type="pct"/>
                  <w:tcBorders>
                    <w:tl2br w:val="nil"/>
                    <w:tr2bl w:val="nil"/>
                  </w:tcBorders>
                  <w:noWrap w:val="0"/>
                  <w:vAlign w:val="center"/>
                </w:tcPr>
                <w:p w14:paraId="7D53BC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3</w:t>
                  </w:r>
                </w:p>
              </w:tc>
            </w:tr>
            <w:tr w14:paraId="421B2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133E1A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测点位置</w:t>
                  </w:r>
                </w:p>
              </w:tc>
              <w:tc>
                <w:tcPr>
                  <w:tcW w:w="2672" w:type="pct"/>
                  <w:gridSpan w:val="3"/>
                  <w:tcBorders>
                    <w:tl2br w:val="nil"/>
                    <w:tr2bl w:val="nil"/>
                  </w:tcBorders>
                  <w:noWrap w:val="0"/>
                  <w:vAlign w:val="center"/>
                </w:tcPr>
                <w:p w14:paraId="2F3A91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FQ-2出口</w:t>
                  </w:r>
                </w:p>
              </w:tc>
            </w:tr>
            <w:tr w14:paraId="0D2C4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0A9AD4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净化装置</w:t>
                  </w:r>
                </w:p>
              </w:tc>
              <w:tc>
                <w:tcPr>
                  <w:tcW w:w="2672" w:type="pct"/>
                  <w:gridSpan w:val="3"/>
                  <w:tcBorders>
                    <w:tl2br w:val="nil"/>
                    <w:tr2bl w:val="nil"/>
                  </w:tcBorders>
                  <w:noWrap w:val="0"/>
                  <w:vAlign w:val="center"/>
                </w:tcPr>
                <w:p w14:paraId="48AD07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二级活性炭</w:t>
                  </w:r>
                </w:p>
              </w:tc>
            </w:tr>
            <w:tr w14:paraId="70700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27" w:type="pct"/>
                  <w:gridSpan w:val="2"/>
                  <w:tcBorders>
                    <w:tl2br w:val="nil"/>
                    <w:tr2bl w:val="nil"/>
                  </w:tcBorders>
                  <w:noWrap w:val="0"/>
                  <w:vAlign w:val="center"/>
                </w:tcPr>
                <w:p w14:paraId="09E6A6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排气筒高度（m）</w:t>
                  </w:r>
                </w:p>
              </w:tc>
              <w:tc>
                <w:tcPr>
                  <w:tcW w:w="2672" w:type="pct"/>
                  <w:gridSpan w:val="3"/>
                  <w:tcBorders>
                    <w:tl2br w:val="nil"/>
                    <w:tr2bl w:val="nil"/>
                  </w:tcBorders>
                  <w:noWrap w:val="0"/>
                  <w:vAlign w:val="center"/>
                </w:tcPr>
                <w:p w14:paraId="78F3D7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15</w:t>
                  </w:r>
                </w:p>
              </w:tc>
            </w:tr>
            <w:tr w14:paraId="3AB39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restart"/>
                  <w:tcBorders>
                    <w:tl2br w:val="nil"/>
                    <w:tr2bl w:val="nil"/>
                  </w:tcBorders>
                  <w:noWrap w:val="0"/>
                  <w:vAlign w:val="center"/>
                </w:tcPr>
                <w:p w14:paraId="49BD20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非甲烷总烃</w:t>
                  </w:r>
                </w:p>
              </w:tc>
              <w:tc>
                <w:tcPr>
                  <w:tcW w:w="1415" w:type="pct"/>
                  <w:tcBorders>
                    <w:tl2br w:val="nil"/>
                    <w:tr2bl w:val="nil"/>
                  </w:tcBorders>
                  <w:noWrap w:val="0"/>
                  <w:vAlign w:val="center"/>
                </w:tcPr>
                <w:p w14:paraId="60527F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排放浓度（mg/m</w:t>
                  </w:r>
                  <w:r>
                    <w:rPr>
                      <w:b w:val="0"/>
                      <w:color w:val="auto"/>
                      <w:szCs w:val="21"/>
                      <w:vertAlign w:val="superscript"/>
                    </w:rPr>
                    <w:t>3</w:t>
                  </w:r>
                  <w:r>
                    <w:rPr>
                      <w:b w:val="0"/>
                      <w:color w:val="auto"/>
                      <w:szCs w:val="21"/>
                    </w:rPr>
                    <w:t>）</w:t>
                  </w:r>
                </w:p>
              </w:tc>
              <w:tc>
                <w:tcPr>
                  <w:tcW w:w="885" w:type="pct"/>
                  <w:tcBorders>
                    <w:tl2br w:val="nil"/>
                    <w:tr2bl w:val="nil"/>
                  </w:tcBorders>
                  <w:noWrap w:val="0"/>
                  <w:vAlign w:val="center"/>
                </w:tcPr>
                <w:p w14:paraId="3552B3D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0.78</w:t>
                  </w:r>
                </w:p>
              </w:tc>
              <w:tc>
                <w:tcPr>
                  <w:tcW w:w="885" w:type="pct"/>
                  <w:tcBorders>
                    <w:tl2br w:val="nil"/>
                    <w:tr2bl w:val="nil"/>
                  </w:tcBorders>
                  <w:noWrap w:val="0"/>
                  <w:vAlign w:val="center"/>
                </w:tcPr>
                <w:p w14:paraId="565143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1.25</w:t>
                  </w:r>
                </w:p>
              </w:tc>
              <w:tc>
                <w:tcPr>
                  <w:tcW w:w="902" w:type="pct"/>
                  <w:tcBorders>
                    <w:tl2br w:val="nil"/>
                    <w:tr2bl w:val="nil"/>
                  </w:tcBorders>
                  <w:noWrap w:val="0"/>
                  <w:vAlign w:val="center"/>
                </w:tcPr>
                <w:p w14:paraId="160C74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1.67</w:t>
                  </w:r>
                </w:p>
              </w:tc>
            </w:tr>
            <w:tr w14:paraId="5C204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pct"/>
                  <w:vMerge w:val="continue"/>
                  <w:tcBorders>
                    <w:tl2br w:val="nil"/>
                    <w:tr2bl w:val="nil"/>
                  </w:tcBorders>
                  <w:noWrap w:val="0"/>
                  <w:vAlign w:val="center"/>
                </w:tcPr>
                <w:p w14:paraId="4D0B03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1415" w:type="pct"/>
                  <w:tcBorders>
                    <w:tl2br w:val="nil"/>
                    <w:tr2bl w:val="nil"/>
                  </w:tcBorders>
                  <w:noWrap w:val="0"/>
                  <w:vAlign w:val="center"/>
                </w:tcPr>
                <w:p w14:paraId="29A5AD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排放速率（kg/h）</w:t>
                  </w:r>
                </w:p>
              </w:tc>
              <w:tc>
                <w:tcPr>
                  <w:tcW w:w="885" w:type="pct"/>
                  <w:tcBorders>
                    <w:tl2br w:val="nil"/>
                    <w:tr2bl w:val="nil"/>
                  </w:tcBorders>
                  <w:noWrap w:val="0"/>
                  <w:vAlign w:val="center"/>
                </w:tcPr>
                <w:p w14:paraId="58A3A3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0.00466</w:t>
                  </w:r>
                </w:p>
              </w:tc>
              <w:tc>
                <w:tcPr>
                  <w:tcW w:w="885" w:type="pct"/>
                  <w:tcBorders>
                    <w:tl2br w:val="nil"/>
                    <w:tr2bl w:val="nil"/>
                  </w:tcBorders>
                  <w:noWrap w:val="0"/>
                  <w:vAlign w:val="center"/>
                </w:tcPr>
                <w:p w14:paraId="5680F5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0.00701</w:t>
                  </w:r>
                </w:p>
              </w:tc>
              <w:tc>
                <w:tcPr>
                  <w:tcW w:w="902" w:type="pct"/>
                  <w:tcBorders>
                    <w:tl2br w:val="nil"/>
                    <w:tr2bl w:val="nil"/>
                  </w:tcBorders>
                  <w:noWrap w:val="0"/>
                  <w:vAlign w:val="center"/>
                </w:tcPr>
                <w:p w14:paraId="144600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0.00925</w:t>
                  </w:r>
                </w:p>
              </w:tc>
            </w:tr>
          </w:tbl>
          <w:p w14:paraId="1B6B52C4">
            <w:pPr>
              <w:spacing w:before="156" w:beforeLines="50"/>
              <w:jc w:val="center"/>
              <w:rPr>
                <w:b/>
                <w:bCs/>
                <w:color w:val="auto"/>
                <w:sz w:val="21"/>
                <w:szCs w:val="21"/>
              </w:rPr>
            </w:pPr>
            <w:r>
              <w:rPr>
                <w:b/>
                <w:bCs/>
                <w:color w:val="auto"/>
                <w:sz w:val="21"/>
                <w:szCs w:val="21"/>
              </w:rPr>
              <w:t>表</w:t>
            </w:r>
            <w:r>
              <w:rPr>
                <w:rFonts w:hint="eastAsia"/>
                <w:b/>
                <w:bCs/>
                <w:color w:val="auto"/>
                <w:sz w:val="21"/>
                <w:szCs w:val="21"/>
                <w:lang w:val="en-US" w:eastAsia="zh-CN"/>
              </w:rPr>
              <w:t>2.3</w:t>
            </w:r>
            <w:r>
              <w:rPr>
                <w:b/>
                <w:bCs/>
                <w:color w:val="auto"/>
                <w:sz w:val="21"/>
                <w:szCs w:val="21"/>
              </w:rPr>
              <w:t>-</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lang w:val="en-US" w:eastAsia="zh-CN"/>
              </w:rPr>
              <w:t>原有项目</w:t>
            </w:r>
            <w:r>
              <w:rPr>
                <w:b/>
                <w:bCs/>
                <w:color w:val="auto"/>
                <w:sz w:val="21"/>
                <w:szCs w:val="21"/>
              </w:rPr>
              <w:t>无组织监测结果</w:t>
            </w:r>
          </w:p>
          <w:tbl>
            <w:tblPr>
              <w:tblStyle w:val="21"/>
              <w:tblW w:w="83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643"/>
              <w:gridCol w:w="1997"/>
              <w:gridCol w:w="872"/>
              <w:gridCol w:w="872"/>
              <w:gridCol w:w="872"/>
              <w:gridCol w:w="868"/>
              <w:gridCol w:w="1219"/>
            </w:tblGrid>
            <w:tr w14:paraId="526B5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restart"/>
                  <w:noWrap w:val="0"/>
                  <w:vAlign w:val="center"/>
                </w:tcPr>
                <w:p w14:paraId="58152F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采样时间</w:t>
                  </w:r>
                </w:p>
              </w:tc>
              <w:tc>
                <w:tcPr>
                  <w:tcW w:w="646" w:type="dxa"/>
                  <w:vMerge w:val="restart"/>
                  <w:noWrap w:val="0"/>
                  <w:vAlign w:val="center"/>
                </w:tcPr>
                <w:p w14:paraId="5C5DD55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检测项目</w:t>
                  </w:r>
                </w:p>
              </w:tc>
              <w:tc>
                <w:tcPr>
                  <w:tcW w:w="2050" w:type="dxa"/>
                  <w:vMerge w:val="restart"/>
                  <w:noWrap w:val="0"/>
                  <w:vAlign w:val="center"/>
                </w:tcPr>
                <w:p w14:paraId="396B49D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检测点位</w:t>
                  </w:r>
                </w:p>
              </w:tc>
              <w:tc>
                <w:tcPr>
                  <w:tcW w:w="3512" w:type="dxa"/>
                  <w:gridSpan w:val="4"/>
                  <w:noWrap w:val="0"/>
                  <w:vAlign w:val="center"/>
                </w:tcPr>
                <w:p w14:paraId="139B14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检测结果（mg/m</w:t>
                  </w:r>
                  <w:r>
                    <w:rPr>
                      <w:b/>
                      <w:bCs/>
                      <w:color w:val="auto"/>
                      <w:szCs w:val="21"/>
                      <w:vertAlign w:val="superscript"/>
                    </w:rPr>
                    <w:t>3</w:t>
                  </w:r>
                  <w:r>
                    <w:rPr>
                      <w:b/>
                      <w:bCs/>
                      <w:color w:val="auto"/>
                      <w:szCs w:val="21"/>
                    </w:rPr>
                    <w:t>）</w:t>
                  </w:r>
                </w:p>
              </w:tc>
              <w:tc>
                <w:tcPr>
                  <w:tcW w:w="1133" w:type="dxa"/>
                  <w:vMerge w:val="restart"/>
                  <w:noWrap w:val="0"/>
                  <w:vAlign w:val="center"/>
                </w:tcPr>
                <w:p w14:paraId="049CD8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标准限值（mg/m</w:t>
                  </w:r>
                  <w:r>
                    <w:rPr>
                      <w:b/>
                      <w:bCs/>
                      <w:color w:val="auto"/>
                      <w:szCs w:val="21"/>
                      <w:vertAlign w:val="superscript"/>
                    </w:rPr>
                    <w:t>3</w:t>
                  </w:r>
                  <w:r>
                    <w:rPr>
                      <w:b/>
                      <w:bCs/>
                      <w:color w:val="auto"/>
                      <w:szCs w:val="21"/>
                    </w:rPr>
                    <w:t>）</w:t>
                  </w:r>
                </w:p>
              </w:tc>
            </w:tr>
            <w:tr w14:paraId="269D7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06365A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646" w:type="dxa"/>
                  <w:vMerge w:val="continue"/>
                  <w:noWrap w:val="0"/>
                  <w:vAlign w:val="center"/>
                </w:tcPr>
                <w:p w14:paraId="10111A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2050" w:type="dxa"/>
                  <w:vMerge w:val="continue"/>
                  <w:noWrap w:val="0"/>
                  <w:vAlign w:val="center"/>
                </w:tcPr>
                <w:p w14:paraId="5DF320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c>
                <w:tcPr>
                  <w:tcW w:w="879" w:type="dxa"/>
                  <w:noWrap w:val="0"/>
                  <w:vAlign w:val="center"/>
                </w:tcPr>
                <w:p w14:paraId="7E0B3B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1</w:t>
                  </w:r>
                </w:p>
              </w:tc>
              <w:tc>
                <w:tcPr>
                  <w:tcW w:w="879" w:type="dxa"/>
                  <w:noWrap w:val="0"/>
                  <w:vAlign w:val="center"/>
                </w:tcPr>
                <w:p w14:paraId="40A6FC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2</w:t>
                  </w:r>
                </w:p>
              </w:tc>
              <w:tc>
                <w:tcPr>
                  <w:tcW w:w="879" w:type="dxa"/>
                  <w:noWrap w:val="0"/>
                  <w:vAlign w:val="center"/>
                </w:tcPr>
                <w:p w14:paraId="537446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3</w:t>
                  </w:r>
                </w:p>
              </w:tc>
              <w:tc>
                <w:tcPr>
                  <w:tcW w:w="875" w:type="dxa"/>
                  <w:noWrap w:val="0"/>
                  <w:vAlign w:val="center"/>
                </w:tcPr>
                <w:p w14:paraId="3952AC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r>
                    <w:rPr>
                      <w:b/>
                      <w:bCs/>
                      <w:color w:val="auto"/>
                      <w:szCs w:val="21"/>
                    </w:rPr>
                    <w:t>最高值</w:t>
                  </w:r>
                </w:p>
              </w:tc>
              <w:tc>
                <w:tcPr>
                  <w:tcW w:w="1133" w:type="dxa"/>
                  <w:vMerge w:val="continue"/>
                  <w:noWrap w:val="0"/>
                  <w:vAlign w:val="center"/>
                </w:tcPr>
                <w:p w14:paraId="30E4CD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bCs/>
                      <w:color w:val="auto"/>
                      <w:szCs w:val="21"/>
                    </w:rPr>
                  </w:pPr>
                </w:p>
              </w:tc>
            </w:tr>
            <w:tr w14:paraId="3DEF5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restart"/>
                  <w:noWrap w:val="0"/>
                  <w:vAlign w:val="center"/>
                </w:tcPr>
                <w:p w14:paraId="25A516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2024.3.1</w:t>
                  </w:r>
                </w:p>
              </w:tc>
              <w:tc>
                <w:tcPr>
                  <w:tcW w:w="646" w:type="dxa"/>
                  <w:vMerge w:val="restart"/>
                  <w:noWrap w:val="0"/>
                  <w:vAlign w:val="center"/>
                </w:tcPr>
                <w:p w14:paraId="38D61B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val="0"/>
                      <w:color w:val="auto"/>
                      <w:szCs w:val="21"/>
                      <w:lang w:eastAsia="zh-CN"/>
                    </w:rPr>
                  </w:pPr>
                  <w:r>
                    <w:rPr>
                      <w:rFonts w:hint="eastAsia"/>
                      <w:b w:val="0"/>
                      <w:color w:val="auto"/>
                      <w:szCs w:val="21"/>
                      <w:lang w:val="en-US" w:eastAsia="zh-CN"/>
                    </w:rPr>
                    <w:t>TSP</w:t>
                  </w:r>
                </w:p>
              </w:tc>
              <w:tc>
                <w:tcPr>
                  <w:tcW w:w="2050" w:type="dxa"/>
                  <w:noWrap w:val="0"/>
                  <w:vAlign w:val="center"/>
                </w:tcPr>
                <w:p w14:paraId="0C44CD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上风向</w:t>
                  </w:r>
                  <w:r>
                    <w:rPr>
                      <w:rFonts w:hint="eastAsia"/>
                      <w:b w:val="0"/>
                      <w:color w:val="auto"/>
                      <w:szCs w:val="21"/>
                      <w:lang w:val="en-US" w:eastAsia="zh-CN"/>
                    </w:rPr>
                    <w:t>1</w:t>
                  </w:r>
                  <w:r>
                    <w:rPr>
                      <w:b w:val="0"/>
                      <w:color w:val="auto"/>
                      <w:szCs w:val="21"/>
                    </w:rPr>
                    <w:t>#</w:t>
                  </w:r>
                </w:p>
              </w:tc>
              <w:tc>
                <w:tcPr>
                  <w:tcW w:w="879" w:type="dxa"/>
                  <w:noWrap w:val="0"/>
                  <w:vAlign w:val="center"/>
                </w:tcPr>
                <w:p w14:paraId="30F025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0.123</w:t>
                  </w:r>
                </w:p>
              </w:tc>
              <w:tc>
                <w:tcPr>
                  <w:tcW w:w="879" w:type="dxa"/>
                  <w:noWrap w:val="0"/>
                  <w:vAlign w:val="center"/>
                </w:tcPr>
                <w:p w14:paraId="33BF94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0.135</w:t>
                  </w:r>
                </w:p>
              </w:tc>
              <w:tc>
                <w:tcPr>
                  <w:tcW w:w="879" w:type="dxa"/>
                  <w:noWrap w:val="0"/>
                  <w:vAlign w:val="center"/>
                </w:tcPr>
                <w:p w14:paraId="7F8DEE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0.135</w:t>
                  </w:r>
                </w:p>
              </w:tc>
              <w:tc>
                <w:tcPr>
                  <w:tcW w:w="875" w:type="dxa"/>
                  <w:noWrap w:val="0"/>
                  <w:vAlign w:val="center"/>
                </w:tcPr>
                <w:p w14:paraId="3E06D8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0.135</w:t>
                  </w:r>
                </w:p>
              </w:tc>
              <w:tc>
                <w:tcPr>
                  <w:tcW w:w="1133" w:type="dxa"/>
                  <w:noWrap w:val="0"/>
                  <w:vAlign w:val="center"/>
                </w:tcPr>
                <w:p w14:paraId="6C1C8A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w:t>
                  </w:r>
                </w:p>
              </w:tc>
            </w:tr>
            <w:tr w14:paraId="51BE3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5C3EC9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0B8137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03D9FE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2</w:t>
                  </w:r>
                  <w:r>
                    <w:rPr>
                      <w:b w:val="0"/>
                      <w:color w:val="auto"/>
                      <w:szCs w:val="21"/>
                    </w:rPr>
                    <w:t>#</w:t>
                  </w:r>
                </w:p>
              </w:tc>
              <w:tc>
                <w:tcPr>
                  <w:tcW w:w="879" w:type="dxa"/>
                  <w:noWrap w:val="0"/>
                  <w:vAlign w:val="center"/>
                </w:tcPr>
                <w:p w14:paraId="0A8B66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rPr>
                  </w:pPr>
                  <w:r>
                    <w:rPr>
                      <w:rFonts w:hint="eastAsia"/>
                      <w:b w:val="0"/>
                      <w:color w:val="auto"/>
                      <w:szCs w:val="21"/>
                      <w:lang w:val="en-US" w:eastAsia="zh-CN"/>
                    </w:rPr>
                    <w:t>0.143</w:t>
                  </w:r>
                </w:p>
              </w:tc>
              <w:tc>
                <w:tcPr>
                  <w:tcW w:w="879" w:type="dxa"/>
                  <w:noWrap w:val="0"/>
                  <w:vAlign w:val="center"/>
                </w:tcPr>
                <w:p w14:paraId="5B03F2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rPr>
                  </w:pPr>
                  <w:r>
                    <w:rPr>
                      <w:rFonts w:hint="eastAsia"/>
                      <w:b w:val="0"/>
                      <w:color w:val="auto"/>
                      <w:szCs w:val="21"/>
                      <w:lang w:val="en-US" w:eastAsia="zh-CN"/>
                    </w:rPr>
                    <w:t>0.165</w:t>
                  </w:r>
                </w:p>
              </w:tc>
              <w:tc>
                <w:tcPr>
                  <w:tcW w:w="879" w:type="dxa"/>
                  <w:noWrap w:val="0"/>
                  <w:vAlign w:val="center"/>
                </w:tcPr>
                <w:p w14:paraId="252FF4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rPr>
                  </w:pPr>
                  <w:r>
                    <w:rPr>
                      <w:rFonts w:hint="eastAsia"/>
                      <w:b w:val="0"/>
                      <w:color w:val="auto"/>
                      <w:szCs w:val="21"/>
                      <w:lang w:val="en-US" w:eastAsia="zh-CN"/>
                    </w:rPr>
                    <w:t>0.15</w:t>
                  </w:r>
                </w:p>
              </w:tc>
              <w:tc>
                <w:tcPr>
                  <w:tcW w:w="875" w:type="dxa"/>
                  <w:noWrap w:val="0"/>
                  <w:vAlign w:val="center"/>
                </w:tcPr>
                <w:p w14:paraId="4203FF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rPr>
                  </w:pPr>
                  <w:r>
                    <w:rPr>
                      <w:rFonts w:hint="eastAsia"/>
                      <w:b w:val="0"/>
                      <w:color w:val="auto"/>
                      <w:szCs w:val="21"/>
                      <w:lang w:val="en-US" w:eastAsia="zh-CN"/>
                    </w:rPr>
                    <w:t>0.165</w:t>
                  </w:r>
                </w:p>
              </w:tc>
              <w:tc>
                <w:tcPr>
                  <w:tcW w:w="1133" w:type="dxa"/>
                  <w:vMerge w:val="restart"/>
                  <w:noWrap w:val="0"/>
                  <w:vAlign w:val="center"/>
                </w:tcPr>
                <w:p w14:paraId="454141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rPr>
                  </w:pPr>
                  <w:r>
                    <w:rPr>
                      <w:rFonts w:hint="eastAsia"/>
                      <w:b w:val="0"/>
                      <w:color w:val="auto"/>
                      <w:szCs w:val="21"/>
                      <w:lang w:val="en-US" w:eastAsia="zh-CN"/>
                    </w:rPr>
                    <w:t>0.5</w:t>
                  </w:r>
                </w:p>
              </w:tc>
            </w:tr>
            <w:tr w14:paraId="001C2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2355CD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28F2F3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7C91E3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3</w:t>
                  </w:r>
                  <w:r>
                    <w:rPr>
                      <w:b w:val="0"/>
                      <w:color w:val="auto"/>
                      <w:szCs w:val="21"/>
                    </w:rPr>
                    <w:t>#</w:t>
                  </w:r>
                </w:p>
              </w:tc>
              <w:tc>
                <w:tcPr>
                  <w:tcW w:w="879" w:type="dxa"/>
                  <w:noWrap w:val="0"/>
                  <w:vAlign w:val="center"/>
                </w:tcPr>
                <w:p w14:paraId="4D410E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0.165</w:t>
                  </w:r>
                </w:p>
              </w:tc>
              <w:tc>
                <w:tcPr>
                  <w:tcW w:w="879" w:type="dxa"/>
                  <w:noWrap w:val="0"/>
                  <w:vAlign w:val="center"/>
                </w:tcPr>
                <w:p w14:paraId="3962BF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0.145</w:t>
                  </w:r>
                </w:p>
              </w:tc>
              <w:tc>
                <w:tcPr>
                  <w:tcW w:w="879" w:type="dxa"/>
                  <w:noWrap w:val="0"/>
                  <w:vAlign w:val="center"/>
                </w:tcPr>
                <w:p w14:paraId="595EAB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0.16</w:t>
                  </w:r>
                </w:p>
              </w:tc>
              <w:tc>
                <w:tcPr>
                  <w:tcW w:w="875" w:type="dxa"/>
                  <w:noWrap w:val="0"/>
                  <w:vAlign w:val="center"/>
                </w:tcPr>
                <w:p w14:paraId="40210D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0.165</w:t>
                  </w:r>
                </w:p>
              </w:tc>
              <w:tc>
                <w:tcPr>
                  <w:tcW w:w="1133" w:type="dxa"/>
                  <w:vMerge w:val="continue"/>
                  <w:noWrap w:val="0"/>
                  <w:vAlign w:val="center"/>
                </w:tcPr>
                <w:p w14:paraId="783159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r>
            <w:tr w14:paraId="18032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0B3036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207C5B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3D11F9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4</w:t>
                  </w:r>
                  <w:r>
                    <w:rPr>
                      <w:b w:val="0"/>
                      <w:color w:val="auto"/>
                      <w:szCs w:val="21"/>
                    </w:rPr>
                    <w:t>#</w:t>
                  </w:r>
                </w:p>
              </w:tc>
              <w:tc>
                <w:tcPr>
                  <w:tcW w:w="879" w:type="dxa"/>
                  <w:noWrap w:val="0"/>
                  <w:vAlign w:val="center"/>
                </w:tcPr>
                <w:p w14:paraId="15F3BA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0.153</w:t>
                  </w:r>
                </w:p>
              </w:tc>
              <w:tc>
                <w:tcPr>
                  <w:tcW w:w="879" w:type="dxa"/>
                  <w:noWrap w:val="0"/>
                  <w:vAlign w:val="center"/>
                </w:tcPr>
                <w:p w14:paraId="27D663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eastAsia="宋体"/>
                      <w:b w:val="0"/>
                      <w:color w:val="auto"/>
                      <w:szCs w:val="21"/>
                      <w:lang w:val="en-US" w:eastAsia="zh-CN"/>
                    </w:rPr>
                    <w:t>0.16</w:t>
                  </w:r>
                </w:p>
              </w:tc>
              <w:tc>
                <w:tcPr>
                  <w:tcW w:w="879" w:type="dxa"/>
                  <w:noWrap w:val="0"/>
                  <w:vAlign w:val="center"/>
                </w:tcPr>
                <w:p w14:paraId="6F6913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0.155</w:t>
                  </w:r>
                </w:p>
              </w:tc>
              <w:tc>
                <w:tcPr>
                  <w:tcW w:w="875" w:type="dxa"/>
                  <w:noWrap w:val="0"/>
                  <w:vAlign w:val="center"/>
                </w:tcPr>
                <w:p w14:paraId="16B087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0.16</w:t>
                  </w:r>
                </w:p>
              </w:tc>
              <w:tc>
                <w:tcPr>
                  <w:tcW w:w="1133" w:type="dxa"/>
                  <w:vMerge w:val="continue"/>
                  <w:noWrap w:val="0"/>
                  <w:vAlign w:val="center"/>
                </w:tcPr>
                <w:p w14:paraId="127E76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r>
            <w:tr w14:paraId="43CC7C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418911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5CC4D0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7FBB4B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val="0"/>
                      <w:color w:val="auto"/>
                      <w:szCs w:val="21"/>
                      <w:lang w:val="en-US" w:eastAsia="zh-CN"/>
                    </w:rPr>
                  </w:pPr>
                  <w:r>
                    <w:rPr>
                      <w:rFonts w:hint="eastAsia"/>
                      <w:b w:val="0"/>
                      <w:color w:val="auto"/>
                      <w:szCs w:val="21"/>
                      <w:lang w:val="en-US" w:eastAsia="zh-CN"/>
                    </w:rPr>
                    <w:t>厂区内</w:t>
                  </w:r>
                </w:p>
              </w:tc>
              <w:tc>
                <w:tcPr>
                  <w:tcW w:w="879" w:type="dxa"/>
                  <w:noWrap w:val="0"/>
                  <w:vAlign w:val="center"/>
                </w:tcPr>
                <w:p w14:paraId="45EBED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0.16</w:t>
                  </w:r>
                </w:p>
              </w:tc>
              <w:tc>
                <w:tcPr>
                  <w:tcW w:w="879" w:type="dxa"/>
                  <w:noWrap w:val="0"/>
                  <w:vAlign w:val="center"/>
                </w:tcPr>
                <w:p w14:paraId="3A86B6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0.157</w:t>
                  </w:r>
                </w:p>
              </w:tc>
              <w:tc>
                <w:tcPr>
                  <w:tcW w:w="879" w:type="dxa"/>
                  <w:noWrap w:val="0"/>
                  <w:vAlign w:val="center"/>
                </w:tcPr>
                <w:p w14:paraId="1F5D1B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0.163</w:t>
                  </w:r>
                </w:p>
              </w:tc>
              <w:tc>
                <w:tcPr>
                  <w:tcW w:w="875" w:type="dxa"/>
                  <w:noWrap w:val="0"/>
                  <w:vAlign w:val="center"/>
                </w:tcPr>
                <w:p w14:paraId="305F69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0.163</w:t>
                  </w:r>
                </w:p>
              </w:tc>
              <w:tc>
                <w:tcPr>
                  <w:tcW w:w="1133" w:type="dxa"/>
                  <w:noWrap w:val="0"/>
                  <w:vAlign w:val="center"/>
                </w:tcPr>
                <w:p w14:paraId="558769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5.0</w:t>
                  </w:r>
                </w:p>
              </w:tc>
            </w:tr>
            <w:tr w14:paraId="20D8E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restart"/>
                  <w:noWrap w:val="0"/>
                  <w:vAlign w:val="center"/>
                </w:tcPr>
                <w:p w14:paraId="1A433E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2024.3.1</w:t>
                  </w:r>
                </w:p>
              </w:tc>
              <w:tc>
                <w:tcPr>
                  <w:tcW w:w="646" w:type="dxa"/>
                  <w:vMerge w:val="restart"/>
                  <w:noWrap w:val="0"/>
                  <w:vAlign w:val="center"/>
                </w:tcPr>
                <w:p w14:paraId="284F10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val="0"/>
                      <w:color w:val="auto"/>
                      <w:szCs w:val="21"/>
                      <w:lang w:val="en-US" w:eastAsia="zh-CN"/>
                    </w:rPr>
                  </w:pPr>
                  <w:r>
                    <w:rPr>
                      <w:rFonts w:hint="eastAsia"/>
                      <w:b w:val="0"/>
                      <w:color w:val="auto"/>
                      <w:szCs w:val="21"/>
                      <w:lang w:val="en-US" w:eastAsia="zh-CN"/>
                    </w:rPr>
                    <w:t>非甲烷总烃</w:t>
                  </w:r>
                </w:p>
              </w:tc>
              <w:tc>
                <w:tcPr>
                  <w:tcW w:w="2050" w:type="dxa"/>
                  <w:noWrap w:val="0"/>
                  <w:vAlign w:val="center"/>
                </w:tcPr>
                <w:p w14:paraId="290985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上风向</w:t>
                  </w:r>
                  <w:r>
                    <w:rPr>
                      <w:rFonts w:hint="eastAsia"/>
                      <w:b w:val="0"/>
                      <w:color w:val="auto"/>
                      <w:szCs w:val="21"/>
                      <w:lang w:val="en-US" w:eastAsia="zh-CN"/>
                    </w:rPr>
                    <w:t>1</w:t>
                  </w:r>
                  <w:r>
                    <w:rPr>
                      <w:b w:val="0"/>
                      <w:color w:val="auto"/>
                      <w:szCs w:val="21"/>
                    </w:rPr>
                    <w:t>#</w:t>
                  </w:r>
                </w:p>
              </w:tc>
              <w:tc>
                <w:tcPr>
                  <w:tcW w:w="879" w:type="dxa"/>
                  <w:noWrap w:val="0"/>
                  <w:vAlign w:val="center"/>
                </w:tcPr>
                <w:p w14:paraId="67EDCA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2.21</w:t>
                  </w:r>
                </w:p>
              </w:tc>
              <w:tc>
                <w:tcPr>
                  <w:tcW w:w="879" w:type="dxa"/>
                  <w:noWrap w:val="0"/>
                  <w:vAlign w:val="center"/>
                </w:tcPr>
                <w:p w14:paraId="773493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0.24</w:t>
                  </w:r>
                </w:p>
              </w:tc>
              <w:tc>
                <w:tcPr>
                  <w:tcW w:w="879" w:type="dxa"/>
                  <w:noWrap w:val="0"/>
                  <w:vAlign w:val="center"/>
                </w:tcPr>
                <w:p w14:paraId="7FFB7C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0.21</w:t>
                  </w:r>
                </w:p>
              </w:tc>
              <w:tc>
                <w:tcPr>
                  <w:tcW w:w="875" w:type="dxa"/>
                  <w:noWrap w:val="0"/>
                  <w:vAlign w:val="center"/>
                </w:tcPr>
                <w:p w14:paraId="3CF5BB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0.24</w:t>
                  </w:r>
                </w:p>
              </w:tc>
              <w:tc>
                <w:tcPr>
                  <w:tcW w:w="1133" w:type="dxa"/>
                  <w:noWrap w:val="0"/>
                  <w:vAlign w:val="center"/>
                </w:tcPr>
                <w:p w14:paraId="698359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val="0"/>
                      <w:color w:val="auto"/>
                      <w:szCs w:val="21"/>
                      <w:lang w:val="en-US" w:eastAsia="zh-CN"/>
                    </w:rPr>
                  </w:pPr>
                  <w:r>
                    <w:rPr>
                      <w:rFonts w:hint="eastAsia"/>
                      <w:b w:val="0"/>
                      <w:color w:val="auto"/>
                      <w:szCs w:val="21"/>
                      <w:lang w:val="en-US" w:eastAsia="zh-CN"/>
                    </w:rPr>
                    <w:t>/</w:t>
                  </w:r>
                </w:p>
              </w:tc>
            </w:tr>
            <w:tr w14:paraId="0521D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443B30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172EF3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6D75F5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2</w:t>
                  </w:r>
                  <w:r>
                    <w:rPr>
                      <w:b w:val="0"/>
                      <w:color w:val="auto"/>
                      <w:szCs w:val="21"/>
                    </w:rPr>
                    <w:t>#</w:t>
                  </w:r>
                </w:p>
              </w:tc>
              <w:tc>
                <w:tcPr>
                  <w:tcW w:w="879" w:type="dxa"/>
                  <w:noWrap w:val="0"/>
                  <w:vAlign w:val="center"/>
                </w:tcPr>
                <w:p w14:paraId="3F36636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0.26</w:t>
                  </w:r>
                </w:p>
              </w:tc>
              <w:tc>
                <w:tcPr>
                  <w:tcW w:w="879" w:type="dxa"/>
                  <w:noWrap w:val="0"/>
                  <w:vAlign w:val="center"/>
                </w:tcPr>
                <w:p w14:paraId="1E98BFB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0.27</w:t>
                  </w:r>
                </w:p>
              </w:tc>
              <w:tc>
                <w:tcPr>
                  <w:tcW w:w="879" w:type="dxa"/>
                  <w:noWrap w:val="0"/>
                  <w:vAlign w:val="center"/>
                </w:tcPr>
                <w:p w14:paraId="752087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875" w:type="dxa"/>
                  <w:noWrap w:val="0"/>
                  <w:vAlign w:val="center"/>
                </w:tcPr>
                <w:p w14:paraId="011186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1133" w:type="dxa"/>
                  <w:vMerge w:val="restart"/>
                  <w:noWrap w:val="0"/>
                  <w:vAlign w:val="center"/>
                </w:tcPr>
                <w:p w14:paraId="1CF8F5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4.0</w:t>
                  </w:r>
                </w:p>
              </w:tc>
            </w:tr>
            <w:tr w14:paraId="6C2F8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63FB444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046AFD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1C7C63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3</w:t>
                  </w:r>
                  <w:r>
                    <w:rPr>
                      <w:b w:val="0"/>
                      <w:color w:val="auto"/>
                      <w:szCs w:val="21"/>
                    </w:rPr>
                    <w:t>#</w:t>
                  </w:r>
                </w:p>
              </w:tc>
              <w:tc>
                <w:tcPr>
                  <w:tcW w:w="879" w:type="dxa"/>
                  <w:noWrap w:val="0"/>
                  <w:vAlign w:val="center"/>
                </w:tcPr>
                <w:p w14:paraId="298B5A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0.24</w:t>
                  </w:r>
                </w:p>
              </w:tc>
              <w:tc>
                <w:tcPr>
                  <w:tcW w:w="879" w:type="dxa"/>
                  <w:noWrap w:val="0"/>
                  <w:vAlign w:val="center"/>
                </w:tcPr>
                <w:p w14:paraId="10FA0D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879" w:type="dxa"/>
                  <w:noWrap w:val="0"/>
                  <w:vAlign w:val="center"/>
                </w:tcPr>
                <w:p w14:paraId="088460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0.29</w:t>
                  </w:r>
                </w:p>
              </w:tc>
              <w:tc>
                <w:tcPr>
                  <w:tcW w:w="875" w:type="dxa"/>
                  <w:noWrap w:val="0"/>
                  <w:vAlign w:val="center"/>
                </w:tcPr>
                <w:p w14:paraId="0DC6B1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1133" w:type="dxa"/>
                  <w:vMerge w:val="continue"/>
                  <w:noWrap w:val="0"/>
                  <w:vAlign w:val="center"/>
                </w:tcPr>
                <w:p w14:paraId="590587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r>
            <w:tr w14:paraId="6166F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46F6C20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0E44120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218F14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b w:val="0"/>
                      <w:color w:val="auto"/>
                      <w:szCs w:val="21"/>
                    </w:rPr>
                    <w:t>下风向</w:t>
                  </w:r>
                  <w:r>
                    <w:rPr>
                      <w:rFonts w:hint="eastAsia"/>
                      <w:b w:val="0"/>
                      <w:color w:val="auto"/>
                      <w:szCs w:val="21"/>
                      <w:lang w:val="en-US" w:eastAsia="zh-CN"/>
                    </w:rPr>
                    <w:t>4</w:t>
                  </w:r>
                  <w:r>
                    <w:rPr>
                      <w:b w:val="0"/>
                      <w:color w:val="auto"/>
                      <w:szCs w:val="21"/>
                    </w:rPr>
                    <w:t>#</w:t>
                  </w:r>
                </w:p>
              </w:tc>
              <w:tc>
                <w:tcPr>
                  <w:tcW w:w="879" w:type="dxa"/>
                  <w:noWrap w:val="0"/>
                  <w:vAlign w:val="center"/>
                </w:tcPr>
                <w:p w14:paraId="74ACCC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0.27</w:t>
                  </w:r>
                </w:p>
              </w:tc>
              <w:tc>
                <w:tcPr>
                  <w:tcW w:w="879" w:type="dxa"/>
                  <w:noWrap w:val="0"/>
                  <w:vAlign w:val="center"/>
                </w:tcPr>
                <w:p w14:paraId="7995FD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0.33</w:t>
                  </w:r>
                </w:p>
              </w:tc>
              <w:tc>
                <w:tcPr>
                  <w:tcW w:w="879" w:type="dxa"/>
                  <w:noWrap w:val="0"/>
                  <w:vAlign w:val="center"/>
                </w:tcPr>
                <w:p w14:paraId="0D5B615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0.34</w:t>
                  </w:r>
                </w:p>
              </w:tc>
              <w:tc>
                <w:tcPr>
                  <w:tcW w:w="875" w:type="dxa"/>
                  <w:noWrap w:val="0"/>
                  <w:vAlign w:val="center"/>
                </w:tcPr>
                <w:p w14:paraId="037500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0.34</w:t>
                  </w:r>
                </w:p>
              </w:tc>
              <w:tc>
                <w:tcPr>
                  <w:tcW w:w="1133" w:type="dxa"/>
                  <w:vMerge w:val="continue"/>
                  <w:noWrap w:val="0"/>
                  <w:vAlign w:val="center"/>
                </w:tcPr>
                <w:p w14:paraId="387089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r>
            <w:tr w14:paraId="1FCD8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46A4E7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4DF892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353221A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r>
                    <w:rPr>
                      <w:rFonts w:hint="eastAsia"/>
                      <w:b w:val="0"/>
                      <w:color w:val="auto"/>
                      <w:szCs w:val="21"/>
                      <w:lang w:val="en-US" w:eastAsia="zh-CN"/>
                    </w:rPr>
                    <w:t>厂区内（任意一次值）</w:t>
                  </w:r>
                </w:p>
              </w:tc>
              <w:tc>
                <w:tcPr>
                  <w:tcW w:w="879" w:type="dxa"/>
                  <w:noWrap w:val="0"/>
                  <w:vAlign w:val="center"/>
                </w:tcPr>
                <w:p w14:paraId="40F381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0.33</w:t>
                  </w:r>
                </w:p>
              </w:tc>
              <w:tc>
                <w:tcPr>
                  <w:tcW w:w="879" w:type="dxa"/>
                  <w:noWrap w:val="0"/>
                  <w:vAlign w:val="center"/>
                </w:tcPr>
                <w:p w14:paraId="2A5040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0.34</w:t>
                  </w:r>
                </w:p>
              </w:tc>
              <w:tc>
                <w:tcPr>
                  <w:tcW w:w="879" w:type="dxa"/>
                  <w:noWrap w:val="0"/>
                  <w:vAlign w:val="center"/>
                </w:tcPr>
                <w:p w14:paraId="110906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875" w:type="dxa"/>
                  <w:noWrap w:val="0"/>
                  <w:vAlign w:val="center"/>
                </w:tcPr>
                <w:p w14:paraId="286C96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0.34</w:t>
                  </w:r>
                </w:p>
              </w:tc>
              <w:tc>
                <w:tcPr>
                  <w:tcW w:w="1133" w:type="dxa"/>
                  <w:noWrap w:val="0"/>
                  <w:vAlign w:val="center"/>
                </w:tcPr>
                <w:p w14:paraId="70E37A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宋体"/>
                      <w:b w:val="0"/>
                      <w:color w:val="auto"/>
                      <w:szCs w:val="21"/>
                      <w:lang w:val="en-US" w:eastAsia="zh-CN"/>
                    </w:rPr>
                  </w:pPr>
                  <w:r>
                    <w:rPr>
                      <w:rFonts w:hint="eastAsia"/>
                      <w:b w:val="0"/>
                      <w:color w:val="auto"/>
                      <w:szCs w:val="21"/>
                      <w:lang w:val="en-US" w:eastAsia="zh-CN"/>
                    </w:rPr>
                    <w:t>20</w:t>
                  </w:r>
                </w:p>
              </w:tc>
            </w:tr>
            <w:tr w14:paraId="334CB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dxa"/>
                  <w:vMerge w:val="continue"/>
                  <w:noWrap w:val="0"/>
                  <w:vAlign w:val="center"/>
                </w:tcPr>
                <w:p w14:paraId="0107AC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646" w:type="dxa"/>
                  <w:vMerge w:val="continue"/>
                  <w:noWrap w:val="0"/>
                  <w:vAlign w:val="center"/>
                </w:tcPr>
                <w:p w14:paraId="44C234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val="0"/>
                      <w:color w:val="auto"/>
                      <w:szCs w:val="21"/>
                    </w:rPr>
                  </w:pPr>
                </w:p>
              </w:tc>
              <w:tc>
                <w:tcPr>
                  <w:tcW w:w="2050" w:type="dxa"/>
                  <w:noWrap w:val="0"/>
                  <w:vAlign w:val="center"/>
                </w:tcPr>
                <w:p w14:paraId="36F721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val="0"/>
                      <w:color w:val="auto"/>
                      <w:szCs w:val="21"/>
                      <w:lang w:val="en-US" w:eastAsia="zh-CN"/>
                    </w:rPr>
                  </w:pPr>
                  <w:r>
                    <w:rPr>
                      <w:rFonts w:hint="eastAsia"/>
                      <w:b w:val="0"/>
                      <w:color w:val="auto"/>
                      <w:szCs w:val="21"/>
                      <w:lang w:val="en-US" w:eastAsia="zh-CN"/>
                    </w:rPr>
                    <w:t>厂区内（1h平均值）</w:t>
                  </w:r>
                </w:p>
              </w:tc>
              <w:tc>
                <w:tcPr>
                  <w:tcW w:w="879" w:type="dxa"/>
                  <w:noWrap w:val="0"/>
                  <w:vAlign w:val="center"/>
                </w:tcPr>
                <w:p w14:paraId="07BD7D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0.30</w:t>
                  </w:r>
                </w:p>
              </w:tc>
              <w:tc>
                <w:tcPr>
                  <w:tcW w:w="879" w:type="dxa"/>
                  <w:noWrap w:val="0"/>
                  <w:vAlign w:val="center"/>
                </w:tcPr>
                <w:p w14:paraId="46B382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0.28</w:t>
                  </w:r>
                </w:p>
              </w:tc>
              <w:tc>
                <w:tcPr>
                  <w:tcW w:w="879" w:type="dxa"/>
                  <w:noWrap w:val="0"/>
                  <w:vAlign w:val="center"/>
                </w:tcPr>
                <w:p w14:paraId="364589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0.28</w:t>
                  </w:r>
                </w:p>
              </w:tc>
              <w:tc>
                <w:tcPr>
                  <w:tcW w:w="875" w:type="dxa"/>
                  <w:noWrap w:val="0"/>
                  <w:vAlign w:val="center"/>
                </w:tcPr>
                <w:p w14:paraId="4D9B2E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val="0"/>
                      <w:color w:val="auto"/>
                      <w:szCs w:val="21"/>
                      <w:lang w:val="en-US" w:eastAsia="zh-CN"/>
                    </w:rPr>
                  </w:pPr>
                  <w:r>
                    <w:rPr>
                      <w:rFonts w:hint="eastAsia"/>
                      <w:b w:val="0"/>
                      <w:color w:val="auto"/>
                      <w:szCs w:val="21"/>
                      <w:lang w:val="en-US" w:eastAsia="zh-CN"/>
                    </w:rPr>
                    <w:t>0.3</w:t>
                  </w:r>
                </w:p>
              </w:tc>
              <w:tc>
                <w:tcPr>
                  <w:tcW w:w="1133" w:type="dxa"/>
                  <w:noWrap w:val="0"/>
                  <w:vAlign w:val="center"/>
                </w:tcPr>
                <w:p w14:paraId="56A5499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val="0"/>
                      <w:color w:val="auto"/>
                      <w:szCs w:val="21"/>
                      <w:lang w:val="en-US" w:eastAsia="zh-CN"/>
                    </w:rPr>
                  </w:pPr>
                  <w:r>
                    <w:rPr>
                      <w:rFonts w:hint="eastAsia"/>
                      <w:b w:val="0"/>
                      <w:color w:val="auto"/>
                      <w:szCs w:val="21"/>
                      <w:lang w:val="en-US" w:eastAsia="zh-CN"/>
                    </w:rPr>
                    <w:t>6</w:t>
                  </w:r>
                </w:p>
              </w:tc>
            </w:tr>
          </w:tbl>
          <w:p w14:paraId="51FD2047">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b w:val="0"/>
                <w:color w:val="auto"/>
                <w:szCs w:val="24"/>
                <w:highlight w:val="none"/>
                <w:lang w:val="en-US" w:eastAsia="zh-CN"/>
              </w:rPr>
            </w:pPr>
            <w:r>
              <w:rPr>
                <w:rFonts w:hint="eastAsia" w:ascii="Times New Roman" w:hAnsi="Times New Roman"/>
                <w:b w:val="0"/>
                <w:color w:val="auto"/>
                <w:szCs w:val="24"/>
                <w:highlight w:val="none"/>
                <w:lang w:val="en-US" w:eastAsia="zh-CN"/>
              </w:rPr>
              <w:t>原有项目已按照排污许可要求进行了例行监测，具体监测数据见附件，由监测数据可知，原有项目污染防治设施运行稳定，废气污染物可达标排放。</w:t>
            </w:r>
          </w:p>
          <w:p w14:paraId="7F47D061">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b w:val="0"/>
                <w:color w:val="auto"/>
                <w:szCs w:val="24"/>
                <w:highlight w:val="none"/>
                <w:lang w:val="en-US" w:eastAsia="zh-CN"/>
              </w:rPr>
            </w:pPr>
            <w:r>
              <w:rPr>
                <w:rFonts w:hint="eastAsia" w:ascii="Times New Roman" w:hAnsi="Times New Roman"/>
                <w:b w:val="0"/>
                <w:color w:val="auto"/>
                <w:szCs w:val="24"/>
                <w:highlight w:val="none"/>
                <w:lang w:val="en-US" w:eastAsia="zh-CN"/>
              </w:rPr>
              <w:t>由于原有项目环评较早，注塑废气未考虑特征因子的产排污情况，本次环评纳入本报告进行补充核算，具体产污系数见下表。</w:t>
            </w:r>
          </w:p>
          <w:p w14:paraId="2B753197">
            <w:pPr>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hint="default" w:eastAsia="宋体"/>
                <w:b/>
                <w:bCs/>
                <w:color w:val="auto"/>
                <w:sz w:val="21"/>
                <w:szCs w:val="21"/>
                <w:lang w:val="en-US" w:eastAsia="zh-CN"/>
              </w:rPr>
            </w:pPr>
            <w:r>
              <w:rPr>
                <w:b/>
                <w:bCs/>
                <w:color w:val="auto"/>
                <w:sz w:val="21"/>
                <w:szCs w:val="21"/>
              </w:rPr>
              <w:t>表</w:t>
            </w:r>
            <w:r>
              <w:rPr>
                <w:rFonts w:hint="eastAsia"/>
                <w:b/>
                <w:bCs/>
                <w:color w:val="auto"/>
                <w:sz w:val="21"/>
                <w:szCs w:val="21"/>
                <w:lang w:val="en-US" w:eastAsia="zh-CN"/>
              </w:rPr>
              <w:t>2.3</w:t>
            </w:r>
            <w:r>
              <w:rPr>
                <w:b/>
                <w:bCs/>
                <w:color w:val="auto"/>
                <w:sz w:val="21"/>
                <w:szCs w:val="21"/>
              </w:rPr>
              <w:t>-</w:t>
            </w:r>
            <w:r>
              <w:rPr>
                <w:rFonts w:hint="eastAsia"/>
                <w:b/>
                <w:bCs/>
                <w:color w:val="auto"/>
                <w:sz w:val="21"/>
                <w:szCs w:val="21"/>
                <w:lang w:val="en-US" w:eastAsia="zh-CN"/>
              </w:rPr>
              <w:t>6</w:t>
            </w:r>
            <w:r>
              <w:rPr>
                <w:b/>
                <w:bCs/>
                <w:color w:val="auto"/>
                <w:sz w:val="21"/>
                <w:szCs w:val="21"/>
              </w:rPr>
              <w:t xml:space="preserve">  </w:t>
            </w:r>
            <w:r>
              <w:rPr>
                <w:rFonts w:hint="eastAsia"/>
                <w:b/>
                <w:bCs/>
                <w:color w:val="auto"/>
                <w:sz w:val="21"/>
                <w:szCs w:val="21"/>
                <w:lang w:val="en-US" w:eastAsia="zh-CN"/>
              </w:rPr>
              <w:t>原有项目注塑废气特征因子产排污系数表</w:t>
            </w:r>
          </w:p>
          <w:tbl>
            <w:tblPr>
              <w:tblStyle w:val="22"/>
              <w:tblW w:w="83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96"/>
              <w:gridCol w:w="1198"/>
              <w:gridCol w:w="3195"/>
              <w:gridCol w:w="1165"/>
              <w:gridCol w:w="1018"/>
            </w:tblGrid>
            <w:tr w14:paraId="282B0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636B0E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塑料粒子类型</w:t>
                  </w:r>
                </w:p>
              </w:tc>
              <w:tc>
                <w:tcPr>
                  <w:tcW w:w="900" w:type="dxa"/>
                  <w:tcBorders>
                    <w:tl2br w:val="nil"/>
                    <w:tr2bl w:val="nil"/>
                  </w:tcBorders>
                  <w:vAlign w:val="center"/>
                </w:tcPr>
                <w:p w14:paraId="09E48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w:t>
                  </w:r>
                </w:p>
              </w:tc>
              <w:tc>
                <w:tcPr>
                  <w:tcW w:w="1166" w:type="dxa"/>
                  <w:tcBorders>
                    <w:tl2br w:val="nil"/>
                    <w:tr2bl w:val="nil"/>
                  </w:tcBorders>
                  <w:vAlign w:val="center"/>
                </w:tcPr>
                <w:p w14:paraId="5EFA8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产污系数（mg/kg）</w:t>
                  </w:r>
                </w:p>
              </w:tc>
              <w:tc>
                <w:tcPr>
                  <w:tcW w:w="3217" w:type="dxa"/>
                  <w:tcBorders>
                    <w:tl2br w:val="nil"/>
                    <w:tr2bl w:val="nil"/>
                  </w:tcBorders>
                  <w:vAlign w:val="center"/>
                </w:tcPr>
                <w:p w14:paraId="59F0D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系数来源</w:t>
                  </w:r>
                </w:p>
              </w:tc>
              <w:tc>
                <w:tcPr>
                  <w:tcW w:w="1168" w:type="dxa"/>
                  <w:tcBorders>
                    <w:tl2br w:val="nil"/>
                    <w:tr2bl w:val="nil"/>
                  </w:tcBorders>
                  <w:vAlign w:val="center"/>
                </w:tcPr>
                <w:p w14:paraId="08B09C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塑料粒子用量（t/a）</w:t>
                  </w:r>
                </w:p>
              </w:tc>
              <w:tc>
                <w:tcPr>
                  <w:tcW w:w="1019" w:type="dxa"/>
                  <w:tcBorders>
                    <w:tl2br w:val="nil"/>
                    <w:tr2bl w:val="nil"/>
                  </w:tcBorders>
                  <w:vAlign w:val="center"/>
                </w:tcPr>
                <w:p w14:paraId="63C46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产生量（t/a）</w:t>
                  </w:r>
                </w:p>
              </w:tc>
            </w:tr>
            <w:tr w14:paraId="79A3C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vMerge w:val="restart"/>
                  <w:tcBorders>
                    <w:tl2br w:val="nil"/>
                    <w:tr2bl w:val="nil"/>
                  </w:tcBorders>
                  <w:vAlign w:val="center"/>
                </w:tcPr>
                <w:p w14:paraId="295BCE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ABS</w:t>
                  </w:r>
                </w:p>
              </w:tc>
              <w:tc>
                <w:tcPr>
                  <w:tcW w:w="900" w:type="dxa"/>
                  <w:tcBorders>
                    <w:tl2br w:val="nil"/>
                    <w:tr2bl w:val="nil"/>
                  </w:tcBorders>
                  <w:vAlign w:val="center"/>
                </w:tcPr>
                <w:p w14:paraId="49E5E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苯乙烯</w:t>
                  </w:r>
                </w:p>
              </w:tc>
              <w:tc>
                <w:tcPr>
                  <w:tcW w:w="1166" w:type="dxa"/>
                  <w:tcBorders>
                    <w:tl2br w:val="nil"/>
                    <w:tr2bl w:val="nil"/>
                  </w:tcBorders>
                  <w:vAlign w:val="center"/>
                </w:tcPr>
                <w:p w14:paraId="3C50FE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25.55</w:t>
                  </w:r>
                </w:p>
              </w:tc>
              <w:tc>
                <w:tcPr>
                  <w:tcW w:w="3217" w:type="dxa"/>
                  <w:vMerge w:val="restart"/>
                  <w:tcBorders>
                    <w:tl2br w:val="nil"/>
                    <w:tr2bl w:val="nil"/>
                  </w:tcBorders>
                  <w:vAlign w:val="center"/>
                </w:tcPr>
                <w:p w14:paraId="07835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《丙烯腈-丁二烯~苯乙烯塑料残留单体含量的研究》（李丽，炼油与化工.2016年第6期）</w:t>
                  </w:r>
                </w:p>
              </w:tc>
              <w:tc>
                <w:tcPr>
                  <w:tcW w:w="1168" w:type="dxa"/>
                  <w:vMerge w:val="restart"/>
                  <w:tcBorders>
                    <w:tl2br w:val="nil"/>
                    <w:tr2bl w:val="nil"/>
                  </w:tcBorders>
                  <w:vAlign w:val="center"/>
                </w:tcPr>
                <w:p w14:paraId="7F19C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240</w:t>
                  </w:r>
                </w:p>
              </w:tc>
              <w:tc>
                <w:tcPr>
                  <w:tcW w:w="1019" w:type="dxa"/>
                  <w:tcBorders>
                    <w:tl2br w:val="nil"/>
                    <w:tr2bl w:val="nil"/>
                  </w:tcBorders>
                  <w:vAlign w:val="center"/>
                </w:tcPr>
                <w:p w14:paraId="14B4C7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0.0061</w:t>
                  </w:r>
                </w:p>
              </w:tc>
            </w:tr>
            <w:tr w14:paraId="234A9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vMerge w:val="continue"/>
                  <w:tcBorders>
                    <w:tl2br w:val="nil"/>
                    <w:tr2bl w:val="nil"/>
                  </w:tcBorders>
                  <w:vAlign w:val="center"/>
                </w:tcPr>
                <w:p w14:paraId="64A36A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00" w:type="dxa"/>
                  <w:tcBorders>
                    <w:tl2br w:val="nil"/>
                    <w:tr2bl w:val="nil"/>
                  </w:tcBorders>
                  <w:vAlign w:val="center"/>
                </w:tcPr>
                <w:p w14:paraId="1A9460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丙烯腈</w:t>
                  </w:r>
                </w:p>
              </w:tc>
              <w:tc>
                <w:tcPr>
                  <w:tcW w:w="1166" w:type="dxa"/>
                  <w:tcBorders>
                    <w:tl2br w:val="nil"/>
                    <w:tr2bl w:val="nil"/>
                  </w:tcBorders>
                  <w:vAlign w:val="center"/>
                </w:tcPr>
                <w:p w14:paraId="4AB0F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10.63</w:t>
                  </w:r>
                </w:p>
              </w:tc>
              <w:tc>
                <w:tcPr>
                  <w:tcW w:w="3217" w:type="dxa"/>
                  <w:vMerge w:val="continue"/>
                  <w:tcBorders>
                    <w:tl2br w:val="nil"/>
                    <w:tr2bl w:val="nil"/>
                  </w:tcBorders>
                  <w:vAlign w:val="center"/>
                </w:tcPr>
                <w:p w14:paraId="7F1AF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68" w:type="dxa"/>
                  <w:vMerge w:val="continue"/>
                  <w:tcBorders>
                    <w:tl2br w:val="nil"/>
                    <w:tr2bl w:val="nil"/>
                  </w:tcBorders>
                  <w:vAlign w:val="center"/>
                </w:tcPr>
                <w:p w14:paraId="3EEAF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019" w:type="dxa"/>
                  <w:tcBorders>
                    <w:tl2br w:val="nil"/>
                    <w:tr2bl w:val="nil"/>
                  </w:tcBorders>
                  <w:vAlign w:val="center"/>
                </w:tcPr>
                <w:p w14:paraId="2E737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0.0026</w:t>
                  </w:r>
                </w:p>
              </w:tc>
            </w:tr>
            <w:tr w14:paraId="3FDAF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vMerge w:val="continue"/>
                  <w:tcBorders>
                    <w:tl2br w:val="nil"/>
                    <w:tr2bl w:val="nil"/>
                  </w:tcBorders>
                  <w:vAlign w:val="center"/>
                </w:tcPr>
                <w:p w14:paraId="45CDC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900" w:type="dxa"/>
                  <w:tcBorders>
                    <w:tl2br w:val="nil"/>
                    <w:tr2bl w:val="nil"/>
                  </w:tcBorders>
                  <w:vAlign w:val="center"/>
                </w:tcPr>
                <w:p w14:paraId="15E795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1，3-丁二烯</w:t>
                  </w:r>
                </w:p>
              </w:tc>
              <w:tc>
                <w:tcPr>
                  <w:tcW w:w="1166" w:type="dxa"/>
                  <w:tcBorders>
                    <w:tl2br w:val="nil"/>
                    <w:tr2bl w:val="nil"/>
                  </w:tcBorders>
                  <w:vAlign w:val="center"/>
                </w:tcPr>
                <w:p w14:paraId="2997F8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4.31</w:t>
                  </w:r>
                </w:p>
              </w:tc>
              <w:tc>
                <w:tcPr>
                  <w:tcW w:w="3217" w:type="dxa"/>
                  <w:tcBorders>
                    <w:tl2br w:val="nil"/>
                    <w:tr2bl w:val="nil"/>
                  </w:tcBorders>
                  <w:vAlign w:val="center"/>
                </w:tcPr>
                <w:p w14:paraId="6A555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《PS 和 ABS 制品中1,3-丁二烯残留量的测定》（陈旭明，刘贵深，候晓东，塑料包装，</w:t>
                  </w:r>
                  <w:r>
                    <w:rPr>
                      <w:rFonts w:hint="eastAsia"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val="en-US" w:eastAsia="zh-CN"/>
                    </w:rPr>
                    <w:t>018 年第28卷第3期）</w:t>
                  </w:r>
                </w:p>
              </w:tc>
              <w:tc>
                <w:tcPr>
                  <w:tcW w:w="1168" w:type="dxa"/>
                  <w:vMerge w:val="continue"/>
                  <w:tcBorders>
                    <w:tl2br w:val="nil"/>
                    <w:tr2bl w:val="nil"/>
                  </w:tcBorders>
                  <w:vAlign w:val="center"/>
                </w:tcPr>
                <w:p w14:paraId="0DA4D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019" w:type="dxa"/>
                  <w:tcBorders>
                    <w:tl2br w:val="nil"/>
                    <w:tr2bl w:val="nil"/>
                  </w:tcBorders>
                  <w:vAlign w:val="center"/>
                </w:tcPr>
                <w:p w14:paraId="05A9B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0.001</w:t>
                  </w:r>
                </w:p>
              </w:tc>
            </w:tr>
            <w:tr w14:paraId="434E4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5" w:type="dxa"/>
                  <w:tcBorders>
                    <w:tl2br w:val="nil"/>
                    <w:tr2bl w:val="nil"/>
                  </w:tcBorders>
                  <w:vAlign w:val="center"/>
                </w:tcPr>
                <w:p w14:paraId="3E4DB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PA66</w:t>
                  </w:r>
                </w:p>
              </w:tc>
              <w:tc>
                <w:tcPr>
                  <w:tcW w:w="900" w:type="dxa"/>
                  <w:tcBorders>
                    <w:tl2br w:val="nil"/>
                    <w:tr2bl w:val="nil"/>
                  </w:tcBorders>
                  <w:vAlign w:val="center"/>
                </w:tcPr>
                <w:p w14:paraId="29E11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氨</w:t>
                  </w:r>
                </w:p>
              </w:tc>
              <w:tc>
                <w:tcPr>
                  <w:tcW w:w="1166" w:type="dxa"/>
                  <w:tcBorders>
                    <w:tl2br w:val="nil"/>
                    <w:tr2bl w:val="nil"/>
                  </w:tcBorders>
                  <w:vAlign w:val="center"/>
                </w:tcPr>
                <w:p w14:paraId="0BF921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c>
                <w:tcPr>
                  <w:tcW w:w="3217" w:type="dxa"/>
                  <w:tcBorders>
                    <w:tl2br w:val="nil"/>
                    <w:tr2bl w:val="nil"/>
                  </w:tcBorders>
                  <w:vAlign w:val="center"/>
                </w:tcPr>
                <w:p w14:paraId="698CF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《气相色谱法测定聚酰胺树脂中己内酰胺残留量》</w:t>
                  </w:r>
                </w:p>
              </w:tc>
              <w:tc>
                <w:tcPr>
                  <w:tcW w:w="1168" w:type="dxa"/>
                  <w:tcBorders>
                    <w:tl2br w:val="nil"/>
                    <w:tr2bl w:val="nil"/>
                  </w:tcBorders>
                  <w:vAlign w:val="center"/>
                </w:tcPr>
                <w:p w14:paraId="2C1EB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400</w:t>
                  </w:r>
                </w:p>
              </w:tc>
              <w:tc>
                <w:tcPr>
                  <w:tcW w:w="1019" w:type="dxa"/>
                  <w:tcBorders>
                    <w:tl2br w:val="nil"/>
                    <w:tr2bl w:val="nil"/>
                  </w:tcBorders>
                  <w:vAlign w:val="center"/>
                </w:tcPr>
                <w:p w14:paraId="0EF42C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0.008</w:t>
                  </w:r>
                </w:p>
              </w:tc>
            </w:tr>
          </w:tbl>
          <w:p w14:paraId="51C6F9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根据上表计算可知，原有项目注塑废气中各特征因子产生量极小，经二级活性炭吸附装置处理后排放量微乎其微，对周围环境影响极小，本次不作定量分析</w:t>
            </w:r>
            <w:r>
              <w:rPr>
                <w:rFonts w:hint="eastAsia" w:ascii="Times New Roman" w:hAnsi="Times New Roman" w:eastAsia="宋体" w:cs="Times New Roman"/>
                <w:b w:val="0"/>
                <w:bCs w:val="0"/>
                <w:color w:val="auto"/>
                <w:sz w:val="24"/>
                <w:szCs w:val="24"/>
                <w:lang w:val="en-US" w:eastAsia="zh-CN"/>
              </w:rPr>
              <w:t>。</w:t>
            </w:r>
          </w:p>
          <w:p w14:paraId="422735C2">
            <w:pPr>
              <w:spacing w:line="360" w:lineRule="auto"/>
              <w:ind w:firstLine="480" w:firstLineChars="200"/>
              <w:rPr>
                <w:b w:val="0"/>
                <w:bCs/>
                <w:color w:val="auto"/>
                <w:sz w:val="24"/>
              </w:rPr>
            </w:pPr>
            <w:r>
              <w:rPr>
                <w:b w:val="0"/>
                <w:bCs/>
                <w:color w:val="auto"/>
                <w:sz w:val="24"/>
              </w:rPr>
              <w:t>恶臭污染物环境影响分析</w:t>
            </w:r>
          </w:p>
          <w:p w14:paraId="0284F351">
            <w:pPr>
              <w:spacing w:line="360" w:lineRule="auto"/>
              <w:ind w:firstLine="480" w:firstLineChars="200"/>
              <w:rPr>
                <w:b w:val="0"/>
                <w:color w:val="auto"/>
                <w:sz w:val="24"/>
              </w:rPr>
            </w:pPr>
            <w:r>
              <w:rPr>
                <w:b w:val="0"/>
                <w:color w:val="auto"/>
                <w:sz w:val="24"/>
              </w:rPr>
              <w:t>根据《恶臭污染物排放标准》（GB14554-93）定义，恶臭气体是“指一切刺激嗅觉引起人们不愉快及损害生活环境的气体物质”，恶臭物质的质量浓度，用化学分析法测度，以毫克/升表示；而臭气浓度则以稀释倍数法测度，为嗅阈值，无量纲。因此可用臭气浓度指标来衡量项目生产过程中排放的恶臭污染程度。</w:t>
            </w:r>
          </w:p>
          <w:p w14:paraId="1D453E97">
            <w:pPr>
              <w:spacing w:line="360" w:lineRule="auto"/>
              <w:ind w:firstLine="480" w:firstLineChars="200"/>
              <w:rPr>
                <w:b w:val="0"/>
                <w:color w:val="auto"/>
                <w:sz w:val="24"/>
              </w:rPr>
            </w:pPr>
            <w:r>
              <w:rPr>
                <w:b w:val="0"/>
                <w:color w:val="auto"/>
                <w:sz w:val="24"/>
              </w:rPr>
              <w:t>恶臭的成因及危害</w:t>
            </w:r>
          </w:p>
          <w:p w14:paraId="50F3988F">
            <w:pPr>
              <w:spacing w:line="360" w:lineRule="auto"/>
              <w:ind w:firstLine="480" w:firstLineChars="200"/>
              <w:rPr>
                <w:b w:val="0"/>
                <w:color w:val="auto"/>
                <w:sz w:val="24"/>
              </w:rPr>
            </w:pPr>
            <w:r>
              <w:rPr>
                <w:b w:val="0"/>
                <w:color w:val="auto"/>
                <w:sz w:val="24"/>
              </w:rPr>
              <w:t>《中华人民共和国大气污染防治法》有关条例已对防治恶臭污染作了规定。</w:t>
            </w:r>
          </w:p>
          <w:p w14:paraId="19EA16B7">
            <w:pPr>
              <w:spacing w:line="360" w:lineRule="auto"/>
              <w:ind w:firstLine="480" w:firstLineChars="200"/>
              <w:rPr>
                <w:b w:val="0"/>
                <w:color w:val="auto"/>
                <w:sz w:val="24"/>
              </w:rPr>
            </w:pPr>
            <w:r>
              <w:rPr>
                <w:b w:val="0"/>
                <w:color w:val="auto"/>
                <w:sz w:val="24"/>
              </w:rPr>
              <w:t>①恶臭来源</w:t>
            </w:r>
          </w:p>
          <w:p w14:paraId="4F308B1A">
            <w:pPr>
              <w:spacing w:line="360" w:lineRule="auto"/>
              <w:ind w:firstLine="480" w:firstLineChars="200"/>
              <w:rPr>
                <w:b w:val="0"/>
                <w:color w:val="auto"/>
                <w:sz w:val="24"/>
              </w:rPr>
            </w:pPr>
            <w:r>
              <w:rPr>
                <w:b w:val="0"/>
                <w:color w:val="auto"/>
                <w:sz w:val="24"/>
              </w:rPr>
              <w:t>迄今凭人的嗅觉即能感觉到的恶臭物质有4000多种，其中对健康危害较大的有硫醇类、氨、硫化氢、甲基硫、三甲胺、甲醛、苯乙烯、铬酸、酚类等几十种。有些恶臭物质随着废水、废渣排入水体，不仅使水发生异臭异味，而且使鱼类等水生生物发生恶臭。恶臭物质分布广，影响范围大，已经成为公害，在一些地方的环保投诉中，恶臭案件仅次于噪声。</w:t>
            </w:r>
          </w:p>
          <w:p w14:paraId="73993C7C">
            <w:pPr>
              <w:spacing w:line="360" w:lineRule="auto"/>
              <w:ind w:firstLine="480" w:firstLineChars="200"/>
              <w:rPr>
                <w:b w:val="0"/>
                <w:color w:val="auto"/>
                <w:sz w:val="24"/>
              </w:rPr>
            </w:pPr>
            <w:r>
              <w:rPr>
                <w:b w:val="0"/>
                <w:color w:val="auto"/>
                <w:sz w:val="24"/>
              </w:rPr>
              <w:t>②发臭机制</w:t>
            </w:r>
          </w:p>
          <w:p w14:paraId="40162A51">
            <w:pPr>
              <w:spacing w:line="360" w:lineRule="auto"/>
              <w:ind w:firstLine="480" w:firstLineChars="200"/>
              <w:rPr>
                <w:b w:val="0"/>
                <w:color w:val="auto"/>
                <w:sz w:val="24"/>
              </w:rPr>
            </w:pPr>
            <w:r>
              <w:rPr>
                <w:b w:val="0"/>
                <w:color w:val="auto"/>
                <w:sz w:val="24"/>
              </w:rPr>
              <w:t>恶臭物质发臭和它的分子结构有关，如两个烷基同硫结合时，就会变成二甲基硫(CH</w:t>
            </w:r>
            <w:r>
              <w:rPr>
                <w:b w:val="0"/>
                <w:color w:val="auto"/>
                <w:sz w:val="24"/>
                <w:vertAlign w:val="subscript"/>
              </w:rPr>
              <w:t>3</w:t>
            </w:r>
            <w:r>
              <w:rPr>
                <w:b w:val="0"/>
                <w:color w:val="auto"/>
                <w:sz w:val="24"/>
              </w:rPr>
              <w:t>)</w:t>
            </w:r>
            <w:r>
              <w:rPr>
                <w:b w:val="0"/>
                <w:color w:val="auto"/>
                <w:sz w:val="24"/>
                <w:vertAlign w:val="subscript"/>
              </w:rPr>
              <w:t>2</w:t>
            </w:r>
            <w:r>
              <w:rPr>
                <w:b w:val="0"/>
                <w:color w:val="auto"/>
                <w:sz w:val="24"/>
              </w:rPr>
              <w:t>S和甲基乙基硫CH</w:t>
            </w:r>
            <w:r>
              <w:rPr>
                <w:b w:val="0"/>
                <w:color w:val="auto"/>
                <w:sz w:val="24"/>
                <w:vertAlign w:val="subscript"/>
              </w:rPr>
              <w:t>3</w:t>
            </w:r>
            <w:r>
              <w:rPr>
                <w:b w:val="0"/>
                <w:color w:val="auto"/>
                <w:sz w:val="24"/>
              </w:rPr>
              <w:t>C</w:t>
            </w:r>
            <w:r>
              <w:rPr>
                <w:b w:val="0"/>
                <w:color w:val="auto"/>
                <w:sz w:val="24"/>
                <w:vertAlign w:val="subscript"/>
              </w:rPr>
              <w:t>2</w:t>
            </w:r>
            <w:r>
              <w:rPr>
                <w:b w:val="0"/>
                <w:color w:val="auto"/>
                <w:sz w:val="24"/>
              </w:rPr>
              <w:t>H</w:t>
            </w:r>
            <w:r>
              <w:rPr>
                <w:b w:val="0"/>
                <w:color w:val="auto"/>
                <w:sz w:val="24"/>
                <w:vertAlign w:val="subscript"/>
              </w:rPr>
              <w:t>5</w:t>
            </w:r>
            <w:r>
              <w:rPr>
                <w:b w:val="0"/>
                <w:color w:val="auto"/>
                <w:sz w:val="24"/>
              </w:rPr>
              <w:t>S等带有异臭的硫醚。若再改变某些化合物分子结构中S的位子，其臭味的性质也会改变。例如，将有烂洋葱臭味的乙基硫氰化物C</w:t>
            </w:r>
            <w:r>
              <w:rPr>
                <w:b w:val="0"/>
                <w:color w:val="auto"/>
                <w:sz w:val="24"/>
                <w:vertAlign w:val="subscript"/>
              </w:rPr>
              <w:t>2</w:t>
            </w:r>
            <w:r>
              <w:rPr>
                <w:b w:val="0"/>
                <w:color w:val="auto"/>
                <w:sz w:val="24"/>
              </w:rPr>
              <w:t>H</w:t>
            </w:r>
            <w:r>
              <w:rPr>
                <w:b w:val="0"/>
                <w:color w:val="auto"/>
                <w:sz w:val="24"/>
                <w:vertAlign w:val="subscript"/>
              </w:rPr>
              <w:t>5</w:t>
            </w:r>
            <w:r>
              <w:rPr>
                <w:b w:val="0"/>
                <w:color w:val="auto"/>
                <w:sz w:val="24"/>
              </w:rPr>
              <w:t>SCN中S与N的位置对调，就会变成芥末臭味的硫代异氰酸酯C</w:t>
            </w:r>
            <w:r>
              <w:rPr>
                <w:b w:val="0"/>
                <w:color w:val="auto"/>
                <w:sz w:val="24"/>
                <w:vertAlign w:val="subscript"/>
              </w:rPr>
              <w:t>2</w:t>
            </w:r>
            <w:r>
              <w:rPr>
                <w:b w:val="0"/>
                <w:color w:val="auto"/>
                <w:sz w:val="24"/>
              </w:rPr>
              <w:t>H</w:t>
            </w:r>
            <w:r>
              <w:rPr>
                <w:b w:val="0"/>
                <w:color w:val="auto"/>
                <w:sz w:val="24"/>
                <w:vertAlign w:val="subscript"/>
              </w:rPr>
              <w:t>5</w:t>
            </w:r>
            <w:r>
              <w:rPr>
                <w:b w:val="0"/>
                <w:color w:val="auto"/>
                <w:sz w:val="24"/>
              </w:rPr>
              <w:t>NCS。各种化合物分子结构中的硫（=S）、巯基（-SH）和硫氰基（-SCN），是形成恶臭的原子团，通称为“发臭团”。另有一些有机物如苯酚、甲醛、丙酮和酪酸等，其分子结构虽不含硫，但含有羟基、醛基、羰基和羧基，也散发各种臭味，起“发臭团”的作用。</w:t>
            </w:r>
          </w:p>
          <w:p w14:paraId="2A1A2233">
            <w:pPr>
              <w:spacing w:line="360" w:lineRule="auto"/>
              <w:ind w:firstLine="480" w:firstLineChars="200"/>
              <w:rPr>
                <w:b w:val="0"/>
                <w:color w:val="auto"/>
                <w:sz w:val="24"/>
              </w:rPr>
            </w:pPr>
            <w:r>
              <w:rPr>
                <w:b w:val="0"/>
                <w:color w:val="auto"/>
                <w:sz w:val="24"/>
              </w:rPr>
              <w:t>③嗅觉机制</w:t>
            </w:r>
          </w:p>
          <w:p w14:paraId="39356291">
            <w:pPr>
              <w:spacing w:line="360" w:lineRule="auto"/>
              <w:ind w:firstLine="480" w:firstLineChars="200"/>
              <w:rPr>
                <w:b w:val="0"/>
                <w:color w:val="auto"/>
                <w:sz w:val="24"/>
              </w:rPr>
            </w:pPr>
            <w:r>
              <w:rPr>
                <w:b w:val="0"/>
                <w:color w:val="auto"/>
                <w:sz w:val="24"/>
              </w:rPr>
              <w:t>恶臭通过人体的嗅觉器官发生作用。人的鼻腔上部有嗅上皮，它由嗅觉细胞（感觉细胞）、支持细胞和基底细胞形成的嗅粘膜以及嗅粘液表面所构成。在嗅觉细胞末端有嗅小胞，并伸出嗅纤毛到嗅粘液表面下的粘液中。从嗅觉细胞伸出嗅神经进入嗅球，经两条通路传入大脑的嗅觉中枢。</w:t>
            </w:r>
          </w:p>
          <w:p w14:paraId="4AACDF3D">
            <w:pPr>
              <w:spacing w:line="360" w:lineRule="auto"/>
              <w:ind w:firstLine="480" w:firstLineChars="200"/>
              <w:rPr>
                <w:b w:val="0"/>
                <w:color w:val="auto"/>
                <w:sz w:val="24"/>
              </w:rPr>
            </w:pPr>
            <w:r>
              <w:rPr>
                <w:b w:val="0"/>
                <w:color w:val="auto"/>
                <w:sz w:val="24"/>
              </w:rPr>
              <w:t>④危害</w:t>
            </w:r>
          </w:p>
          <w:p w14:paraId="0FE78CFD">
            <w:pPr>
              <w:spacing w:line="360" w:lineRule="auto"/>
              <w:ind w:firstLine="480" w:firstLineChars="200"/>
              <w:rPr>
                <w:b w:val="0"/>
                <w:color w:val="auto"/>
                <w:sz w:val="24"/>
              </w:rPr>
            </w:pPr>
            <w:r>
              <w:rPr>
                <w:b w:val="0"/>
                <w:color w:val="auto"/>
                <w:sz w:val="24"/>
              </w:rPr>
              <w:t>主要有六个方面：</w:t>
            </w:r>
          </w:p>
          <w:p w14:paraId="533CC684">
            <w:pPr>
              <w:spacing w:line="360" w:lineRule="auto"/>
              <w:ind w:firstLine="480" w:firstLineChars="200"/>
              <w:rPr>
                <w:b w:val="0"/>
                <w:color w:val="auto"/>
                <w:sz w:val="24"/>
              </w:rPr>
            </w:pPr>
            <w:r>
              <w:rPr>
                <w:b w:val="0"/>
                <w:color w:val="auto"/>
                <w:sz w:val="24"/>
              </w:rPr>
              <w:t>a.危害呼吸系统。人们突然闻到恶臭，就会产生反射性的抑制吸气，使呼吸次数减少，深度变浅，甚至会暂时停止吸气，即所谓“闭气”，妨碍正常呼吸功能。</w:t>
            </w:r>
          </w:p>
          <w:p w14:paraId="6936EDA3">
            <w:pPr>
              <w:spacing w:line="360" w:lineRule="auto"/>
              <w:ind w:firstLine="480" w:firstLineChars="200"/>
              <w:rPr>
                <w:b w:val="0"/>
                <w:color w:val="auto"/>
                <w:sz w:val="24"/>
              </w:rPr>
            </w:pPr>
            <w:r>
              <w:rPr>
                <w:b w:val="0"/>
                <w:color w:val="auto"/>
                <w:sz w:val="24"/>
              </w:rPr>
              <w:t>b.危害循环系统。随着呼吸的变化，会出现脉搏和血压的变化。如氨等刺激性臭气会使血压出现先下降后上升，脉搏先减慢后加快的现象。</w:t>
            </w:r>
          </w:p>
          <w:p w14:paraId="224117A9">
            <w:pPr>
              <w:spacing w:line="360" w:lineRule="auto"/>
              <w:ind w:firstLine="480" w:firstLineChars="200"/>
              <w:rPr>
                <w:b w:val="0"/>
                <w:color w:val="auto"/>
                <w:sz w:val="24"/>
              </w:rPr>
            </w:pPr>
            <w:r>
              <w:rPr>
                <w:b w:val="0"/>
                <w:color w:val="auto"/>
                <w:sz w:val="24"/>
              </w:rPr>
              <w:t>c.危害消化系统。经常接触恶臭，会使人厌食、恶心，甚至呕吐，进而发展为消化功能减退。</w:t>
            </w:r>
          </w:p>
          <w:p w14:paraId="5198E586">
            <w:pPr>
              <w:spacing w:line="360" w:lineRule="auto"/>
              <w:ind w:firstLine="480" w:firstLineChars="200"/>
              <w:rPr>
                <w:b w:val="0"/>
                <w:color w:val="auto"/>
                <w:sz w:val="24"/>
              </w:rPr>
            </w:pPr>
            <w:r>
              <w:rPr>
                <w:b w:val="0"/>
                <w:color w:val="auto"/>
                <w:sz w:val="24"/>
              </w:rPr>
              <w:t>d.危害内分泌系统。经常受恶臭刺激，会使内分泌系统的分泌功能紊乱，影响机体的代谢活动。</w:t>
            </w:r>
          </w:p>
          <w:p w14:paraId="16FCA288">
            <w:pPr>
              <w:spacing w:line="360" w:lineRule="auto"/>
              <w:ind w:firstLine="480" w:firstLineChars="200"/>
              <w:rPr>
                <w:b w:val="0"/>
                <w:color w:val="auto"/>
                <w:sz w:val="24"/>
              </w:rPr>
            </w:pPr>
            <w:r>
              <w:rPr>
                <w:b w:val="0"/>
                <w:color w:val="auto"/>
                <w:sz w:val="24"/>
              </w:rPr>
              <w:t>e.危害神经系统。长期受到一种或几种低浓度恶臭物质的刺激，会引起嗅觉脱失、嗅觉疲劳等障碍。“久闻而不知其臭”，使嗅觉丧失了第一道防御功能，但脑神经仍不断受到刺激和损伤，最后导致大脑皮层兴奋和抑制的调节功能失调。</w:t>
            </w:r>
          </w:p>
          <w:p w14:paraId="71EA6BFA">
            <w:pPr>
              <w:spacing w:line="360" w:lineRule="auto"/>
              <w:ind w:firstLine="480" w:firstLineChars="200"/>
              <w:rPr>
                <w:b w:val="0"/>
                <w:color w:val="auto"/>
                <w:sz w:val="24"/>
              </w:rPr>
            </w:pPr>
            <w:r>
              <w:rPr>
                <w:b w:val="0"/>
                <w:color w:val="auto"/>
                <w:sz w:val="24"/>
              </w:rPr>
              <w:t>f.对精神的影响。恶臭使人精神烦躁不安，思想不集中，工作效率减低，判断力和记忆力下降，影响大脑的思考活动。</w:t>
            </w:r>
          </w:p>
          <w:p w14:paraId="21EDA7D3">
            <w:pPr>
              <w:spacing w:line="360" w:lineRule="auto"/>
              <w:ind w:firstLine="480" w:firstLineChars="200"/>
              <w:rPr>
                <w:b w:val="0"/>
                <w:color w:val="auto"/>
                <w:sz w:val="24"/>
              </w:rPr>
            </w:pPr>
            <w:r>
              <w:rPr>
                <w:b w:val="0"/>
                <w:color w:val="auto"/>
                <w:sz w:val="24"/>
              </w:rPr>
              <w:t>高浓度恶臭物质的突然袭击，有时会把人当场熏倒，造成事故。例如在日本川崎市，1961年8～9月就曾连续发生三次恶臭公害事件，都是由一间工厂夜间排放一种含硫醇的废油引起的。恶臭扩散到距排放源20多公里的地方，近处有人当场被熏倒，远处有人在熟睡中被熏醒。还有人恶心、呕吐、眼睛疼痛等。</w:t>
            </w:r>
          </w:p>
          <w:p w14:paraId="0E4430CE">
            <w:pPr>
              <w:spacing w:line="360" w:lineRule="auto"/>
              <w:ind w:firstLine="480" w:firstLineChars="200"/>
              <w:rPr>
                <w:b w:val="0"/>
                <w:color w:val="auto"/>
                <w:sz w:val="24"/>
              </w:rPr>
            </w:pPr>
            <w:r>
              <w:rPr>
                <w:b w:val="0"/>
                <w:color w:val="auto"/>
                <w:sz w:val="24"/>
              </w:rPr>
              <w:t>恶臭环境影响分析</w:t>
            </w:r>
          </w:p>
          <w:p w14:paraId="40ADE764">
            <w:pPr>
              <w:spacing w:line="360" w:lineRule="auto"/>
              <w:ind w:firstLine="456" w:firstLineChars="200"/>
              <w:rPr>
                <w:b w:val="0"/>
                <w:color w:val="auto"/>
                <w:spacing w:val="-6"/>
                <w:sz w:val="24"/>
              </w:rPr>
            </w:pPr>
            <w:r>
              <w:rPr>
                <w:b w:val="0"/>
                <w:color w:val="auto"/>
                <w:spacing w:val="-6"/>
                <w:sz w:val="24"/>
              </w:rPr>
              <w:t>本评价采用日本的恶臭强度6级分级法（表</w:t>
            </w:r>
            <w:r>
              <w:rPr>
                <w:rFonts w:hint="eastAsia"/>
                <w:b w:val="0"/>
                <w:color w:val="auto"/>
                <w:spacing w:val="-6"/>
                <w:sz w:val="24"/>
                <w:lang w:val="en-US" w:eastAsia="zh-CN"/>
              </w:rPr>
              <w:t>2.3-7</w:t>
            </w:r>
            <w:r>
              <w:rPr>
                <w:b w:val="0"/>
                <w:color w:val="auto"/>
                <w:spacing w:val="-6"/>
                <w:sz w:val="24"/>
              </w:rPr>
              <w:t>）对项目臭气影响进行分析。</w:t>
            </w:r>
          </w:p>
          <w:p w14:paraId="0D2F9999">
            <w:pPr>
              <w:spacing w:line="400" w:lineRule="exact"/>
              <w:jc w:val="center"/>
              <w:rPr>
                <w:b/>
                <w:bCs w:val="0"/>
                <w:color w:val="auto"/>
                <w:szCs w:val="21"/>
              </w:rPr>
            </w:pPr>
            <w:r>
              <w:rPr>
                <w:rFonts w:hint="eastAsia"/>
                <w:b/>
                <w:bCs w:val="0"/>
                <w:color w:val="auto"/>
                <w:szCs w:val="21"/>
              </w:rPr>
              <w:t>表</w:t>
            </w:r>
            <w:r>
              <w:rPr>
                <w:rFonts w:hint="eastAsia"/>
                <w:b/>
                <w:bCs w:val="0"/>
                <w:color w:val="auto"/>
                <w:szCs w:val="21"/>
                <w:lang w:val="en-US" w:eastAsia="zh-CN"/>
              </w:rPr>
              <w:t>2.3-7</w:t>
            </w:r>
            <w:r>
              <w:rPr>
                <w:rFonts w:hint="eastAsia"/>
                <w:b/>
                <w:bCs w:val="0"/>
                <w:color w:val="auto"/>
                <w:szCs w:val="21"/>
              </w:rPr>
              <w:t xml:space="preserve">  臭气强度分级表</w:t>
            </w:r>
          </w:p>
          <w:tbl>
            <w:tblPr>
              <w:tblStyle w:val="22"/>
              <w:tblW w:w="0" w:type="auto"/>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5054"/>
            </w:tblGrid>
            <w:tr w14:paraId="5ED7B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tcPr>
                <w:p w14:paraId="37DC47E0">
                  <w:pPr>
                    <w:spacing w:line="400" w:lineRule="exact"/>
                    <w:ind w:firstLine="422" w:firstLineChars="200"/>
                    <w:jc w:val="center"/>
                    <w:rPr>
                      <w:b/>
                      <w:bCs w:val="0"/>
                      <w:color w:val="auto"/>
                    </w:rPr>
                  </w:pPr>
                  <w:r>
                    <w:rPr>
                      <w:rFonts w:hint="eastAsia"/>
                      <w:b/>
                      <w:bCs w:val="0"/>
                      <w:color w:val="auto"/>
                    </w:rPr>
                    <w:t>强度等级</w:t>
                  </w:r>
                </w:p>
              </w:tc>
              <w:tc>
                <w:tcPr>
                  <w:tcW w:w="5963" w:type="dxa"/>
                  <w:tcBorders>
                    <w:tl2br w:val="nil"/>
                    <w:tr2bl w:val="nil"/>
                  </w:tcBorders>
                </w:tcPr>
                <w:p w14:paraId="2AFCC289">
                  <w:pPr>
                    <w:spacing w:line="400" w:lineRule="exact"/>
                    <w:ind w:firstLine="422" w:firstLineChars="200"/>
                    <w:jc w:val="center"/>
                    <w:rPr>
                      <w:b/>
                      <w:bCs w:val="0"/>
                      <w:color w:val="auto"/>
                    </w:rPr>
                  </w:pPr>
                  <w:r>
                    <w:rPr>
                      <w:rFonts w:hint="eastAsia"/>
                      <w:b/>
                      <w:bCs w:val="0"/>
                      <w:color w:val="auto"/>
                    </w:rPr>
                    <w:t>嗅觉判别标准</w:t>
                  </w:r>
                </w:p>
              </w:tc>
            </w:tr>
            <w:tr w14:paraId="3B014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0C42CE2E">
                  <w:pPr>
                    <w:spacing w:line="400" w:lineRule="exact"/>
                    <w:ind w:firstLine="420" w:firstLineChars="200"/>
                    <w:jc w:val="center"/>
                    <w:rPr>
                      <w:b w:val="0"/>
                      <w:color w:val="auto"/>
                    </w:rPr>
                  </w:pPr>
                  <w:r>
                    <w:rPr>
                      <w:rFonts w:hint="eastAsia"/>
                      <w:b w:val="0"/>
                      <w:color w:val="auto"/>
                    </w:rPr>
                    <w:t>0</w:t>
                  </w:r>
                </w:p>
              </w:tc>
              <w:tc>
                <w:tcPr>
                  <w:tcW w:w="5963" w:type="dxa"/>
                  <w:tcBorders>
                    <w:tl2br w:val="nil"/>
                    <w:tr2bl w:val="nil"/>
                  </w:tcBorders>
                  <w:vAlign w:val="center"/>
                </w:tcPr>
                <w:p w14:paraId="5A2DA303">
                  <w:pPr>
                    <w:spacing w:line="400" w:lineRule="exact"/>
                    <w:ind w:firstLine="420" w:firstLineChars="200"/>
                    <w:jc w:val="center"/>
                    <w:rPr>
                      <w:b w:val="0"/>
                      <w:color w:val="auto"/>
                    </w:rPr>
                  </w:pPr>
                  <w:r>
                    <w:rPr>
                      <w:rFonts w:hint="eastAsia"/>
                      <w:b w:val="0"/>
                      <w:color w:val="auto"/>
                    </w:rPr>
                    <w:t>无臭</w:t>
                  </w:r>
                </w:p>
              </w:tc>
            </w:tr>
            <w:tr w14:paraId="2E71E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1D6E358A">
                  <w:pPr>
                    <w:spacing w:line="400" w:lineRule="exact"/>
                    <w:ind w:firstLine="420" w:firstLineChars="200"/>
                    <w:jc w:val="center"/>
                    <w:rPr>
                      <w:b w:val="0"/>
                      <w:color w:val="auto"/>
                    </w:rPr>
                  </w:pPr>
                  <w:r>
                    <w:rPr>
                      <w:rFonts w:hint="eastAsia"/>
                      <w:b w:val="0"/>
                      <w:color w:val="auto"/>
                    </w:rPr>
                    <w:t>1</w:t>
                  </w:r>
                </w:p>
              </w:tc>
              <w:tc>
                <w:tcPr>
                  <w:tcW w:w="5963" w:type="dxa"/>
                  <w:tcBorders>
                    <w:tl2br w:val="nil"/>
                    <w:tr2bl w:val="nil"/>
                  </w:tcBorders>
                  <w:vAlign w:val="center"/>
                </w:tcPr>
                <w:p w14:paraId="3EC16717">
                  <w:pPr>
                    <w:spacing w:line="400" w:lineRule="exact"/>
                    <w:ind w:firstLine="420" w:firstLineChars="200"/>
                    <w:jc w:val="center"/>
                    <w:rPr>
                      <w:b w:val="0"/>
                      <w:color w:val="auto"/>
                    </w:rPr>
                  </w:pPr>
                  <w:r>
                    <w:rPr>
                      <w:rFonts w:hint="eastAsia"/>
                      <w:b w:val="0"/>
                      <w:color w:val="auto"/>
                    </w:rPr>
                    <w:t>勉强可以感到轻微臭味</w:t>
                  </w:r>
                </w:p>
              </w:tc>
            </w:tr>
            <w:tr w14:paraId="67B5E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3AA04A15">
                  <w:pPr>
                    <w:spacing w:line="400" w:lineRule="exact"/>
                    <w:ind w:firstLine="420" w:firstLineChars="200"/>
                    <w:jc w:val="center"/>
                    <w:rPr>
                      <w:b w:val="0"/>
                      <w:color w:val="auto"/>
                    </w:rPr>
                  </w:pPr>
                  <w:r>
                    <w:rPr>
                      <w:rFonts w:hint="eastAsia"/>
                      <w:b w:val="0"/>
                      <w:color w:val="auto"/>
                    </w:rPr>
                    <w:t>2</w:t>
                  </w:r>
                </w:p>
              </w:tc>
              <w:tc>
                <w:tcPr>
                  <w:tcW w:w="5963" w:type="dxa"/>
                  <w:tcBorders>
                    <w:tl2br w:val="nil"/>
                    <w:tr2bl w:val="nil"/>
                  </w:tcBorders>
                  <w:vAlign w:val="center"/>
                </w:tcPr>
                <w:p w14:paraId="179C52D1">
                  <w:pPr>
                    <w:spacing w:line="400" w:lineRule="exact"/>
                    <w:ind w:firstLine="420" w:firstLineChars="200"/>
                    <w:jc w:val="center"/>
                    <w:rPr>
                      <w:b w:val="0"/>
                      <w:color w:val="auto"/>
                    </w:rPr>
                  </w:pPr>
                  <w:r>
                    <w:rPr>
                      <w:rFonts w:hint="eastAsia"/>
                      <w:b w:val="0"/>
                      <w:color w:val="auto"/>
                    </w:rPr>
                    <w:t>容易感到轻微臭味</w:t>
                  </w:r>
                </w:p>
              </w:tc>
            </w:tr>
            <w:tr w14:paraId="4135C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0B97793E">
                  <w:pPr>
                    <w:spacing w:line="400" w:lineRule="exact"/>
                    <w:ind w:firstLine="420" w:firstLineChars="200"/>
                    <w:jc w:val="center"/>
                    <w:rPr>
                      <w:b w:val="0"/>
                      <w:color w:val="auto"/>
                    </w:rPr>
                  </w:pPr>
                  <w:r>
                    <w:rPr>
                      <w:rFonts w:hint="eastAsia"/>
                      <w:b w:val="0"/>
                      <w:color w:val="auto"/>
                    </w:rPr>
                    <w:t>3</w:t>
                  </w:r>
                </w:p>
              </w:tc>
              <w:tc>
                <w:tcPr>
                  <w:tcW w:w="5963" w:type="dxa"/>
                  <w:tcBorders>
                    <w:tl2br w:val="nil"/>
                    <w:tr2bl w:val="nil"/>
                  </w:tcBorders>
                  <w:vAlign w:val="center"/>
                </w:tcPr>
                <w:p w14:paraId="223A7695">
                  <w:pPr>
                    <w:spacing w:line="400" w:lineRule="exact"/>
                    <w:ind w:firstLine="420" w:firstLineChars="200"/>
                    <w:jc w:val="center"/>
                    <w:rPr>
                      <w:b w:val="0"/>
                      <w:color w:val="auto"/>
                    </w:rPr>
                  </w:pPr>
                  <w:r>
                    <w:rPr>
                      <w:rFonts w:hint="eastAsia"/>
                      <w:b w:val="0"/>
                      <w:color w:val="auto"/>
                    </w:rPr>
                    <w:t>明显感到臭味</w:t>
                  </w:r>
                </w:p>
              </w:tc>
            </w:tr>
            <w:tr w14:paraId="2B9E6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709D1022">
                  <w:pPr>
                    <w:spacing w:line="400" w:lineRule="exact"/>
                    <w:ind w:firstLine="420" w:firstLineChars="200"/>
                    <w:jc w:val="center"/>
                    <w:rPr>
                      <w:b w:val="0"/>
                      <w:color w:val="auto"/>
                    </w:rPr>
                  </w:pPr>
                  <w:r>
                    <w:rPr>
                      <w:rFonts w:hint="eastAsia"/>
                      <w:b w:val="0"/>
                      <w:color w:val="auto"/>
                    </w:rPr>
                    <w:t>4</w:t>
                  </w:r>
                </w:p>
              </w:tc>
              <w:tc>
                <w:tcPr>
                  <w:tcW w:w="5963" w:type="dxa"/>
                  <w:tcBorders>
                    <w:tl2br w:val="nil"/>
                    <w:tr2bl w:val="nil"/>
                  </w:tcBorders>
                  <w:vAlign w:val="center"/>
                </w:tcPr>
                <w:p w14:paraId="3F48B98E">
                  <w:pPr>
                    <w:spacing w:line="400" w:lineRule="exact"/>
                    <w:ind w:firstLine="420" w:firstLineChars="200"/>
                    <w:jc w:val="center"/>
                    <w:rPr>
                      <w:b w:val="0"/>
                      <w:color w:val="auto"/>
                    </w:rPr>
                  </w:pPr>
                  <w:r>
                    <w:rPr>
                      <w:rFonts w:hint="eastAsia"/>
                      <w:b w:val="0"/>
                      <w:color w:val="auto"/>
                    </w:rPr>
                    <w:t>强烈臭味</w:t>
                  </w:r>
                </w:p>
              </w:tc>
            </w:tr>
            <w:tr w14:paraId="04DA1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1" w:type="dxa"/>
                  <w:tcBorders>
                    <w:tl2br w:val="nil"/>
                    <w:tr2bl w:val="nil"/>
                  </w:tcBorders>
                  <w:vAlign w:val="center"/>
                </w:tcPr>
                <w:p w14:paraId="6900FC34">
                  <w:pPr>
                    <w:spacing w:line="400" w:lineRule="exact"/>
                    <w:ind w:firstLine="420" w:firstLineChars="200"/>
                    <w:jc w:val="center"/>
                    <w:rPr>
                      <w:b w:val="0"/>
                      <w:color w:val="auto"/>
                    </w:rPr>
                  </w:pPr>
                  <w:r>
                    <w:rPr>
                      <w:rFonts w:hint="eastAsia"/>
                      <w:b w:val="0"/>
                      <w:color w:val="auto"/>
                    </w:rPr>
                    <w:t>5</w:t>
                  </w:r>
                </w:p>
              </w:tc>
              <w:tc>
                <w:tcPr>
                  <w:tcW w:w="5963" w:type="dxa"/>
                  <w:tcBorders>
                    <w:tl2br w:val="nil"/>
                    <w:tr2bl w:val="nil"/>
                  </w:tcBorders>
                  <w:vAlign w:val="center"/>
                </w:tcPr>
                <w:p w14:paraId="6856D45C">
                  <w:pPr>
                    <w:spacing w:line="400" w:lineRule="exact"/>
                    <w:ind w:firstLine="420" w:firstLineChars="200"/>
                    <w:jc w:val="center"/>
                    <w:rPr>
                      <w:b w:val="0"/>
                      <w:color w:val="auto"/>
                    </w:rPr>
                  </w:pPr>
                  <w:r>
                    <w:rPr>
                      <w:rFonts w:hint="eastAsia"/>
                      <w:b w:val="0"/>
                      <w:color w:val="auto"/>
                    </w:rPr>
                    <w:t>无法忍受的强烈臭味</w:t>
                  </w:r>
                </w:p>
              </w:tc>
            </w:tr>
          </w:tbl>
          <w:p w14:paraId="1ECA740C">
            <w:pPr>
              <w:spacing w:line="360" w:lineRule="auto"/>
              <w:ind w:firstLine="480" w:firstLineChars="200"/>
              <w:rPr>
                <w:b w:val="0"/>
                <w:color w:val="auto"/>
                <w:sz w:val="24"/>
              </w:rPr>
            </w:pPr>
            <w:r>
              <w:rPr>
                <w:b w:val="0"/>
                <w:color w:val="auto"/>
                <w:sz w:val="24"/>
              </w:rPr>
              <w:t xml:space="preserve">为了减少恶臭对周围环境的影响，建设项目采取如下措施： </w:t>
            </w:r>
          </w:p>
          <w:p w14:paraId="1F9AB4D8">
            <w:pPr>
              <w:spacing w:line="360" w:lineRule="auto"/>
              <w:ind w:firstLine="480" w:firstLineChars="200"/>
              <w:rPr>
                <w:b w:val="0"/>
                <w:color w:val="auto"/>
                <w:sz w:val="24"/>
              </w:rPr>
            </w:pPr>
            <w:r>
              <w:rPr>
                <w:b w:val="0"/>
                <w:color w:val="auto"/>
                <w:sz w:val="24"/>
              </w:rPr>
              <w:t>1、生产过程中保持车间、生产工段密闭，增加废气捕集率；</w:t>
            </w:r>
          </w:p>
          <w:p w14:paraId="00F032BD">
            <w:pPr>
              <w:spacing w:line="360" w:lineRule="auto"/>
              <w:ind w:firstLine="480" w:firstLineChars="200"/>
              <w:rPr>
                <w:b w:val="0"/>
                <w:color w:val="auto"/>
                <w:sz w:val="24"/>
              </w:rPr>
            </w:pPr>
            <w:r>
              <w:rPr>
                <w:b w:val="0"/>
                <w:color w:val="auto"/>
                <w:sz w:val="24"/>
              </w:rPr>
              <w:t>2、加强周边加强绿化，种植可吸收臭味的植物。</w:t>
            </w:r>
          </w:p>
          <w:p w14:paraId="315F6D8A">
            <w:pPr>
              <w:spacing w:line="360" w:lineRule="auto"/>
              <w:ind w:firstLine="480" w:firstLineChars="200"/>
              <w:rPr>
                <w:b w:val="0"/>
                <w:color w:val="auto"/>
                <w:sz w:val="24"/>
              </w:rPr>
            </w:pPr>
            <w:r>
              <w:rPr>
                <w:b w:val="0"/>
                <w:color w:val="auto"/>
                <w:sz w:val="24"/>
              </w:rPr>
              <w:t>该项目在采取以上措施后，臭气强度等级可降至0-1级，对周围环境的影响将大大降低。</w:t>
            </w:r>
          </w:p>
          <w:p w14:paraId="147D1DCC">
            <w:pPr>
              <w:spacing w:line="360" w:lineRule="auto"/>
              <w:ind w:firstLine="480" w:firstLineChars="200"/>
              <w:rPr>
                <w:b w:val="0"/>
                <w:color w:val="auto"/>
                <w:sz w:val="24"/>
              </w:rPr>
            </w:pPr>
            <w:r>
              <w:rPr>
                <w:b w:val="0"/>
                <w:color w:val="auto"/>
                <w:sz w:val="24"/>
              </w:rPr>
              <w:t>综上所述，项目恶臭对周边环境影响较小。</w:t>
            </w:r>
          </w:p>
          <w:p w14:paraId="747CB9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3）噪声</w:t>
            </w:r>
          </w:p>
          <w:p w14:paraId="47A725AC">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cs="Times New Roman"/>
                <w:b w:val="0"/>
                <w:bCs w:val="0"/>
                <w:color w:val="auto"/>
                <w:sz w:val="24"/>
                <w:szCs w:val="24"/>
                <w:lang w:val="en-US" w:eastAsia="zh-CN"/>
              </w:rPr>
              <w:t>生产设备产生的噪声经过厂房隔声、消声、减振及距离衰减等措施治理后，厂界噪声测点符合国家《工业企业厂界环境噪声排放标准》（GB12348-2008）</w:t>
            </w:r>
            <w:r>
              <w:rPr>
                <w:rFonts w:hint="eastAsia" w:ascii="Times New Roman" w:hAnsi="Times New Roman" w:cs="Times New Roman"/>
                <w:b w:val="0"/>
                <w:bCs w:val="0"/>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类标准。</w:t>
            </w:r>
          </w:p>
          <w:p w14:paraId="2B524B8F">
            <w:pPr>
              <w:pStyle w:val="68"/>
              <w:spacing w:line="240" w:lineRule="auto"/>
              <w:rPr>
                <w:rFonts w:hint="eastAsia" w:eastAsia="宋体" w:cs="Times New Roman"/>
                <w:b w:val="0"/>
                <w:color w:val="auto"/>
                <w:sz w:val="21"/>
                <w:szCs w:val="21"/>
                <w:lang w:val="en-US" w:eastAsia="zh-CN"/>
              </w:rPr>
            </w:pPr>
          </w:p>
          <w:p w14:paraId="526F6DD7">
            <w:pPr>
              <w:pStyle w:val="68"/>
              <w:spacing w:line="240" w:lineRule="auto"/>
              <w:rPr>
                <w:rFonts w:hint="default" w:ascii="Times New Roman" w:hAnsi="Times New Roman" w:eastAsia="宋体" w:cs="Times New Roman"/>
                <w:b/>
                <w:bCs w:val="0"/>
                <w:color w:val="auto"/>
                <w:sz w:val="21"/>
                <w:szCs w:val="21"/>
              </w:rPr>
            </w:pPr>
            <w:r>
              <w:rPr>
                <w:rFonts w:hint="eastAsia" w:eastAsia="宋体" w:cs="Times New Roman"/>
                <w:b/>
                <w:bCs w:val="0"/>
                <w:color w:val="auto"/>
                <w:sz w:val="21"/>
                <w:szCs w:val="21"/>
                <w:lang w:val="en-US" w:eastAsia="zh-CN"/>
              </w:rPr>
              <w:t>表2.3-8  原有项目</w:t>
            </w:r>
            <w:r>
              <w:rPr>
                <w:rFonts w:hint="default" w:ascii="Times New Roman" w:hAnsi="Times New Roman" w:eastAsia="宋体" w:cs="Times New Roman"/>
                <w:b/>
                <w:bCs w:val="0"/>
                <w:color w:val="auto"/>
                <w:sz w:val="21"/>
                <w:szCs w:val="21"/>
              </w:rPr>
              <w:t>噪声监测结果 dB(A)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8"/>
              <w:gridCol w:w="1136"/>
              <w:gridCol w:w="1136"/>
              <w:gridCol w:w="1136"/>
              <w:gridCol w:w="959"/>
              <w:gridCol w:w="1137"/>
            </w:tblGrid>
            <w:tr w14:paraId="3566A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848" w:type="pct"/>
                  <w:noWrap w:val="0"/>
                  <w:vAlign w:val="center"/>
                </w:tcPr>
                <w:p w14:paraId="19822EB9">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监测时间</w:t>
                  </w:r>
                </w:p>
              </w:tc>
              <w:tc>
                <w:tcPr>
                  <w:tcW w:w="850" w:type="pct"/>
                  <w:noWrap w:val="0"/>
                  <w:vAlign w:val="center"/>
                </w:tcPr>
                <w:p w14:paraId="57F27E8F">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监测时段</w:t>
                  </w:r>
                </w:p>
              </w:tc>
              <w:tc>
                <w:tcPr>
                  <w:tcW w:w="681" w:type="pct"/>
                  <w:noWrap w:val="0"/>
                  <w:vAlign w:val="center"/>
                </w:tcPr>
                <w:p w14:paraId="0BCE455D">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东厂界</w:t>
                  </w:r>
                </w:p>
              </w:tc>
              <w:tc>
                <w:tcPr>
                  <w:tcW w:w="681" w:type="pct"/>
                  <w:noWrap w:val="0"/>
                  <w:vAlign w:val="center"/>
                </w:tcPr>
                <w:p w14:paraId="5686E3F3">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南厂界</w:t>
                  </w:r>
                </w:p>
              </w:tc>
              <w:tc>
                <w:tcPr>
                  <w:tcW w:w="681" w:type="pct"/>
                  <w:noWrap w:val="0"/>
                  <w:vAlign w:val="center"/>
                </w:tcPr>
                <w:p w14:paraId="0FD200C5">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西厂界</w:t>
                  </w:r>
                </w:p>
              </w:tc>
              <w:tc>
                <w:tcPr>
                  <w:tcW w:w="575" w:type="pct"/>
                  <w:noWrap w:val="0"/>
                  <w:vAlign w:val="center"/>
                </w:tcPr>
                <w:p w14:paraId="1A636AF6">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北厂界</w:t>
                  </w:r>
                </w:p>
              </w:tc>
              <w:tc>
                <w:tcPr>
                  <w:tcW w:w="681" w:type="pct"/>
                  <w:noWrap w:val="0"/>
                  <w:vAlign w:val="center"/>
                </w:tcPr>
                <w:p w14:paraId="762EC384">
                  <w:pPr>
                    <w:pStyle w:val="12"/>
                    <w:ind w:left="0" w:left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tc>
            </w:tr>
            <w:tr w14:paraId="517F5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8" w:type="pct"/>
                  <w:vMerge w:val="restart"/>
                  <w:noWrap w:val="0"/>
                  <w:vAlign w:val="center"/>
                </w:tcPr>
                <w:p w14:paraId="35214031">
                  <w:pPr>
                    <w:pStyle w:val="12"/>
                    <w:ind w:left="0" w:left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2024.5.14</w:t>
                  </w:r>
                </w:p>
              </w:tc>
              <w:tc>
                <w:tcPr>
                  <w:tcW w:w="850" w:type="pct"/>
                  <w:noWrap w:val="0"/>
                  <w:vAlign w:val="center"/>
                </w:tcPr>
                <w:p w14:paraId="0711BA21">
                  <w:pPr>
                    <w:pStyle w:val="12"/>
                    <w:ind w:left="0" w:leftChars="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昼间</w:t>
                  </w:r>
                </w:p>
              </w:tc>
              <w:tc>
                <w:tcPr>
                  <w:tcW w:w="681" w:type="pct"/>
                  <w:noWrap w:val="0"/>
                  <w:vAlign w:val="center"/>
                </w:tcPr>
                <w:p w14:paraId="24A5D5A8">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62</w:t>
                  </w:r>
                </w:p>
              </w:tc>
              <w:tc>
                <w:tcPr>
                  <w:tcW w:w="681" w:type="pct"/>
                  <w:noWrap w:val="0"/>
                  <w:vAlign w:val="center"/>
                </w:tcPr>
                <w:p w14:paraId="5C24152B">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60</w:t>
                  </w:r>
                </w:p>
              </w:tc>
              <w:tc>
                <w:tcPr>
                  <w:tcW w:w="681" w:type="pct"/>
                  <w:noWrap w:val="0"/>
                  <w:vAlign w:val="center"/>
                </w:tcPr>
                <w:p w14:paraId="2A47D82A">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62</w:t>
                  </w:r>
                </w:p>
              </w:tc>
              <w:tc>
                <w:tcPr>
                  <w:tcW w:w="575" w:type="pct"/>
                  <w:noWrap w:val="0"/>
                  <w:vAlign w:val="center"/>
                </w:tcPr>
                <w:p w14:paraId="5F0D915B">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61</w:t>
                  </w:r>
                </w:p>
              </w:tc>
              <w:tc>
                <w:tcPr>
                  <w:tcW w:w="681" w:type="pct"/>
                  <w:noWrap w:val="0"/>
                  <w:vAlign w:val="center"/>
                </w:tcPr>
                <w:p w14:paraId="31ED9091">
                  <w:pPr>
                    <w:pStyle w:val="12"/>
                    <w:ind w:left="0" w:leftChars="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65</w:t>
                  </w:r>
                </w:p>
              </w:tc>
            </w:tr>
            <w:tr w14:paraId="62E12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8" w:type="pct"/>
                  <w:vMerge w:val="continue"/>
                  <w:noWrap w:val="0"/>
                  <w:vAlign w:val="center"/>
                </w:tcPr>
                <w:p w14:paraId="0777BA66">
                  <w:pPr>
                    <w:pStyle w:val="12"/>
                    <w:ind w:left="0" w:leftChars="0"/>
                    <w:jc w:val="center"/>
                    <w:rPr>
                      <w:rFonts w:hint="default" w:ascii="Times New Roman" w:hAnsi="Times New Roman" w:eastAsia="宋体" w:cs="Times New Roman"/>
                      <w:b w:val="0"/>
                      <w:color w:val="auto"/>
                      <w:sz w:val="21"/>
                      <w:szCs w:val="21"/>
                      <w:lang w:val="en-US"/>
                    </w:rPr>
                  </w:pPr>
                </w:p>
              </w:tc>
              <w:tc>
                <w:tcPr>
                  <w:tcW w:w="850" w:type="pct"/>
                  <w:noWrap w:val="0"/>
                  <w:vAlign w:val="center"/>
                </w:tcPr>
                <w:p w14:paraId="256494AE">
                  <w:pPr>
                    <w:pStyle w:val="12"/>
                    <w:ind w:left="0" w:leftChars="0"/>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夜间</w:t>
                  </w:r>
                </w:p>
              </w:tc>
              <w:tc>
                <w:tcPr>
                  <w:tcW w:w="681" w:type="pct"/>
                  <w:noWrap w:val="0"/>
                  <w:vAlign w:val="center"/>
                </w:tcPr>
                <w:p w14:paraId="36A5696E">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52</w:t>
                  </w:r>
                </w:p>
              </w:tc>
              <w:tc>
                <w:tcPr>
                  <w:tcW w:w="681" w:type="pct"/>
                  <w:noWrap w:val="0"/>
                  <w:vAlign w:val="center"/>
                </w:tcPr>
                <w:p w14:paraId="3AF9C095">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50</w:t>
                  </w:r>
                </w:p>
              </w:tc>
              <w:tc>
                <w:tcPr>
                  <w:tcW w:w="681" w:type="pct"/>
                  <w:noWrap w:val="0"/>
                  <w:vAlign w:val="center"/>
                </w:tcPr>
                <w:p w14:paraId="231DAC01">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51</w:t>
                  </w:r>
                </w:p>
              </w:tc>
              <w:tc>
                <w:tcPr>
                  <w:tcW w:w="575" w:type="pct"/>
                  <w:noWrap w:val="0"/>
                  <w:vAlign w:val="center"/>
                </w:tcPr>
                <w:p w14:paraId="1237AD58">
                  <w:pPr>
                    <w:jc w:val="center"/>
                    <w:rPr>
                      <w:rFonts w:hint="default" w:ascii="Times New Roman" w:hAnsi="Times New Roman" w:eastAsia="宋体" w:cs="Times New Roman"/>
                      <w:b w:val="0"/>
                      <w:color w:val="auto"/>
                      <w:szCs w:val="21"/>
                      <w:lang w:val="en-US" w:eastAsia="zh-CN"/>
                    </w:rPr>
                  </w:pPr>
                  <w:r>
                    <w:rPr>
                      <w:rFonts w:hint="eastAsia" w:cs="Times New Roman"/>
                      <w:b w:val="0"/>
                      <w:color w:val="auto"/>
                      <w:szCs w:val="21"/>
                      <w:lang w:val="en-US" w:eastAsia="zh-CN"/>
                    </w:rPr>
                    <w:t>53</w:t>
                  </w:r>
                </w:p>
              </w:tc>
              <w:tc>
                <w:tcPr>
                  <w:tcW w:w="681" w:type="pct"/>
                  <w:noWrap w:val="0"/>
                  <w:vAlign w:val="center"/>
                </w:tcPr>
                <w:p w14:paraId="35E0F0C5">
                  <w:pPr>
                    <w:pStyle w:val="12"/>
                    <w:ind w:left="0" w:leftChars="0"/>
                    <w:jc w:val="center"/>
                    <w:rPr>
                      <w:rFonts w:hint="default" w:ascii="Times New Roman" w:hAnsi="Times New Roman" w:eastAsia="宋体" w:cs="Times New Roman"/>
                      <w:b w:val="0"/>
                      <w:color w:val="auto"/>
                      <w:sz w:val="21"/>
                      <w:szCs w:val="21"/>
                      <w:lang w:val="en-US"/>
                    </w:rPr>
                  </w:pPr>
                  <w:r>
                    <w:rPr>
                      <w:rFonts w:hint="eastAsia" w:ascii="Times New Roman" w:hAnsi="Times New Roman" w:cs="Times New Roman"/>
                      <w:b w:val="0"/>
                      <w:color w:val="auto"/>
                      <w:sz w:val="21"/>
                      <w:szCs w:val="21"/>
                      <w:lang w:val="en-US" w:eastAsia="zh-CN"/>
                    </w:rPr>
                    <w:t>55</w:t>
                  </w:r>
                </w:p>
              </w:tc>
            </w:tr>
          </w:tbl>
          <w:p w14:paraId="636873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4）固废</w:t>
            </w:r>
          </w:p>
          <w:p w14:paraId="69390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原有项目对固体废物进行分类收集、贮存，不进行混放。</w:t>
            </w:r>
          </w:p>
          <w:p w14:paraId="24B9A8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根据2025年危险废物管理计划备案登记表（备案编号：32041320251252），</w:t>
            </w:r>
            <w:r>
              <w:rPr>
                <w:rFonts w:hint="eastAsia" w:eastAsia="宋体" w:cs="Times New Roman"/>
                <w:b w:val="0"/>
                <w:bCs w:val="0"/>
                <w:color w:val="auto"/>
                <w:sz w:val="24"/>
                <w:szCs w:val="24"/>
                <w:lang w:val="en-US" w:eastAsia="zh-CN"/>
              </w:rPr>
              <w:t>废塑料、塑料不合格品经破碎后回用于注塑工序，废</w:t>
            </w:r>
            <w:r>
              <w:rPr>
                <w:rFonts w:hint="eastAsia" w:ascii="Times New Roman" w:hAnsi="Times New Roman" w:eastAsia="宋体" w:cs="Times New Roman"/>
                <w:b w:val="0"/>
                <w:bCs w:val="0"/>
                <w:color w:val="auto"/>
                <w:sz w:val="24"/>
                <w:szCs w:val="24"/>
                <w:lang w:val="en-US" w:eastAsia="zh-CN"/>
              </w:rPr>
              <w:t>边角料</w:t>
            </w:r>
            <w:r>
              <w:rPr>
                <w:rFonts w:hint="eastAsia" w:eastAsia="宋体" w:cs="Times New Roman"/>
                <w:b w:val="0"/>
                <w:bCs w:val="0"/>
                <w:color w:val="auto"/>
                <w:sz w:val="24"/>
                <w:szCs w:val="24"/>
                <w:lang w:val="en-US" w:eastAsia="zh-CN"/>
              </w:rPr>
              <w:t>、废包装袋</w:t>
            </w:r>
            <w:r>
              <w:rPr>
                <w:rFonts w:hint="eastAsia" w:ascii="Times New Roman" w:hAnsi="Times New Roman" w:eastAsia="宋体" w:cs="Times New Roman"/>
                <w:b w:val="0"/>
                <w:bCs w:val="0"/>
                <w:color w:val="auto"/>
                <w:sz w:val="24"/>
                <w:szCs w:val="24"/>
                <w:lang w:val="en-US" w:eastAsia="zh-CN"/>
              </w:rPr>
              <w:t>经收集后外售综合利用；</w:t>
            </w:r>
            <w:r>
              <w:rPr>
                <w:rFonts w:hint="eastAsia" w:eastAsia="宋体" w:cs="Times New Roman"/>
                <w:b w:val="0"/>
                <w:bCs w:val="0"/>
                <w:color w:val="auto"/>
                <w:sz w:val="24"/>
                <w:szCs w:val="24"/>
                <w:lang w:val="en-US" w:eastAsia="zh-CN"/>
              </w:rPr>
              <w:t>危险废物</w:t>
            </w:r>
            <w:r>
              <w:rPr>
                <w:rFonts w:hint="eastAsia" w:ascii="Times New Roman" w:hAnsi="Times New Roman" w:eastAsia="宋体" w:cs="Times New Roman"/>
                <w:b w:val="0"/>
                <w:bCs w:val="0"/>
                <w:color w:val="auto"/>
                <w:sz w:val="24"/>
                <w:szCs w:val="24"/>
                <w:lang w:val="en-US" w:eastAsia="zh-CN"/>
              </w:rPr>
              <w:t>进行分类收集和专门贮存，确保不相容的废物不混合收集贮存，</w:t>
            </w:r>
            <w:r>
              <w:rPr>
                <w:rFonts w:hint="eastAsia" w:eastAsia="宋体" w:cs="Times New Roman"/>
                <w:b w:val="0"/>
                <w:bCs w:val="0"/>
                <w:color w:val="auto"/>
                <w:sz w:val="24"/>
                <w:szCs w:val="24"/>
                <w:lang w:val="en-US" w:eastAsia="zh-CN"/>
              </w:rPr>
              <w:t>其中</w:t>
            </w:r>
            <w:r>
              <w:rPr>
                <w:rFonts w:hint="eastAsia" w:cs="Times New Roman"/>
                <w:b w:val="0"/>
                <w:bCs w:val="0"/>
                <w:color w:val="auto"/>
                <w:sz w:val="24"/>
                <w:szCs w:val="24"/>
                <w:lang w:val="en-US" w:eastAsia="zh-CN"/>
              </w:rPr>
              <w:t>铝灰、废铝渣、含铝粉尘</w:t>
            </w:r>
            <w:r>
              <w:rPr>
                <w:rFonts w:hint="eastAsia" w:ascii="Times New Roman" w:hAnsi="Times New Roman" w:eastAsia="宋体" w:cs="Times New Roman"/>
                <w:b w:val="0"/>
                <w:bCs w:val="0"/>
                <w:color w:val="auto"/>
                <w:sz w:val="24"/>
                <w:szCs w:val="24"/>
                <w:lang w:val="en-US" w:eastAsia="zh-CN"/>
              </w:rPr>
              <w:t>委托</w:t>
            </w:r>
            <w:r>
              <w:rPr>
                <w:rFonts w:hint="eastAsia" w:eastAsia="宋体" w:cs="Times New Roman"/>
                <w:b w:val="0"/>
                <w:bCs w:val="0"/>
                <w:color w:val="auto"/>
                <w:sz w:val="24"/>
                <w:szCs w:val="24"/>
                <w:lang w:val="en-US" w:eastAsia="zh-CN"/>
              </w:rPr>
              <w:t>江苏瑞孚金属</w:t>
            </w:r>
            <w:r>
              <w:rPr>
                <w:rFonts w:hint="eastAsia" w:ascii="Times New Roman" w:hAnsi="Times New Roman" w:eastAsia="宋体" w:cs="Times New Roman"/>
                <w:b w:val="0"/>
                <w:bCs w:val="0"/>
                <w:color w:val="auto"/>
                <w:sz w:val="24"/>
                <w:szCs w:val="24"/>
                <w:lang w:val="en-US" w:eastAsia="zh-CN"/>
              </w:rPr>
              <w:t>有限公司进行处置；</w:t>
            </w:r>
            <w:r>
              <w:rPr>
                <w:rFonts w:hint="eastAsia" w:eastAsia="宋体" w:cs="Times New Roman"/>
                <w:b w:val="0"/>
                <w:bCs w:val="0"/>
                <w:color w:val="auto"/>
                <w:sz w:val="24"/>
                <w:szCs w:val="24"/>
                <w:lang w:val="en-US" w:eastAsia="zh-CN"/>
              </w:rPr>
              <w:t>废乳化液、废包装桶</w:t>
            </w:r>
            <w:r>
              <w:rPr>
                <w:rFonts w:hint="eastAsia" w:ascii="Times New Roman" w:hAnsi="Times New Roman" w:eastAsia="宋体" w:cs="Times New Roman"/>
                <w:b w:val="0"/>
                <w:bCs w:val="0"/>
                <w:color w:val="auto"/>
                <w:sz w:val="24"/>
                <w:szCs w:val="24"/>
                <w:lang w:val="en-US" w:eastAsia="zh-CN"/>
              </w:rPr>
              <w:t>委托</w:t>
            </w:r>
            <w:r>
              <w:rPr>
                <w:rFonts w:hint="eastAsia" w:eastAsia="宋体" w:cs="Times New Roman"/>
                <w:b w:val="0"/>
                <w:bCs w:val="0"/>
                <w:color w:val="auto"/>
                <w:sz w:val="24"/>
                <w:szCs w:val="24"/>
                <w:lang w:val="en-US" w:eastAsia="zh-CN"/>
              </w:rPr>
              <w:t>常州坤坛环保</w:t>
            </w:r>
            <w:r>
              <w:rPr>
                <w:rFonts w:hint="eastAsia" w:ascii="Times New Roman" w:hAnsi="Times New Roman" w:eastAsia="宋体" w:cs="Times New Roman"/>
                <w:b w:val="0"/>
                <w:bCs w:val="0"/>
                <w:color w:val="auto"/>
                <w:sz w:val="24"/>
                <w:szCs w:val="24"/>
                <w:lang w:val="en-US" w:eastAsia="zh-CN"/>
              </w:rPr>
              <w:t>有限公司进行处置；</w:t>
            </w:r>
            <w:r>
              <w:rPr>
                <w:rFonts w:hint="eastAsia" w:eastAsia="宋体" w:cs="Times New Roman"/>
                <w:b w:val="0"/>
                <w:bCs w:val="0"/>
                <w:color w:val="auto"/>
                <w:sz w:val="24"/>
                <w:szCs w:val="24"/>
                <w:lang w:val="en-US" w:eastAsia="zh-CN"/>
              </w:rPr>
              <w:t>废活性炭</w:t>
            </w:r>
            <w:r>
              <w:rPr>
                <w:rFonts w:hint="eastAsia" w:ascii="Times New Roman" w:hAnsi="Times New Roman" w:eastAsia="宋体" w:cs="Times New Roman"/>
                <w:b w:val="0"/>
                <w:bCs w:val="0"/>
                <w:color w:val="auto"/>
                <w:sz w:val="24"/>
                <w:szCs w:val="24"/>
                <w:lang w:val="en-US" w:eastAsia="zh-CN"/>
              </w:rPr>
              <w:t>委托</w:t>
            </w:r>
            <w:r>
              <w:rPr>
                <w:rFonts w:hint="eastAsia" w:eastAsia="宋体" w:cs="Times New Roman"/>
                <w:b w:val="0"/>
                <w:bCs w:val="0"/>
                <w:color w:val="auto"/>
                <w:sz w:val="24"/>
                <w:szCs w:val="24"/>
                <w:lang w:val="en-US" w:eastAsia="zh-CN"/>
              </w:rPr>
              <w:t>盐城新宇辉丰环保科技</w:t>
            </w:r>
            <w:r>
              <w:rPr>
                <w:rFonts w:hint="eastAsia" w:cs="Times New Roman"/>
                <w:b w:val="0"/>
                <w:bCs w:val="0"/>
                <w:color w:val="auto"/>
                <w:sz w:val="24"/>
                <w:szCs w:val="24"/>
                <w:lang w:val="en-US" w:eastAsia="zh-CN"/>
              </w:rPr>
              <w:t>有</w:t>
            </w:r>
            <w:r>
              <w:rPr>
                <w:rFonts w:hint="eastAsia" w:ascii="Times New Roman" w:hAnsi="Times New Roman" w:eastAsia="宋体" w:cs="Times New Roman"/>
                <w:b w:val="0"/>
                <w:bCs w:val="0"/>
                <w:color w:val="auto"/>
                <w:sz w:val="24"/>
                <w:szCs w:val="24"/>
                <w:lang w:val="en-US" w:eastAsia="zh-CN"/>
              </w:rPr>
              <w:t>限公司进行处置；生活垃圾由环卫部门统一收集处理。原有项目营运期产生的固体废弃物均得到了有效的处理处置，固废控制率达到100%，不会对外环境造成二次污染。</w:t>
            </w:r>
            <w:bookmarkStart w:id="16" w:name="_GoBack"/>
            <w:bookmarkEnd w:id="16"/>
          </w:p>
          <w:p w14:paraId="7A1C0A1E">
            <w:pPr>
              <w:tabs>
                <w:tab w:val="left" w:pos="960"/>
              </w:tabs>
              <w:spacing w:beforeLines="50"/>
              <w:jc w:val="center"/>
              <w:rPr>
                <w:rFonts w:ascii="Times New Roman" w:hAnsi="Times New Roman" w:eastAsia="宋体" w:cs="宋体"/>
                <w:b/>
                <w:bCs w:val="0"/>
                <w:color w:val="auto"/>
                <w:spacing w:val="-4"/>
                <w:szCs w:val="21"/>
                <w:highlight w:val="none"/>
              </w:rPr>
            </w:pPr>
            <w:r>
              <w:rPr>
                <w:rFonts w:ascii="Times New Roman" w:hAnsi="Times New Roman" w:eastAsia="宋体" w:cs="宋体"/>
                <w:b/>
                <w:bCs w:val="0"/>
                <w:color w:val="auto"/>
                <w:spacing w:val="-4"/>
                <w:szCs w:val="21"/>
                <w:highlight w:val="none"/>
              </w:rPr>
              <w:t>表</w:t>
            </w:r>
            <w:r>
              <w:rPr>
                <w:rFonts w:hint="eastAsia" w:ascii="Times New Roman" w:hAnsi="Times New Roman" w:eastAsia="宋体" w:cs="宋体"/>
                <w:b/>
                <w:bCs w:val="0"/>
                <w:color w:val="auto"/>
                <w:spacing w:val="-4"/>
                <w:szCs w:val="21"/>
                <w:highlight w:val="none"/>
                <w:lang w:val="en-US" w:eastAsia="zh-CN"/>
              </w:rPr>
              <w:t>2.3</w:t>
            </w:r>
            <w:r>
              <w:rPr>
                <w:rFonts w:hint="eastAsia" w:ascii="Times New Roman" w:hAnsi="Times New Roman" w:eastAsia="宋体" w:cs="宋体"/>
                <w:b/>
                <w:bCs w:val="0"/>
                <w:color w:val="auto"/>
                <w:spacing w:val="-4"/>
                <w:szCs w:val="21"/>
                <w:highlight w:val="none"/>
              </w:rPr>
              <w:t>-</w:t>
            </w:r>
            <w:r>
              <w:rPr>
                <w:rFonts w:hint="eastAsia" w:cs="宋体"/>
                <w:b/>
                <w:bCs w:val="0"/>
                <w:color w:val="auto"/>
                <w:spacing w:val="-4"/>
                <w:szCs w:val="21"/>
                <w:highlight w:val="none"/>
                <w:lang w:val="en-US" w:eastAsia="zh-CN"/>
              </w:rPr>
              <w:t>9</w:t>
            </w:r>
            <w:r>
              <w:rPr>
                <w:rFonts w:hint="eastAsia" w:ascii="Times New Roman" w:hAnsi="Times New Roman" w:eastAsia="宋体" w:cs="宋体"/>
                <w:b/>
                <w:bCs w:val="0"/>
                <w:color w:val="auto"/>
                <w:spacing w:val="-4"/>
                <w:szCs w:val="21"/>
                <w:highlight w:val="none"/>
              </w:rPr>
              <w:t xml:space="preserve">  </w:t>
            </w:r>
            <w:r>
              <w:rPr>
                <w:rFonts w:hint="eastAsia" w:cs="宋体"/>
                <w:b/>
                <w:bCs w:val="0"/>
                <w:color w:val="auto"/>
                <w:spacing w:val="-4"/>
                <w:szCs w:val="21"/>
                <w:highlight w:val="none"/>
                <w:lang w:val="en-US" w:eastAsia="zh-CN"/>
              </w:rPr>
              <w:t>原有项目</w:t>
            </w:r>
            <w:r>
              <w:rPr>
                <w:rFonts w:ascii="Times New Roman" w:hAnsi="Times New Roman" w:eastAsia="宋体" w:cs="宋体"/>
                <w:b/>
                <w:bCs w:val="0"/>
                <w:color w:val="auto"/>
                <w:spacing w:val="-4"/>
                <w:szCs w:val="21"/>
                <w:highlight w:val="none"/>
              </w:rPr>
              <w:t>固体废物分析结果汇总表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1"/>
              <w:gridCol w:w="455"/>
              <w:gridCol w:w="904"/>
              <w:gridCol w:w="455"/>
              <w:gridCol w:w="1571"/>
              <w:gridCol w:w="604"/>
              <w:gridCol w:w="1174"/>
              <w:gridCol w:w="704"/>
              <w:gridCol w:w="1124"/>
            </w:tblGrid>
            <w:tr w14:paraId="1D0C3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D47EF25">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固废名称</w:t>
                  </w:r>
                </w:p>
              </w:tc>
              <w:tc>
                <w:tcPr>
                  <w:tcW w:w="273" w:type="pct"/>
                  <w:vAlign w:val="center"/>
                </w:tcPr>
                <w:p w14:paraId="69008E47">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属性</w:t>
                  </w:r>
                </w:p>
              </w:tc>
              <w:tc>
                <w:tcPr>
                  <w:tcW w:w="542" w:type="pct"/>
                  <w:vAlign w:val="center"/>
                </w:tcPr>
                <w:p w14:paraId="0990136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产生工序</w:t>
                  </w:r>
                </w:p>
              </w:tc>
              <w:tc>
                <w:tcPr>
                  <w:tcW w:w="273" w:type="pct"/>
                  <w:vAlign w:val="center"/>
                </w:tcPr>
                <w:p w14:paraId="466DB25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形态</w:t>
                  </w:r>
                </w:p>
              </w:tc>
              <w:tc>
                <w:tcPr>
                  <w:tcW w:w="942" w:type="pct"/>
                  <w:vAlign w:val="center"/>
                </w:tcPr>
                <w:p w14:paraId="60C70CDE">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主要成分</w:t>
                  </w:r>
                </w:p>
              </w:tc>
              <w:tc>
                <w:tcPr>
                  <w:tcW w:w="362" w:type="pct"/>
                  <w:vAlign w:val="center"/>
                </w:tcPr>
                <w:p w14:paraId="30218E60">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废物类别</w:t>
                  </w:r>
                </w:p>
              </w:tc>
              <w:tc>
                <w:tcPr>
                  <w:tcW w:w="704" w:type="pct"/>
                  <w:vAlign w:val="center"/>
                </w:tcPr>
                <w:p w14:paraId="6CD151D9">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废物代码</w:t>
                  </w:r>
                </w:p>
              </w:tc>
              <w:tc>
                <w:tcPr>
                  <w:tcW w:w="422" w:type="pct"/>
                  <w:vAlign w:val="center"/>
                </w:tcPr>
                <w:p w14:paraId="5FAE6E54">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ascii="Times New Roman" w:hAnsi="Times New Roman" w:eastAsia="宋体" w:cs="宋体"/>
                      <w:b/>
                      <w:bCs w:val="0"/>
                      <w:color w:val="auto"/>
                      <w:szCs w:val="21"/>
                      <w:highlight w:val="none"/>
                    </w:rPr>
                    <w:t>产生量（t/a）</w:t>
                  </w:r>
                </w:p>
              </w:tc>
              <w:tc>
                <w:tcPr>
                  <w:tcW w:w="674" w:type="pct"/>
                  <w:vAlign w:val="center"/>
                </w:tcPr>
                <w:p w14:paraId="345AE4DE">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处置方式及去向</w:t>
                  </w:r>
                </w:p>
              </w:tc>
            </w:tr>
            <w:tr w14:paraId="53F1B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61B239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cs="宋体"/>
                      <w:b w:val="0"/>
                      <w:color w:val="auto"/>
                      <w:szCs w:val="21"/>
                      <w:highlight w:val="none"/>
                      <w:lang w:val="en-US" w:eastAsia="zh-CN"/>
                    </w:rPr>
                    <w:t>废边角料</w:t>
                  </w:r>
                </w:p>
              </w:tc>
              <w:tc>
                <w:tcPr>
                  <w:tcW w:w="273" w:type="pct"/>
                  <w:vMerge w:val="restart"/>
                  <w:vAlign w:val="center"/>
                </w:tcPr>
                <w:p w14:paraId="0AE65173">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一般</w:t>
                  </w:r>
                </w:p>
                <w:p w14:paraId="73DD8B58">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固废</w:t>
                  </w:r>
                </w:p>
              </w:tc>
              <w:tc>
                <w:tcPr>
                  <w:tcW w:w="542" w:type="pct"/>
                  <w:vAlign w:val="center"/>
                </w:tcPr>
                <w:p w14:paraId="527980F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kern w:val="0"/>
                      <w:szCs w:val="21"/>
                      <w:highlight w:val="none"/>
                      <w:lang w:eastAsia="zh-CN"/>
                    </w:rPr>
                  </w:pPr>
                  <w:r>
                    <w:rPr>
                      <w:rFonts w:hint="eastAsia" w:cs="宋体"/>
                      <w:b w:val="0"/>
                      <w:color w:val="auto"/>
                      <w:kern w:val="0"/>
                      <w:szCs w:val="21"/>
                      <w:highlight w:val="none"/>
                      <w:lang w:val="en-US" w:eastAsia="zh-CN"/>
                    </w:rPr>
                    <w:t>机加工</w:t>
                  </w:r>
                </w:p>
              </w:tc>
              <w:tc>
                <w:tcPr>
                  <w:tcW w:w="273" w:type="pct"/>
                  <w:vAlign w:val="center"/>
                </w:tcPr>
                <w:p w14:paraId="48BBA396">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1EBD4EA8">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铝</w:t>
                  </w:r>
                </w:p>
              </w:tc>
              <w:tc>
                <w:tcPr>
                  <w:tcW w:w="362" w:type="pct"/>
                  <w:vAlign w:val="center"/>
                </w:tcPr>
                <w:p w14:paraId="029B231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SW17</w:t>
                  </w:r>
                </w:p>
              </w:tc>
              <w:tc>
                <w:tcPr>
                  <w:tcW w:w="704" w:type="pct"/>
                  <w:vAlign w:val="center"/>
                </w:tcPr>
                <w:p w14:paraId="15A8B442">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lang w:val="en-US" w:eastAsia="zh-CN"/>
                    </w:rPr>
                    <w:t>900-00</w:t>
                  </w:r>
                  <w:r>
                    <w:rPr>
                      <w:rFonts w:hint="eastAsia" w:cs="宋体"/>
                      <w:b w:val="0"/>
                      <w:color w:val="auto"/>
                      <w:szCs w:val="21"/>
                      <w:highlight w:val="none"/>
                      <w:lang w:val="en-US" w:eastAsia="zh-CN"/>
                    </w:rPr>
                    <w:t>2</w:t>
                  </w:r>
                  <w:r>
                    <w:rPr>
                      <w:rFonts w:hint="eastAsia" w:ascii="Times New Roman" w:hAnsi="Times New Roman" w:eastAsia="宋体" w:cs="宋体"/>
                      <w:b w:val="0"/>
                      <w:color w:val="auto"/>
                      <w:szCs w:val="21"/>
                      <w:highlight w:val="none"/>
                      <w:lang w:val="en-US" w:eastAsia="zh-CN"/>
                    </w:rPr>
                    <w:t>-S17</w:t>
                  </w:r>
                </w:p>
              </w:tc>
              <w:tc>
                <w:tcPr>
                  <w:tcW w:w="422" w:type="pct"/>
                  <w:vAlign w:val="center"/>
                </w:tcPr>
                <w:p w14:paraId="6DD71F87">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6</w:t>
                  </w:r>
                </w:p>
              </w:tc>
              <w:tc>
                <w:tcPr>
                  <w:tcW w:w="674" w:type="pct"/>
                  <w:vAlign w:val="center"/>
                </w:tcPr>
                <w:p w14:paraId="7BAE335C">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rPr>
                    <w:t>外售综合利用</w:t>
                  </w:r>
                </w:p>
              </w:tc>
            </w:tr>
            <w:tr w14:paraId="4F32A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CDC96AC">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不合格品</w:t>
                  </w:r>
                </w:p>
              </w:tc>
              <w:tc>
                <w:tcPr>
                  <w:tcW w:w="273" w:type="pct"/>
                  <w:vMerge w:val="continue"/>
                  <w:vAlign w:val="center"/>
                </w:tcPr>
                <w:p w14:paraId="196EDBE4">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vAlign w:val="center"/>
                </w:tcPr>
                <w:p w14:paraId="59E1AA13">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kern w:val="0"/>
                      <w:szCs w:val="21"/>
                      <w:highlight w:val="none"/>
                      <w:lang w:val="en-US" w:eastAsia="zh-CN"/>
                    </w:rPr>
                  </w:pPr>
                  <w:r>
                    <w:rPr>
                      <w:rFonts w:hint="eastAsia" w:cs="宋体"/>
                      <w:b w:val="0"/>
                      <w:color w:val="auto"/>
                      <w:kern w:val="0"/>
                      <w:szCs w:val="21"/>
                      <w:highlight w:val="none"/>
                      <w:lang w:val="en-US" w:eastAsia="zh-CN"/>
                    </w:rPr>
                    <w:t>检验</w:t>
                  </w:r>
                </w:p>
              </w:tc>
              <w:tc>
                <w:tcPr>
                  <w:tcW w:w="273" w:type="pct"/>
                  <w:vAlign w:val="center"/>
                </w:tcPr>
                <w:p w14:paraId="621547D8">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2CA9363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铝</w:t>
                  </w:r>
                </w:p>
              </w:tc>
              <w:tc>
                <w:tcPr>
                  <w:tcW w:w="362" w:type="pct"/>
                  <w:vAlign w:val="center"/>
                </w:tcPr>
                <w:p w14:paraId="470B1B5C">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SW17</w:t>
                  </w:r>
                </w:p>
              </w:tc>
              <w:tc>
                <w:tcPr>
                  <w:tcW w:w="704" w:type="pct"/>
                  <w:vAlign w:val="center"/>
                </w:tcPr>
                <w:p w14:paraId="6F4826D8">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rPr>
                    <w:t>900-00</w:t>
                  </w:r>
                  <w:r>
                    <w:rPr>
                      <w:rFonts w:hint="eastAsia" w:cs="宋体"/>
                      <w:b w:val="0"/>
                      <w:color w:val="auto"/>
                      <w:szCs w:val="21"/>
                      <w:highlight w:val="none"/>
                      <w:lang w:val="en-US" w:eastAsia="zh-CN"/>
                    </w:rPr>
                    <w:t>2</w:t>
                  </w:r>
                  <w:r>
                    <w:rPr>
                      <w:rFonts w:hint="eastAsia" w:ascii="Times New Roman" w:hAnsi="Times New Roman" w:eastAsia="宋体" w:cs="宋体"/>
                      <w:b w:val="0"/>
                      <w:color w:val="auto"/>
                      <w:szCs w:val="21"/>
                      <w:highlight w:val="none"/>
                    </w:rPr>
                    <w:t>-S17</w:t>
                  </w:r>
                </w:p>
              </w:tc>
              <w:tc>
                <w:tcPr>
                  <w:tcW w:w="422" w:type="pct"/>
                  <w:vAlign w:val="center"/>
                </w:tcPr>
                <w:p w14:paraId="5D8A19B7">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6</w:t>
                  </w:r>
                </w:p>
              </w:tc>
              <w:tc>
                <w:tcPr>
                  <w:tcW w:w="674" w:type="pct"/>
                  <w:vAlign w:val="center"/>
                </w:tcPr>
                <w:p w14:paraId="4D16B7F9">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cs="宋体"/>
                      <w:b w:val="0"/>
                      <w:color w:val="auto"/>
                      <w:szCs w:val="21"/>
                      <w:highlight w:val="none"/>
                      <w:lang w:val="en-US" w:eastAsia="zh-CN"/>
                    </w:rPr>
                    <w:t>回用于熔化工序</w:t>
                  </w:r>
                </w:p>
              </w:tc>
            </w:tr>
            <w:tr w14:paraId="0C8B2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213A91E1">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废包装袋</w:t>
                  </w:r>
                </w:p>
              </w:tc>
              <w:tc>
                <w:tcPr>
                  <w:tcW w:w="273" w:type="pct"/>
                  <w:vMerge w:val="continue"/>
                  <w:vAlign w:val="center"/>
                </w:tcPr>
                <w:p w14:paraId="57386687">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vAlign w:val="center"/>
                </w:tcPr>
                <w:p w14:paraId="358542A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kern w:val="0"/>
                      <w:szCs w:val="21"/>
                      <w:highlight w:val="none"/>
                      <w:lang w:val="en-US" w:eastAsia="zh-CN"/>
                    </w:rPr>
                  </w:pPr>
                  <w:r>
                    <w:rPr>
                      <w:rFonts w:hint="eastAsia" w:cs="宋体"/>
                      <w:b w:val="0"/>
                      <w:color w:val="auto"/>
                      <w:kern w:val="0"/>
                      <w:szCs w:val="21"/>
                      <w:highlight w:val="none"/>
                      <w:lang w:val="en-US" w:eastAsia="zh-CN"/>
                    </w:rPr>
                    <w:t>包装</w:t>
                  </w:r>
                </w:p>
              </w:tc>
              <w:tc>
                <w:tcPr>
                  <w:tcW w:w="273" w:type="pct"/>
                  <w:vAlign w:val="center"/>
                </w:tcPr>
                <w:p w14:paraId="31B4311E">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固</w:t>
                  </w:r>
                </w:p>
              </w:tc>
              <w:tc>
                <w:tcPr>
                  <w:tcW w:w="942" w:type="pct"/>
                  <w:vAlign w:val="center"/>
                </w:tcPr>
                <w:p w14:paraId="5D69FB4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塑料</w:t>
                  </w:r>
                </w:p>
              </w:tc>
              <w:tc>
                <w:tcPr>
                  <w:tcW w:w="362" w:type="pct"/>
                  <w:vAlign w:val="center"/>
                </w:tcPr>
                <w:p w14:paraId="1E13F842">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SW17</w:t>
                  </w:r>
                </w:p>
              </w:tc>
              <w:tc>
                <w:tcPr>
                  <w:tcW w:w="704" w:type="pct"/>
                  <w:vAlign w:val="center"/>
                </w:tcPr>
                <w:p w14:paraId="3AE74E0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900-00</w:t>
                  </w:r>
                  <w:r>
                    <w:rPr>
                      <w:rFonts w:hint="eastAsia" w:cs="宋体"/>
                      <w:b w:val="0"/>
                      <w:color w:val="auto"/>
                      <w:szCs w:val="21"/>
                      <w:highlight w:val="none"/>
                      <w:lang w:val="en-US" w:eastAsia="zh-CN"/>
                    </w:rPr>
                    <w:t>3</w:t>
                  </w:r>
                  <w:r>
                    <w:rPr>
                      <w:rFonts w:hint="eastAsia" w:ascii="Times New Roman" w:hAnsi="Times New Roman" w:eastAsia="宋体" w:cs="宋体"/>
                      <w:b w:val="0"/>
                      <w:color w:val="auto"/>
                      <w:szCs w:val="21"/>
                      <w:highlight w:val="none"/>
                    </w:rPr>
                    <w:t>-S17</w:t>
                  </w:r>
                </w:p>
              </w:tc>
              <w:tc>
                <w:tcPr>
                  <w:tcW w:w="422" w:type="pct"/>
                  <w:vAlign w:val="center"/>
                </w:tcPr>
                <w:p w14:paraId="7E32AC99">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0.05</w:t>
                  </w:r>
                </w:p>
              </w:tc>
              <w:tc>
                <w:tcPr>
                  <w:tcW w:w="674" w:type="pct"/>
                  <w:vAlign w:val="center"/>
                </w:tcPr>
                <w:p w14:paraId="437A0BD0">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外售综合</w:t>
                  </w:r>
                </w:p>
                <w:p w14:paraId="160DBBF0">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hint="eastAsia" w:cs="宋体"/>
                      <w:b w:val="0"/>
                      <w:color w:val="auto"/>
                      <w:szCs w:val="21"/>
                      <w:highlight w:val="none"/>
                      <w:lang w:val="en-US" w:eastAsia="zh-CN"/>
                    </w:rPr>
                  </w:pPr>
                  <w:r>
                    <w:rPr>
                      <w:rFonts w:hint="eastAsia" w:ascii="Times New Roman" w:hAnsi="Times New Roman" w:eastAsia="宋体" w:cs="宋体"/>
                      <w:b w:val="0"/>
                      <w:color w:val="auto"/>
                      <w:szCs w:val="21"/>
                      <w:highlight w:val="none"/>
                    </w:rPr>
                    <w:t>利用</w:t>
                  </w:r>
                </w:p>
              </w:tc>
            </w:tr>
            <w:tr w14:paraId="78475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9C5A603">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eastAsia="宋体" w:cs="宋体"/>
                      <w:b w:val="0"/>
                      <w:color w:val="auto"/>
                      <w:szCs w:val="21"/>
                      <w:highlight w:val="none"/>
                      <w:lang w:val="en-US" w:eastAsia="zh-CN"/>
                    </w:rPr>
                  </w:pPr>
                  <w:r>
                    <w:rPr>
                      <w:rFonts w:hint="eastAsia" w:cs="宋体"/>
                      <w:b w:val="0"/>
                      <w:color w:val="auto"/>
                      <w:szCs w:val="21"/>
                      <w:highlight w:val="none"/>
                      <w:lang w:val="en-US" w:eastAsia="zh-CN"/>
                    </w:rPr>
                    <w:t>废塑料</w:t>
                  </w:r>
                  <w:r>
                    <w:rPr>
                      <w:rFonts w:hint="eastAsia"/>
                      <w:b w:val="0"/>
                      <w:color w:val="auto"/>
                      <w:lang w:val="en-US" w:eastAsia="zh-CN"/>
                    </w:rPr>
                    <w:t>及不合格品</w:t>
                  </w:r>
                </w:p>
              </w:tc>
              <w:tc>
                <w:tcPr>
                  <w:tcW w:w="273" w:type="pct"/>
                  <w:vMerge w:val="continue"/>
                  <w:vAlign w:val="center"/>
                </w:tcPr>
                <w:p w14:paraId="03ED9960">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vAlign w:val="center"/>
                </w:tcPr>
                <w:p w14:paraId="7A09CA88">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kern w:val="0"/>
                      <w:szCs w:val="21"/>
                      <w:highlight w:val="none"/>
                      <w:lang w:val="en-US" w:eastAsia="zh-CN"/>
                    </w:rPr>
                  </w:pPr>
                  <w:r>
                    <w:rPr>
                      <w:rFonts w:hint="eastAsia" w:cs="宋体"/>
                      <w:b w:val="0"/>
                      <w:color w:val="auto"/>
                      <w:kern w:val="0"/>
                      <w:szCs w:val="21"/>
                      <w:highlight w:val="none"/>
                      <w:lang w:val="en-US" w:eastAsia="zh-CN"/>
                    </w:rPr>
                    <w:t>注塑</w:t>
                  </w:r>
                </w:p>
              </w:tc>
              <w:tc>
                <w:tcPr>
                  <w:tcW w:w="273" w:type="pct"/>
                  <w:vAlign w:val="center"/>
                </w:tcPr>
                <w:p w14:paraId="049C4C30">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固</w:t>
                  </w:r>
                </w:p>
              </w:tc>
              <w:tc>
                <w:tcPr>
                  <w:tcW w:w="942" w:type="pct"/>
                  <w:vAlign w:val="center"/>
                </w:tcPr>
                <w:p w14:paraId="19241400">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cs="宋体"/>
                      <w:b w:val="0"/>
                      <w:color w:val="auto"/>
                      <w:szCs w:val="21"/>
                      <w:highlight w:val="none"/>
                      <w:lang w:val="en-US" w:eastAsia="zh-CN"/>
                    </w:rPr>
                  </w:pPr>
                  <w:r>
                    <w:rPr>
                      <w:rFonts w:hint="eastAsia" w:cs="宋体"/>
                      <w:b w:val="0"/>
                      <w:color w:val="auto"/>
                      <w:szCs w:val="21"/>
                      <w:highlight w:val="none"/>
                      <w:lang w:val="en-US" w:eastAsia="zh-CN"/>
                    </w:rPr>
                    <w:t>塑料</w:t>
                  </w:r>
                </w:p>
              </w:tc>
              <w:tc>
                <w:tcPr>
                  <w:tcW w:w="362" w:type="pct"/>
                  <w:vAlign w:val="center"/>
                </w:tcPr>
                <w:p w14:paraId="33C797B2">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SW17</w:t>
                  </w:r>
                </w:p>
              </w:tc>
              <w:tc>
                <w:tcPr>
                  <w:tcW w:w="704" w:type="pct"/>
                  <w:vAlign w:val="center"/>
                </w:tcPr>
                <w:p w14:paraId="73994993">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900-00</w:t>
                  </w:r>
                  <w:r>
                    <w:rPr>
                      <w:rFonts w:hint="eastAsia" w:cs="宋体"/>
                      <w:b w:val="0"/>
                      <w:color w:val="auto"/>
                      <w:szCs w:val="21"/>
                      <w:highlight w:val="none"/>
                      <w:lang w:val="en-US" w:eastAsia="zh-CN"/>
                    </w:rPr>
                    <w:t>3</w:t>
                  </w:r>
                  <w:r>
                    <w:rPr>
                      <w:rFonts w:hint="eastAsia" w:ascii="Times New Roman" w:hAnsi="Times New Roman" w:eastAsia="宋体" w:cs="宋体"/>
                      <w:b w:val="0"/>
                      <w:color w:val="auto"/>
                      <w:szCs w:val="21"/>
                      <w:highlight w:val="none"/>
                    </w:rPr>
                    <w:t>-S17</w:t>
                  </w:r>
                </w:p>
              </w:tc>
              <w:tc>
                <w:tcPr>
                  <w:tcW w:w="422" w:type="pct"/>
                  <w:vAlign w:val="center"/>
                </w:tcPr>
                <w:p w14:paraId="6090A2F6">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5</w:t>
                  </w:r>
                </w:p>
              </w:tc>
              <w:tc>
                <w:tcPr>
                  <w:tcW w:w="674" w:type="pct"/>
                  <w:vAlign w:val="center"/>
                </w:tcPr>
                <w:p w14:paraId="5DE0BC16">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cs="宋体"/>
                      <w:b w:val="0"/>
                      <w:color w:val="auto"/>
                      <w:szCs w:val="21"/>
                      <w:highlight w:val="none"/>
                      <w:lang w:val="en-US" w:eastAsia="zh-CN"/>
                    </w:rPr>
                    <w:t>回用于破碎工序</w:t>
                  </w:r>
                </w:p>
              </w:tc>
            </w:tr>
            <w:tr w14:paraId="14D06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D80837E">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铝灰渣</w:t>
                  </w:r>
                </w:p>
              </w:tc>
              <w:tc>
                <w:tcPr>
                  <w:tcW w:w="273" w:type="pct"/>
                  <w:vMerge w:val="restart"/>
                  <w:vAlign w:val="center"/>
                </w:tcPr>
                <w:p w14:paraId="7F17A571">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危险</w:t>
                  </w:r>
                </w:p>
                <w:p w14:paraId="0245869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废物</w:t>
                  </w:r>
                </w:p>
              </w:tc>
              <w:tc>
                <w:tcPr>
                  <w:tcW w:w="542" w:type="pct"/>
                  <w:vAlign w:val="center"/>
                </w:tcPr>
                <w:p w14:paraId="2218DEF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kern w:val="0"/>
                      <w:szCs w:val="21"/>
                      <w:highlight w:val="none"/>
                      <w:lang w:eastAsia="zh-CN"/>
                    </w:rPr>
                  </w:pPr>
                  <w:r>
                    <w:rPr>
                      <w:rFonts w:hint="eastAsia" w:cs="宋体"/>
                      <w:b w:val="0"/>
                      <w:color w:val="auto"/>
                      <w:kern w:val="0"/>
                      <w:szCs w:val="21"/>
                      <w:highlight w:val="none"/>
                      <w:lang w:val="en-US" w:eastAsia="zh-CN"/>
                    </w:rPr>
                    <w:t>熔化</w:t>
                  </w:r>
                </w:p>
              </w:tc>
              <w:tc>
                <w:tcPr>
                  <w:tcW w:w="273" w:type="pct"/>
                  <w:vAlign w:val="center"/>
                </w:tcPr>
                <w:p w14:paraId="10B82E2C">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固</w:t>
                  </w:r>
                </w:p>
              </w:tc>
              <w:tc>
                <w:tcPr>
                  <w:tcW w:w="942" w:type="pct"/>
                  <w:vAlign w:val="center"/>
                </w:tcPr>
                <w:p w14:paraId="25696BEC">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铝</w:t>
                  </w:r>
                </w:p>
              </w:tc>
              <w:tc>
                <w:tcPr>
                  <w:tcW w:w="362" w:type="pct"/>
                  <w:vAlign w:val="center"/>
                </w:tcPr>
                <w:p w14:paraId="52BCEB15">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HW</w:t>
                  </w:r>
                  <w:r>
                    <w:rPr>
                      <w:rFonts w:hint="eastAsia" w:cs="宋体"/>
                      <w:b w:val="0"/>
                      <w:color w:val="auto"/>
                      <w:szCs w:val="21"/>
                      <w:highlight w:val="none"/>
                      <w:lang w:val="en-US" w:eastAsia="zh-CN"/>
                    </w:rPr>
                    <w:t>48</w:t>
                  </w:r>
                </w:p>
              </w:tc>
              <w:tc>
                <w:tcPr>
                  <w:tcW w:w="704" w:type="pct"/>
                  <w:vAlign w:val="center"/>
                </w:tcPr>
                <w:p w14:paraId="5A81DB1A">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3</w:t>
                  </w:r>
                  <w:r>
                    <w:rPr>
                      <w:rFonts w:hint="eastAsia" w:cs="宋体"/>
                      <w:b w:val="0"/>
                      <w:color w:val="auto"/>
                      <w:szCs w:val="21"/>
                      <w:highlight w:val="none"/>
                      <w:lang w:val="en-US" w:eastAsia="zh-CN"/>
                    </w:rPr>
                    <w:t>21</w:t>
                  </w:r>
                  <w:r>
                    <w:rPr>
                      <w:rFonts w:hint="eastAsia" w:ascii="Times New Roman" w:hAnsi="Times New Roman" w:eastAsia="宋体" w:cs="宋体"/>
                      <w:b w:val="0"/>
                      <w:color w:val="auto"/>
                      <w:szCs w:val="21"/>
                      <w:highlight w:val="none"/>
                      <w:lang w:val="en-US" w:eastAsia="zh-CN"/>
                    </w:rPr>
                    <w:t>-0</w:t>
                  </w:r>
                  <w:r>
                    <w:rPr>
                      <w:rFonts w:hint="eastAsia" w:cs="宋体"/>
                      <w:b w:val="0"/>
                      <w:color w:val="auto"/>
                      <w:szCs w:val="21"/>
                      <w:highlight w:val="none"/>
                      <w:lang w:val="en-US" w:eastAsia="zh-CN"/>
                    </w:rPr>
                    <w:t>26</w:t>
                  </w:r>
                  <w:r>
                    <w:rPr>
                      <w:rFonts w:hint="eastAsia" w:ascii="Times New Roman" w:hAnsi="Times New Roman" w:eastAsia="宋体" w:cs="宋体"/>
                      <w:b w:val="0"/>
                      <w:color w:val="auto"/>
                      <w:szCs w:val="21"/>
                      <w:highlight w:val="none"/>
                      <w:lang w:val="en-US" w:eastAsia="zh-CN"/>
                    </w:rPr>
                    <w:t>-</w:t>
                  </w:r>
                  <w:r>
                    <w:rPr>
                      <w:rFonts w:hint="eastAsia" w:cs="宋体"/>
                      <w:b w:val="0"/>
                      <w:color w:val="auto"/>
                      <w:szCs w:val="21"/>
                      <w:highlight w:val="none"/>
                      <w:lang w:val="en-US" w:eastAsia="zh-CN"/>
                    </w:rPr>
                    <w:t>48</w:t>
                  </w:r>
                </w:p>
              </w:tc>
              <w:tc>
                <w:tcPr>
                  <w:tcW w:w="422" w:type="pct"/>
                  <w:vAlign w:val="center"/>
                </w:tcPr>
                <w:p w14:paraId="66E50286">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18.0</w:t>
                  </w:r>
                </w:p>
              </w:tc>
              <w:tc>
                <w:tcPr>
                  <w:tcW w:w="674" w:type="pct"/>
                  <w:vMerge w:val="restart"/>
                  <w:vAlign w:val="center"/>
                </w:tcPr>
                <w:p w14:paraId="1ACEC6F4">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ascii="Times New Roman" w:hAnsi="Times New Roman" w:eastAsia="宋体" w:cs="宋体"/>
                      <w:b w:val="0"/>
                      <w:color w:val="auto"/>
                      <w:szCs w:val="21"/>
                      <w:highlight w:val="none"/>
                    </w:rPr>
                    <w:t>委托有资质单位处置</w:t>
                  </w:r>
                </w:p>
              </w:tc>
            </w:tr>
            <w:tr w14:paraId="15F75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04E2B88">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废乳化液</w:t>
                  </w:r>
                </w:p>
              </w:tc>
              <w:tc>
                <w:tcPr>
                  <w:tcW w:w="273" w:type="pct"/>
                  <w:vMerge w:val="continue"/>
                  <w:vAlign w:val="center"/>
                </w:tcPr>
                <w:p w14:paraId="2564CBBF">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vAlign w:val="center"/>
                </w:tcPr>
                <w:p w14:paraId="6ABEF2FC">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kern w:val="0"/>
                      <w:szCs w:val="21"/>
                      <w:highlight w:val="none"/>
                      <w:lang w:eastAsia="zh-CN"/>
                    </w:rPr>
                  </w:pPr>
                  <w:r>
                    <w:rPr>
                      <w:rFonts w:hint="eastAsia" w:cs="宋体"/>
                      <w:b w:val="0"/>
                      <w:color w:val="auto"/>
                      <w:kern w:val="0"/>
                      <w:szCs w:val="21"/>
                      <w:highlight w:val="none"/>
                      <w:lang w:val="en-US" w:eastAsia="zh-CN"/>
                    </w:rPr>
                    <w:t>机加工</w:t>
                  </w:r>
                </w:p>
              </w:tc>
              <w:tc>
                <w:tcPr>
                  <w:tcW w:w="273" w:type="pct"/>
                  <w:vAlign w:val="center"/>
                </w:tcPr>
                <w:p w14:paraId="724C6DF8">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液</w:t>
                  </w:r>
                </w:p>
              </w:tc>
              <w:tc>
                <w:tcPr>
                  <w:tcW w:w="942" w:type="pct"/>
                  <w:vAlign w:val="center"/>
                </w:tcPr>
                <w:p w14:paraId="601D9DC3">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烃水混合物</w:t>
                  </w:r>
                </w:p>
              </w:tc>
              <w:tc>
                <w:tcPr>
                  <w:tcW w:w="362" w:type="pct"/>
                  <w:shd w:val="clear" w:color="auto" w:fill="auto"/>
                  <w:vAlign w:val="center"/>
                </w:tcPr>
                <w:p w14:paraId="63C47E41">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lang w:val="en-US" w:eastAsia="zh-CN"/>
                    </w:rPr>
                    <w:t>HW</w:t>
                  </w:r>
                  <w:r>
                    <w:rPr>
                      <w:rFonts w:hint="eastAsia" w:cs="宋体"/>
                      <w:b w:val="0"/>
                      <w:color w:val="auto"/>
                      <w:szCs w:val="21"/>
                      <w:highlight w:val="none"/>
                      <w:lang w:val="en-US" w:eastAsia="zh-CN"/>
                    </w:rPr>
                    <w:t>09</w:t>
                  </w:r>
                </w:p>
              </w:tc>
              <w:tc>
                <w:tcPr>
                  <w:tcW w:w="704" w:type="pct"/>
                  <w:shd w:val="clear" w:color="auto" w:fill="auto"/>
                  <w:vAlign w:val="center"/>
                </w:tcPr>
                <w:p w14:paraId="494483B8">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900</w:t>
                  </w:r>
                  <w:r>
                    <w:rPr>
                      <w:rFonts w:hint="eastAsia" w:ascii="Times New Roman" w:hAnsi="Times New Roman" w:eastAsia="宋体" w:cs="宋体"/>
                      <w:b w:val="0"/>
                      <w:color w:val="auto"/>
                      <w:szCs w:val="21"/>
                      <w:highlight w:val="none"/>
                      <w:lang w:val="en-US" w:eastAsia="zh-CN"/>
                    </w:rPr>
                    <w:t>-0</w:t>
                  </w:r>
                  <w:r>
                    <w:rPr>
                      <w:rFonts w:hint="eastAsia" w:cs="宋体"/>
                      <w:b w:val="0"/>
                      <w:color w:val="auto"/>
                      <w:szCs w:val="21"/>
                      <w:highlight w:val="none"/>
                      <w:lang w:val="en-US" w:eastAsia="zh-CN"/>
                    </w:rPr>
                    <w:t>06</w:t>
                  </w:r>
                  <w:r>
                    <w:rPr>
                      <w:rFonts w:hint="eastAsia" w:ascii="Times New Roman" w:hAnsi="Times New Roman" w:eastAsia="宋体" w:cs="宋体"/>
                      <w:b w:val="0"/>
                      <w:color w:val="auto"/>
                      <w:szCs w:val="21"/>
                      <w:highlight w:val="none"/>
                      <w:lang w:val="en-US" w:eastAsia="zh-CN"/>
                    </w:rPr>
                    <w:t>-</w:t>
                  </w:r>
                  <w:r>
                    <w:rPr>
                      <w:rFonts w:hint="eastAsia" w:cs="宋体"/>
                      <w:b w:val="0"/>
                      <w:color w:val="auto"/>
                      <w:szCs w:val="21"/>
                      <w:highlight w:val="none"/>
                      <w:lang w:val="en-US" w:eastAsia="zh-CN"/>
                    </w:rPr>
                    <w:t>09</w:t>
                  </w:r>
                </w:p>
              </w:tc>
              <w:tc>
                <w:tcPr>
                  <w:tcW w:w="422" w:type="pct"/>
                  <w:vAlign w:val="center"/>
                </w:tcPr>
                <w:p w14:paraId="1A55551A">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7.5</w:t>
                  </w:r>
                </w:p>
              </w:tc>
              <w:tc>
                <w:tcPr>
                  <w:tcW w:w="674" w:type="pct"/>
                  <w:vMerge w:val="continue"/>
                  <w:vAlign w:val="center"/>
                </w:tcPr>
                <w:p w14:paraId="7076210C">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r>
            <w:tr w14:paraId="6ACDF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083276E4">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含铝粉尘</w:t>
                  </w:r>
                </w:p>
              </w:tc>
              <w:tc>
                <w:tcPr>
                  <w:tcW w:w="273" w:type="pct"/>
                  <w:vMerge w:val="continue"/>
                  <w:vAlign w:val="center"/>
                </w:tcPr>
                <w:p w14:paraId="150F3463">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shd w:val="clear" w:color="auto" w:fill="auto"/>
                  <w:vAlign w:val="center"/>
                </w:tcPr>
                <w:p w14:paraId="444B1E0F">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kern w:val="0"/>
                      <w:sz w:val="21"/>
                      <w:szCs w:val="21"/>
                      <w:highlight w:val="none"/>
                      <w:lang w:val="en-US" w:eastAsia="zh-CN" w:bidi="ar-SA"/>
                    </w:rPr>
                  </w:pPr>
                  <w:r>
                    <w:rPr>
                      <w:rFonts w:hint="eastAsia" w:ascii="Times New Roman" w:hAnsi="Times New Roman" w:eastAsia="宋体" w:cs="宋体"/>
                      <w:b w:val="0"/>
                      <w:color w:val="auto"/>
                      <w:szCs w:val="21"/>
                      <w:highlight w:val="none"/>
                    </w:rPr>
                    <w:t>废气处理</w:t>
                  </w:r>
                </w:p>
              </w:tc>
              <w:tc>
                <w:tcPr>
                  <w:tcW w:w="273" w:type="pct"/>
                  <w:vAlign w:val="center"/>
                </w:tcPr>
                <w:p w14:paraId="2E9C0B79">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2A61507E">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铝</w:t>
                  </w:r>
                </w:p>
              </w:tc>
              <w:tc>
                <w:tcPr>
                  <w:tcW w:w="362" w:type="pct"/>
                  <w:vAlign w:val="center"/>
                </w:tcPr>
                <w:p w14:paraId="18636F66">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ascii="Times New Roman" w:hAnsi="Times New Roman" w:eastAsia="宋体" w:cs="宋体"/>
                      <w:b w:val="0"/>
                      <w:color w:val="auto"/>
                      <w:szCs w:val="21"/>
                      <w:highlight w:val="none"/>
                    </w:rPr>
                    <w:t>HW4</w:t>
                  </w:r>
                  <w:r>
                    <w:rPr>
                      <w:rFonts w:hint="eastAsia" w:cs="宋体"/>
                      <w:b w:val="0"/>
                      <w:color w:val="auto"/>
                      <w:szCs w:val="21"/>
                      <w:highlight w:val="none"/>
                      <w:lang w:val="en-US" w:eastAsia="zh-CN"/>
                    </w:rPr>
                    <w:t>8</w:t>
                  </w:r>
                </w:p>
              </w:tc>
              <w:tc>
                <w:tcPr>
                  <w:tcW w:w="704" w:type="pct"/>
                  <w:vAlign w:val="center"/>
                </w:tcPr>
                <w:p w14:paraId="4D7A1474">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321</w:t>
                  </w:r>
                  <w:r>
                    <w:rPr>
                      <w:rFonts w:hint="eastAsia" w:ascii="Times New Roman" w:hAnsi="Times New Roman" w:eastAsia="宋体" w:cs="宋体"/>
                      <w:b w:val="0"/>
                      <w:color w:val="auto"/>
                      <w:szCs w:val="21"/>
                      <w:highlight w:val="none"/>
                    </w:rPr>
                    <w:t>-03</w:t>
                  </w:r>
                  <w:r>
                    <w:rPr>
                      <w:rFonts w:hint="eastAsia" w:cs="宋体"/>
                      <w:b w:val="0"/>
                      <w:color w:val="auto"/>
                      <w:szCs w:val="21"/>
                      <w:highlight w:val="none"/>
                      <w:lang w:val="en-US" w:eastAsia="zh-CN"/>
                    </w:rPr>
                    <w:t>4</w:t>
                  </w:r>
                  <w:r>
                    <w:rPr>
                      <w:rFonts w:hint="eastAsia" w:ascii="Times New Roman" w:hAnsi="Times New Roman" w:eastAsia="宋体" w:cs="宋体"/>
                      <w:b w:val="0"/>
                      <w:color w:val="auto"/>
                      <w:szCs w:val="21"/>
                      <w:highlight w:val="none"/>
                    </w:rPr>
                    <w:t>-</w:t>
                  </w:r>
                  <w:r>
                    <w:rPr>
                      <w:rFonts w:hint="eastAsia" w:cs="宋体"/>
                      <w:b w:val="0"/>
                      <w:color w:val="auto"/>
                      <w:szCs w:val="21"/>
                      <w:highlight w:val="none"/>
                      <w:lang w:val="en-US" w:eastAsia="zh-CN"/>
                    </w:rPr>
                    <w:t>48</w:t>
                  </w:r>
                </w:p>
              </w:tc>
              <w:tc>
                <w:tcPr>
                  <w:tcW w:w="422" w:type="pct"/>
                  <w:vAlign w:val="center"/>
                </w:tcPr>
                <w:p w14:paraId="512F057A">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0.05</w:t>
                  </w:r>
                </w:p>
              </w:tc>
              <w:tc>
                <w:tcPr>
                  <w:tcW w:w="674" w:type="pct"/>
                  <w:vMerge w:val="continue"/>
                  <w:vAlign w:val="center"/>
                </w:tcPr>
                <w:p w14:paraId="7CDCF5AE">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r>
            <w:tr w14:paraId="2D195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505F0245">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cs="宋体"/>
                      <w:b w:val="0"/>
                      <w:color w:val="auto"/>
                      <w:szCs w:val="21"/>
                      <w:highlight w:val="none"/>
                      <w:lang w:val="en-US" w:eastAsia="zh-CN"/>
                    </w:rPr>
                    <w:t>废活性炭</w:t>
                  </w:r>
                </w:p>
              </w:tc>
              <w:tc>
                <w:tcPr>
                  <w:tcW w:w="273" w:type="pct"/>
                  <w:vMerge w:val="continue"/>
                  <w:vAlign w:val="center"/>
                </w:tcPr>
                <w:p w14:paraId="72719C4E">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shd w:val="clear" w:color="auto" w:fill="auto"/>
                  <w:vAlign w:val="center"/>
                </w:tcPr>
                <w:p w14:paraId="14879A5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ascii="Times New Roman" w:hAnsi="Times New Roman" w:eastAsia="宋体" w:cs="宋体"/>
                      <w:b w:val="0"/>
                      <w:color w:val="auto"/>
                      <w:szCs w:val="21"/>
                      <w:highlight w:val="none"/>
                    </w:rPr>
                    <w:t>废气处理</w:t>
                  </w:r>
                </w:p>
              </w:tc>
              <w:tc>
                <w:tcPr>
                  <w:tcW w:w="273" w:type="pct"/>
                  <w:vAlign w:val="center"/>
                </w:tcPr>
                <w:p w14:paraId="3660E805">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eastAsia="zh-CN"/>
                    </w:rPr>
                  </w:pPr>
                  <w:r>
                    <w:rPr>
                      <w:rFonts w:hint="eastAsia" w:ascii="Times New Roman" w:hAnsi="Times New Roman" w:eastAsia="宋体" w:cs="宋体"/>
                      <w:b w:val="0"/>
                      <w:color w:val="auto"/>
                      <w:szCs w:val="21"/>
                      <w:highlight w:val="none"/>
                    </w:rPr>
                    <w:t>固</w:t>
                  </w:r>
                </w:p>
              </w:tc>
              <w:tc>
                <w:tcPr>
                  <w:tcW w:w="942" w:type="pct"/>
                  <w:vAlign w:val="center"/>
                </w:tcPr>
                <w:p w14:paraId="7E351DDA">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b w:val="0"/>
                      <w:smallCaps w:val="0"/>
                      <w:color w:val="auto"/>
                      <w:szCs w:val="21"/>
                      <w:highlight w:val="none"/>
                      <w:lang w:val="en-US" w:eastAsia="zh-CN"/>
                    </w:rPr>
                    <w:t>活性炭、有机物</w:t>
                  </w:r>
                </w:p>
              </w:tc>
              <w:tc>
                <w:tcPr>
                  <w:tcW w:w="362" w:type="pct"/>
                  <w:vAlign w:val="center"/>
                </w:tcPr>
                <w:p w14:paraId="007E24EC">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HW49</w:t>
                  </w:r>
                </w:p>
              </w:tc>
              <w:tc>
                <w:tcPr>
                  <w:tcW w:w="704" w:type="pct"/>
                  <w:vAlign w:val="center"/>
                </w:tcPr>
                <w:p w14:paraId="78CB626E">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900-0</w:t>
                  </w:r>
                  <w:r>
                    <w:rPr>
                      <w:rFonts w:hint="eastAsia" w:ascii="Times New Roman" w:hAnsi="Times New Roman" w:eastAsia="宋体" w:cs="宋体"/>
                      <w:b w:val="0"/>
                      <w:color w:val="auto"/>
                      <w:szCs w:val="21"/>
                      <w:highlight w:val="none"/>
                      <w:lang w:val="en-US" w:eastAsia="zh-CN"/>
                    </w:rPr>
                    <w:t>39</w:t>
                  </w:r>
                  <w:r>
                    <w:rPr>
                      <w:rFonts w:hint="eastAsia" w:ascii="Times New Roman" w:hAnsi="Times New Roman" w:eastAsia="宋体" w:cs="宋体"/>
                      <w:b w:val="0"/>
                      <w:color w:val="auto"/>
                      <w:szCs w:val="21"/>
                      <w:highlight w:val="none"/>
                    </w:rPr>
                    <w:t>-49</w:t>
                  </w:r>
                </w:p>
              </w:tc>
              <w:tc>
                <w:tcPr>
                  <w:tcW w:w="422" w:type="pct"/>
                  <w:vAlign w:val="center"/>
                </w:tcPr>
                <w:p w14:paraId="28039ADE">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3.0</w:t>
                  </w:r>
                </w:p>
              </w:tc>
              <w:tc>
                <w:tcPr>
                  <w:tcW w:w="674" w:type="pct"/>
                  <w:vMerge w:val="continue"/>
                  <w:vAlign w:val="center"/>
                </w:tcPr>
                <w:p w14:paraId="015C0199">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r>
            <w:tr w14:paraId="6F2CB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CB1BAD8">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废滤袋</w:t>
                  </w:r>
                </w:p>
              </w:tc>
              <w:tc>
                <w:tcPr>
                  <w:tcW w:w="273" w:type="pct"/>
                  <w:vMerge w:val="continue"/>
                  <w:vAlign w:val="center"/>
                </w:tcPr>
                <w:p w14:paraId="55A4A2E8">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shd w:val="clear" w:color="auto" w:fill="auto"/>
                  <w:vAlign w:val="center"/>
                </w:tcPr>
                <w:p w14:paraId="64493397">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废气处理</w:t>
                  </w:r>
                </w:p>
              </w:tc>
              <w:tc>
                <w:tcPr>
                  <w:tcW w:w="273" w:type="pct"/>
                  <w:vAlign w:val="center"/>
                </w:tcPr>
                <w:p w14:paraId="53FB5AE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2876BD4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沾有铝粉的布袋</w:t>
                  </w:r>
                </w:p>
              </w:tc>
              <w:tc>
                <w:tcPr>
                  <w:tcW w:w="362" w:type="pct"/>
                  <w:vAlign w:val="center"/>
                </w:tcPr>
                <w:p w14:paraId="36E9FF4B">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HW49</w:t>
                  </w:r>
                </w:p>
              </w:tc>
              <w:tc>
                <w:tcPr>
                  <w:tcW w:w="704" w:type="pct"/>
                  <w:vAlign w:val="center"/>
                </w:tcPr>
                <w:p w14:paraId="01F2896C">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900-041-49</w:t>
                  </w:r>
                </w:p>
              </w:tc>
              <w:tc>
                <w:tcPr>
                  <w:tcW w:w="422" w:type="pct"/>
                  <w:vAlign w:val="center"/>
                </w:tcPr>
                <w:p w14:paraId="237111C4">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0.1</w:t>
                  </w:r>
                </w:p>
              </w:tc>
              <w:tc>
                <w:tcPr>
                  <w:tcW w:w="674" w:type="pct"/>
                  <w:vMerge w:val="continue"/>
                  <w:vAlign w:val="center"/>
                </w:tcPr>
                <w:p w14:paraId="620C957B">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r>
            <w:tr w14:paraId="09224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CAA43F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废包装桶</w:t>
                  </w:r>
                </w:p>
              </w:tc>
              <w:tc>
                <w:tcPr>
                  <w:tcW w:w="273" w:type="pct"/>
                  <w:vMerge w:val="continue"/>
                  <w:vAlign w:val="center"/>
                </w:tcPr>
                <w:p w14:paraId="5AC6397E">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c>
                <w:tcPr>
                  <w:tcW w:w="542" w:type="pct"/>
                  <w:shd w:val="clear" w:color="auto" w:fill="auto"/>
                  <w:vAlign w:val="center"/>
                </w:tcPr>
                <w:p w14:paraId="78243668">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kern w:val="2"/>
                      <w:sz w:val="21"/>
                      <w:szCs w:val="21"/>
                      <w:highlight w:val="none"/>
                      <w:lang w:val="en-US" w:eastAsia="zh-CN" w:bidi="ar-SA"/>
                    </w:rPr>
                  </w:pPr>
                  <w:r>
                    <w:rPr>
                      <w:rFonts w:hint="eastAsia" w:cs="宋体"/>
                      <w:b w:val="0"/>
                      <w:color w:val="auto"/>
                      <w:szCs w:val="21"/>
                      <w:highlight w:val="none"/>
                      <w:lang w:val="en-US" w:eastAsia="zh-CN"/>
                    </w:rPr>
                    <w:t>原料包装</w:t>
                  </w:r>
                </w:p>
              </w:tc>
              <w:tc>
                <w:tcPr>
                  <w:tcW w:w="273" w:type="pct"/>
                  <w:vAlign w:val="center"/>
                </w:tcPr>
                <w:p w14:paraId="7DB3F8D9">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4619F44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铁、塑料等</w:t>
                  </w:r>
                </w:p>
              </w:tc>
              <w:tc>
                <w:tcPr>
                  <w:tcW w:w="362" w:type="pct"/>
                  <w:vAlign w:val="center"/>
                </w:tcPr>
                <w:p w14:paraId="50FC1D9F">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HW49</w:t>
                  </w:r>
                </w:p>
              </w:tc>
              <w:tc>
                <w:tcPr>
                  <w:tcW w:w="704" w:type="pct"/>
                  <w:vAlign w:val="center"/>
                </w:tcPr>
                <w:p w14:paraId="07EB0214">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900-041-49</w:t>
                  </w:r>
                </w:p>
              </w:tc>
              <w:tc>
                <w:tcPr>
                  <w:tcW w:w="422" w:type="pct"/>
                  <w:vAlign w:val="center"/>
                </w:tcPr>
                <w:p w14:paraId="36BEDD6E">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0.3</w:t>
                  </w:r>
                </w:p>
              </w:tc>
              <w:tc>
                <w:tcPr>
                  <w:tcW w:w="674" w:type="pct"/>
                  <w:vMerge w:val="continue"/>
                  <w:vAlign w:val="center"/>
                </w:tcPr>
                <w:p w14:paraId="0CA4ECE5">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p>
              </w:tc>
            </w:tr>
            <w:tr w14:paraId="43D992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14807A1">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lang w:val="en-US" w:eastAsia="zh-CN"/>
                    </w:rPr>
                    <w:t>含油劳保用品</w:t>
                  </w:r>
                </w:p>
              </w:tc>
              <w:tc>
                <w:tcPr>
                  <w:tcW w:w="273" w:type="pct"/>
                  <w:vAlign w:val="center"/>
                </w:tcPr>
                <w:p w14:paraId="70A36405">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w:t>
                  </w:r>
                </w:p>
              </w:tc>
              <w:tc>
                <w:tcPr>
                  <w:tcW w:w="542" w:type="pct"/>
                  <w:vAlign w:val="center"/>
                </w:tcPr>
                <w:p w14:paraId="2C2143F0">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kern w:val="0"/>
                      <w:szCs w:val="21"/>
                      <w:highlight w:val="none"/>
                    </w:rPr>
                  </w:pPr>
                  <w:r>
                    <w:rPr>
                      <w:rFonts w:hint="eastAsia" w:cs="宋体"/>
                      <w:b w:val="0"/>
                      <w:color w:val="auto"/>
                      <w:szCs w:val="21"/>
                      <w:highlight w:val="none"/>
                      <w:lang w:val="en-US" w:eastAsia="zh-CN"/>
                    </w:rPr>
                    <w:t>设备维护</w:t>
                  </w:r>
                </w:p>
              </w:tc>
              <w:tc>
                <w:tcPr>
                  <w:tcW w:w="273" w:type="pct"/>
                  <w:vAlign w:val="center"/>
                </w:tcPr>
                <w:p w14:paraId="1815E11B">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固</w:t>
                  </w:r>
                </w:p>
              </w:tc>
              <w:tc>
                <w:tcPr>
                  <w:tcW w:w="942" w:type="pct"/>
                  <w:vAlign w:val="center"/>
                </w:tcPr>
                <w:p w14:paraId="2581FBC6">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rPr>
                  </w:pPr>
                  <w:r>
                    <w:rPr>
                      <w:rFonts w:hint="eastAsia"/>
                      <w:b w:val="0"/>
                      <w:smallCaps w:val="0"/>
                      <w:color w:val="auto"/>
                      <w:szCs w:val="21"/>
                      <w:highlight w:val="none"/>
                      <w:lang w:val="en-US" w:eastAsia="zh-CN"/>
                    </w:rPr>
                    <w:t>矿物油、棉</w:t>
                  </w:r>
                </w:p>
              </w:tc>
              <w:tc>
                <w:tcPr>
                  <w:tcW w:w="362" w:type="pct"/>
                  <w:vAlign w:val="center"/>
                </w:tcPr>
                <w:p w14:paraId="268DD359">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HW49</w:t>
                  </w:r>
                </w:p>
              </w:tc>
              <w:tc>
                <w:tcPr>
                  <w:tcW w:w="704" w:type="pct"/>
                  <w:vAlign w:val="center"/>
                </w:tcPr>
                <w:p w14:paraId="1AA341E2">
                  <w:pPr>
                    <w:keepNext w:val="0"/>
                    <w:keepLines w:val="0"/>
                    <w:pageBreakBefore w:val="0"/>
                    <w:widowControl w:val="0"/>
                    <w:kinsoku/>
                    <w:wordWrap/>
                    <w:overflowPunct/>
                    <w:topLinePunct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900-041-49</w:t>
                  </w:r>
                </w:p>
              </w:tc>
              <w:tc>
                <w:tcPr>
                  <w:tcW w:w="422" w:type="pct"/>
                  <w:vAlign w:val="center"/>
                </w:tcPr>
                <w:p w14:paraId="4145E112">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cs="宋体"/>
                      <w:b w:val="0"/>
                      <w:color w:val="auto"/>
                      <w:szCs w:val="21"/>
                      <w:highlight w:val="none"/>
                      <w:lang w:val="en-US" w:eastAsia="zh-CN"/>
                    </w:rPr>
                    <w:t>0.01</w:t>
                  </w:r>
                </w:p>
              </w:tc>
              <w:tc>
                <w:tcPr>
                  <w:tcW w:w="674" w:type="pct"/>
                  <w:vAlign w:val="center"/>
                </w:tcPr>
                <w:p w14:paraId="27CDE2C9">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环卫清运</w:t>
                  </w:r>
                </w:p>
              </w:tc>
            </w:tr>
            <w:tr w14:paraId="2C301B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7371F3D">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生活垃圾</w:t>
                  </w:r>
                </w:p>
              </w:tc>
              <w:tc>
                <w:tcPr>
                  <w:tcW w:w="273" w:type="pct"/>
                  <w:vAlign w:val="center"/>
                </w:tcPr>
                <w:p w14:paraId="7FFDC43C">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w:t>
                  </w:r>
                </w:p>
              </w:tc>
              <w:tc>
                <w:tcPr>
                  <w:tcW w:w="542" w:type="pct"/>
                  <w:vAlign w:val="center"/>
                </w:tcPr>
                <w:p w14:paraId="1122C32D">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员工生活</w:t>
                  </w:r>
                </w:p>
              </w:tc>
              <w:tc>
                <w:tcPr>
                  <w:tcW w:w="273" w:type="pct"/>
                  <w:vAlign w:val="center"/>
                </w:tcPr>
                <w:p w14:paraId="55A48670">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固</w:t>
                  </w:r>
                </w:p>
              </w:tc>
              <w:tc>
                <w:tcPr>
                  <w:tcW w:w="942" w:type="pct"/>
                  <w:vAlign w:val="center"/>
                </w:tcPr>
                <w:p w14:paraId="4956F984">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b w:val="0"/>
                      <w:smallCaps w:val="0"/>
                      <w:color w:val="auto"/>
                      <w:szCs w:val="21"/>
                      <w:highlight w:val="none"/>
                      <w:lang w:val="en-US" w:eastAsia="zh-CN"/>
                    </w:rPr>
                  </w:pPr>
                  <w:r>
                    <w:rPr>
                      <w:rFonts w:hint="eastAsia"/>
                      <w:b w:val="0"/>
                      <w:smallCaps w:val="0"/>
                      <w:color w:val="auto"/>
                      <w:szCs w:val="21"/>
                      <w:highlight w:val="none"/>
                      <w:lang w:val="en-US" w:eastAsia="zh-CN"/>
                    </w:rPr>
                    <w:t>瓜皮、纸屑等</w:t>
                  </w:r>
                </w:p>
              </w:tc>
              <w:tc>
                <w:tcPr>
                  <w:tcW w:w="362" w:type="pct"/>
                  <w:vAlign w:val="center"/>
                </w:tcPr>
                <w:p w14:paraId="231E19E0">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w:t>
                  </w:r>
                </w:p>
              </w:tc>
              <w:tc>
                <w:tcPr>
                  <w:tcW w:w="704" w:type="pct"/>
                  <w:vAlign w:val="center"/>
                </w:tcPr>
                <w:p w14:paraId="14289F29">
                  <w:pPr>
                    <w:keepNext w:val="0"/>
                    <w:keepLines w:val="0"/>
                    <w:pageBreakBefore w:val="0"/>
                    <w:widowControl w:val="0"/>
                    <w:kinsoku/>
                    <w:wordWrap/>
                    <w:overflowPunct/>
                    <w:topLinePunct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lang w:val="en-US" w:eastAsia="zh-CN"/>
                    </w:rPr>
                  </w:pPr>
                  <w:r>
                    <w:rPr>
                      <w:rFonts w:hint="eastAsia" w:ascii="Times New Roman" w:hAnsi="Times New Roman" w:eastAsia="宋体" w:cs="宋体"/>
                      <w:b w:val="0"/>
                      <w:color w:val="auto"/>
                      <w:szCs w:val="21"/>
                      <w:highlight w:val="none"/>
                      <w:lang w:val="en-US" w:eastAsia="zh-CN"/>
                    </w:rPr>
                    <w:t>/</w:t>
                  </w:r>
                </w:p>
              </w:tc>
              <w:tc>
                <w:tcPr>
                  <w:tcW w:w="422" w:type="pct"/>
                  <w:vAlign w:val="center"/>
                </w:tcPr>
                <w:p w14:paraId="5B2136E1">
                  <w:pPr>
                    <w:keepNext w:val="0"/>
                    <w:keepLines w:val="0"/>
                    <w:pageBreakBefore w:val="0"/>
                    <w:widowControl w:val="0"/>
                    <w:kinsoku/>
                    <w:wordWrap/>
                    <w:overflowPunct/>
                    <w:topLinePunct w:val="0"/>
                    <w:bidi w:val="0"/>
                    <w:adjustRightInd/>
                    <w:snapToGrid w:val="0"/>
                    <w:spacing w:line="240" w:lineRule="exact"/>
                    <w:jc w:val="center"/>
                    <w:textAlignment w:val="auto"/>
                    <w:rPr>
                      <w:rFonts w:hint="default" w:cs="宋体"/>
                      <w:b w:val="0"/>
                      <w:color w:val="auto"/>
                      <w:szCs w:val="21"/>
                      <w:highlight w:val="none"/>
                      <w:lang w:val="en-US" w:eastAsia="zh-CN"/>
                    </w:rPr>
                  </w:pPr>
                  <w:r>
                    <w:rPr>
                      <w:rFonts w:hint="eastAsia" w:cs="宋体"/>
                      <w:b w:val="0"/>
                      <w:color w:val="auto"/>
                      <w:szCs w:val="21"/>
                      <w:highlight w:val="none"/>
                      <w:lang w:val="en-US" w:eastAsia="zh-CN"/>
                    </w:rPr>
                    <w:t>3.6</w:t>
                  </w:r>
                </w:p>
              </w:tc>
              <w:tc>
                <w:tcPr>
                  <w:tcW w:w="674" w:type="pct"/>
                  <w:vAlign w:val="center"/>
                </w:tcPr>
                <w:p w14:paraId="15769169">
                  <w:pPr>
                    <w:keepNext w:val="0"/>
                    <w:keepLines w:val="0"/>
                    <w:pageBreakBefore w:val="0"/>
                    <w:widowControl w:val="0"/>
                    <w:kinsoku/>
                    <w:wordWrap/>
                    <w:overflowPunct/>
                    <w:topLinePunct w:val="0"/>
                    <w:autoSpaceDE w:val="0"/>
                    <w:autoSpaceDN w:val="0"/>
                    <w:bidi w:val="0"/>
                    <w:adjustRightInd/>
                    <w:snapToGrid w:val="0"/>
                    <w:spacing w:line="240" w:lineRule="exact"/>
                    <w:jc w:val="center"/>
                    <w:textAlignment w:val="auto"/>
                    <w:rPr>
                      <w:rFonts w:hint="eastAsia" w:ascii="Times New Roman" w:hAnsi="Times New Roman" w:eastAsia="宋体" w:cs="宋体"/>
                      <w:b w:val="0"/>
                      <w:color w:val="auto"/>
                      <w:szCs w:val="21"/>
                      <w:highlight w:val="none"/>
                    </w:rPr>
                  </w:pPr>
                  <w:r>
                    <w:rPr>
                      <w:rFonts w:hint="eastAsia" w:ascii="Times New Roman" w:hAnsi="Times New Roman" w:eastAsia="宋体" w:cs="宋体"/>
                      <w:b w:val="0"/>
                      <w:color w:val="auto"/>
                      <w:szCs w:val="21"/>
                      <w:highlight w:val="none"/>
                    </w:rPr>
                    <w:t>环卫清运</w:t>
                  </w:r>
                </w:p>
              </w:tc>
            </w:tr>
          </w:tbl>
          <w:p w14:paraId="4201A3F9">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cs="Times New Roman"/>
                <w:b w:val="0"/>
                <w:bCs w:val="0"/>
                <w:color w:val="auto"/>
                <w:sz w:val="24"/>
                <w:szCs w:val="24"/>
                <w:lang w:val="en-US" w:eastAsia="zh-CN"/>
              </w:rPr>
              <w:t>项目厂内设置1个危废库，面积为</w:t>
            </w:r>
            <w:r>
              <w:rPr>
                <w:rFonts w:hint="eastAsia" w:ascii="Times New Roman" w:hAnsi="Times New Roman" w:cs="Times New Roman"/>
                <w:b w:val="0"/>
                <w:bCs w:val="0"/>
                <w:color w:val="auto"/>
                <w:sz w:val="24"/>
                <w:szCs w:val="24"/>
                <w:lang w:val="en-US" w:eastAsia="zh-CN"/>
              </w:rPr>
              <w:t>22</w:t>
            </w:r>
            <w:r>
              <w:rPr>
                <w:rFonts w:hint="eastAsia" w:ascii="Times New Roman" w:hAnsi="Times New Roman" w:eastAsia="宋体" w:cs="Times New Roman"/>
                <w:b w:val="0"/>
                <w:bCs w:val="0"/>
                <w:color w:val="auto"/>
                <w:sz w:val="24"/>
                <w:szCs w:val="24"/>
                <w:lang w:val="en-US" w:eastAsia="zh-CN"/>
              </w:rPr>
              <w:t>m</w:t>
            </w:r>
            <w:r>
              <w:rPr>
                <w:rFonts w:hint="eastAsia"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，位于1#生产车间</w:t>
            </w:r>
            <w:r>
              <w:rPr>
                <w:rFonts w:hint="eastAsia" w:ascii="Times New Roman" w:hAnsi="Times New Roman" w:cs="Times New Roman"/>
                <w:b w:val="0"/>
                <w:bCs w:val="0"/>
                <w:color w:val="auto"/>
                <w:sz w:val="24"/>
                <w:szCs w:val="24"/>
                <w:lang w:val="en-US" w:eastAsia="zh-CN"/>
              </w:rPr>
              <w:t>东侧</w:t>
            </w:r>
            <w:r>
              <w:rPr>
                <w:rFonts w:hint="eastAsia" w:ascii="Times New Roman" w:hAnsi="Times New Roman" w:eastAsia="宋体" w:cs="Times New Roman"/>
                <w:b w:val="0"/>
                <w:bCs w:val="0"/>
                <w:color w:val="auto"/>
                <w:sz w:val="24"/>
                <w:szCs w:val="24"/>
                <w:lang w:val="en-US" w:eastAsia="zh-CN"/>
              </w:rPr>
              <w:t>，1个一般固废临时存放场所，面积为40m</w:t>
            </w:r>
            <w:r>
              <w:rPr>
                <w:rFonts w:hint="eastAsia"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，位于1#生产车间</w:t>
            </w:r>
            <w:r>
              <w:rPr>
                <w:rFonts w:hint="eastAsia" w:ascii="Times New Roman" w:hAnsi="Times New Roman" w:cs="Times New Roman"/>
                <w:b w:val="0"/>
                <w:bCs w:val="0"/>
                <w:color w:val="auto"/>
                <w:sz w:val="24"/>
                <w:szCs w:val="24"/>
                <w:lang w:val="en-US" w:eastAsia="zh-CN"/>
              </w:rPr>
              <w:t>北侧</w:t>
            </w:r>
            <w:r>
              <w:rPr>
                <w:rFonts w:hint="eastAsia" w:ascii="Times New Roman" w:hAnsi="Times New Roman" w:eastAsia="宋体" w:cs="Times New Roman"/>
                <w:b w:val="0"/>
                <w:bCs w:val="0"/>
                <w:color w:val="auto"/>
                <w:sz w:val="24"/>
                <w:szCs w:val="24"/>
                <w:lang w:val="en-US" w:eastAsia="zh-CN"/>
              </w:rPr>
              <w:t>，其余各车间均不设危废库，生产过程中产生的危废经桶装后运往生产车间西侧危废库统一贮存，可有效防止危废分散贮存所引发的二次污染问题。</w:t>
            </w:r>
          </w:p>
          <w:p w14:paraId="1F7D1AA2">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b w:val="0"/>
                <w:color w:val="auto"/>
                <w:szCs w:val="24"/>
                <w:highlight w:val="none"/>
                <w:lang w:val="en-US" w:eastAsia="zh-CN"/>
              </w:rPr>
            </w:pPr>
            <w:r>
              <w:rPr>
                <w:rFonts w:hint="eastAsia" w:ascii="Times New Roman" w:hAnsi="Times New Roman"/>
                <w:b w:val="0"/>
                <w:color w:val="auto"/>
                <w:szCs w:val="24"/>
                <w:highlight w:val="none"/>
                <w:lang w:val="en-US" w:eastAsia="zh-CN"/>
              </w:rPr>
              <w:t>6、原有项目总量核算</w:t>
            </w:r>
          </w:p>
          <w:p w14:paraId="25F86E5D">
            <w:pPr>
              <w:keepNext w:val="0"/>
              <w:keepLines w:val="0"/>
              <w:pageBreakBefore w:val="0"/>
              <w:widowControl w:val="0"/>
              <w:tabs>
                <w:tab w:val="left" w:pos="758"/>
              </w:tabs>
              <w:kinsoku/>
              <w:wordWrap/>
              <w:overflowPunct/>
              <w:topLinePunct w:val="0"/>
              <w:autoSpaceDE/>
              <w:autoSpaceDN/>
              <w:bidi w:val="0"/>
              <w:adjustRightInd/>
              <w:snapToGrid/>
              <w:ind w:left="0" w:right="0" w:firstLine="0"/>
              <w:jc w:val="center"/>
              <w:textAlignment w:val="auto"/>
              <w:rPr>
                <w:rFonts w:hint="eastAsia" w:eastAsia="宋体"/>
                <w:b/>
                <w:bCs/>
                <w:color w:val="auto"/>
                <w:sz w:val="21"/>
                <w:szCs w:val="21"/>
                <w:lang w:val="en-US" w:eastAsia="zh-CN"/>
              </w:rPr>
            </w:pPr>
            <w:r>
              <w:rPr>
                <w:b/>
                <w:bCs/>
                <w:color w:val="auto"/>
                <w:sz w:val="21"/>
                <w:szCs w:val="21"/>
              </w:rPr>
              <w:t>表</w:t>
            </w:r>
            <w:r>
              <w:rPr>
                <w:rFonts w:hint="eastAsia" w:ascii="Times New Roman" w:eastAsia="宋体"/>
                <w:b/>
                <w:bCs/>
                <w:color w:val="auto"/>
                <w:sz w:val="21"/>
                <w:szCs w:val="21"/>
                <w:lang w:val="en-US" w:eastAsia="zh-CN"/>
              </w:rPr>
              <w:t>2</w:t>
            </w:r>
            <w:r>
              <w:rPr>
                <w:rFonts w:hint="eastAsia" w:eastAsia="宋体"/>
                <w:b/>
                <w:bCs/>
                <w:color w:val="auto"/>
                <w:sz w:val="21"/>
                <w:szCs w:val="21"/>
                <w:lang w:val="en-US" w:eastAsia="zh-CN"/>
              </w:rPr>
              <w:t>.3</w:t>
            </w:r>
            <w:r>
              <w:rPr>
                <w:rFonts w:hint="eastAsia" w:ascii="Times New Roman" w:eastAsia="宋体"/>
                <w:b/>
                <w:bCs/>
                <w:color w:val="auto"/>
                <w:sz w:val="21"/>
                <w:szCs w:val="21"/>
                <w:lang w:val="en-US" w:eastAsia="zh-CN"/>
              </w:rPr>
              <w:t>-</w:t>
            </w:r>
            <w:r>
              <w:rPr>
                <w:rFonts w:hint="eastAsia"/>
                <w:b/>
                <w:bCs/>
                <w:color w:val="auto"/>
                <w:sz w:val="21"/>
                <w:szCs w:val="21"/>
                <w:lang w:val="en-US" w:eastAsia="zh-CN"/>
              </w:rPr>
              <w:t>10</w:t>
            </w:r>
            <w:r>
              <w:rPr>
                <w:rFonts w:ascii="Times New Roman" w:eastAsia="Times New Roman"/>
                <w:b/>
                <w:bCs/>
                <w:color w:val="auto"/>
                <w:sz w:val="21"/>
                <w:szCs w:val="21"/>
              </w:rPr>
              <w:t xml:space="preserve"> </w:t>
            </w:r>
            <w:r>
              <w:rPr>
                <w:rFonts w:hint="eastAsia" w:eastAsia="宋体"/>
                <w:b/>
                <w:bCs/>
                <w:color w:val="auto"/>
                <w:sz w:val="21"/>
                <w:szCs w:val="21"/>
                <w:lang w:val="en-US" w:eastAsia="zh-CN"/>
              </w:rPr>
              <w:t>原有项目</w:t>
            </w:r>
            <w:r>
              <w:rPr>
                <w:b/>
                <w:bCs/>
                <w:color w:val="auto"/>
                <w:sz w:val="21"/>
                <w:szCs w:val="21"/>
              </w:rPr>
              <w:t>主要污染物排放总量</w:t>
            </w:r>
            <w:r>
              <w:rPr>
                <w:rFonts w:hint="eastAsia"/>
                <w:b/>
                <w:bCs/>
                <w:color w:val="auto"/>
                <w:sz w:val="21"/>
                <w:szCs w:val="21"/>
                <w:lang w:val="en-US" w:eastAsia="zh-CN"/>
              </w:rPr>
              <w:t>表</w:t>
            </w:r>
          </w:p>
          <w:tbl>
            <w:tblPr>
              <w:tblStyle w:val="21"/>
              <w:tblW w:w="4998" w:type="pct"/>
              <w:tblInd w:w="0" w:type="dxa"/>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61"/>
              <w:gridCol w:w="2589"/>
              <w:gridCol w:w="2105"/>
              <w:gridCol w:w="2177"/>
            </w:tblGrid>
            <w:tr w14:paraId="52A35720">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restart"/>
                  <w:tcBorders>
                    <w:tl2br w:val="nil"/>
                    <w:tr2bl w:val="nil"/>
                  </w:tcBorders>
                  <w:vAlign w:val="center"/>
                </w:tcPr>
                <w:p w14:paraId="7EE2505D">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rPr>
                  </w:pPr>
                  <w:r>
                    <w:rPr>
                      <w:b/>
                      <w:bCs/>
                      <w:color w:val="auto"/>
                      <w:sz w:val="21"/>
                    </w:rPr>
                    <w:t>类别</w:t>
                  </w:r>
                </w:p>
              </w:tc>
              <w:tc>
                <w:tcPr>
                  <w:tcW w:w="2816" w:type="pct"/>
                  <w:gridSpan w:val="2"/>
                  <w:tcBorders>
                    <w:tl2br w:val="nil"/>
                    <w:tr2bl w:val="nil"/>
                  </w:tcBorders>
                  <w:vAlign w:val="center"/>
                </w:tcPr>
                <w:p w14:paraId="06633D81">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Times New Roman"/>
                      <w:b/>
                      <w:bCs/>
                      <w:color w:val="auto"/>
                      <w:sz w:val="21"/>
                    </w:rPr>
                  </w:pPr>
                  <w:r>
                    <w:rPr>
                      <w:b/>
                      <w:bCs/>
                      <w:color w:val="auto"/>
                      <w:sz w:val="21"/>
                    </w:rPr>
                    <w:t xml:space="preserve">总量控制指标 </w:t>
                  </w:r>
                  <w:r>
                    <w:rPr>
                      <w:rFonts w:ascii="Times New Roman" w:eastAsia="Times New Roman"/>
                      <w:b/>
                      <w:bCs/>
                      <w:color w:val="auto"/>
                      <w:sz w:val="21"/>
                    </w:rPr>
                    <w:t>t/a</w:t>
                  </w:r>
                </w:p>
              </w:tc>
              <w:tc>
                <w:tcPr>
                  <w:tcW w:w="1306" w:type="pct"/>
                  <w:vMerge w:val="restart"/>
                  <w:tcBorders>
                    <w:tl2br w:val="nil"/>
                    <w:tr2bl w:val="nil"/>
                  </w:tcBorders>
                  <w:vAlign w:val="center"/>
                </w:tcPr>
                <w:p w14:paraId="70AFBC91">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eastAsia="Times New Roman"/>
                      <w:b/>
                      <w:bCs/>
                      <w:color w:val="auto"/>
                      <w:sz w:val="21"/>
                    </w:rPr>
                  </w:pPr>
                  <w:r>
                    <w:rPr>
                      <w:rFonts w:hint="eastAsia"/>
                      <w:b/>
                      <w:bCs/>
                      <w:color w:val="auto"/>
                      <w:sz w:val="21"/>
                      <w:lang w:val="en-US" w:eastAsia="zh-CN"/>
                    </w:rPr>
                    <w:t>监测</w:t>
                  </w:r>
                  <w:r>
                    <w:rPr>
                      <w:b/>
                      <w:bCs/>
                      <w:color w:val="auto"/>
                      <w:sz w:val="21"/>
                    </w:rPr>
                    <w:t xml:space="preserve">值 </w:t>
                  </w:r>
                  <w:r>
                    <w:rPr>
                      <w:rFonts w:ascii="Times New Roman" w:eastAsia="Times New Roman"/>
                      <w:b/>
                      <w:bCs/>
                      <w:color w:val="auto"/>
                      <w:sz w:val="21"/>
                    </w:rPr>
                    <w:t>t/a</w:t>
                  </w:r>
                </w:p>
              </w:tc>
            </w:tr>
            <w:tr w14:paraId="3F2AF5DD">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77" w:type="pct"/>
                  <w:vMerge w:val="continue"/>
                  <w:tcBorders>
                    <w:tl2br w:val="nil"/>
                    <w:tr2bl w:val="nil"/>
                  </w:tcBorders>
                  <w:vAlign w:val="center"/>
                </w:tcPr>
                <w:p w14:paraId="5DEA3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
                      <w:szCs w:val="2"/>
                    </w:rPr>
                  </w:pPr>
                </w:p>
              </w:tc>
              <w:tc>
                <w:tcPr>
                  <w:tcW w:w="1553" w:type="pct"/>
                  <w:tcBorders>
                    <w:tl2br w:val="nil"/>
                    <w:tr2bl w:val="nil"/>
                  </w:tcBorders>
                  <w:vAlign w:val="center"/>
                </w:tcPr>
                <w:p w14:paraId="2C7E7F8A">
                  <w:pPr>
                    <w:pStyle w:val="59"/>
                    <w:keepNext w:val="0"/>
                    <w:keepLines w:val="0"/>
                    <w:pageBreakBefore w:val="0"/>
                    <w:widowControl w:val="0"/>
                    <w:kinsoku/>
                    <w:wordWrap/>
                    <w:overflowPunct/>
                    <w:topLinePunct w:val="0"/>
                    <w:autoSpaceDE/>
                    <w:autoSpaceDN/>
                    <w:bidi w:val="0"/>
                    <w:adjustRightInd/>
                    <w:snapToGrid/>
                    <w:spacing w:line="240" w:lineRule="auto"/>
                    <w:ind w:left="615" w:right="585"/>
                    <w:jc w:val="center"/>
                    <w:textAlignment w:val="auto"/>
                    <w:rPr>
                      <w:b/>
                      <w:bCs/>
                      <w:color w:val="auto"/>
                      <w:sz w:val="21"/>
                    </w:rPr>
                  </w:pPr>
                  <w:r>
                    <w:rPr>
                      <w:b/>
                      <w:bCs/>
                      <w:color w:val="auto"/>
                      <w:sz w:val="21"/>
                    </w:rPr>
                    <w:t>污染物名称</w:t>
                  </w:r>
                </w:p>
              </w:tc>
              <w:tc>
                <w:tcPr>
                  <w:tcW w:w="1263" w:type="pct"/>
                  <w:tcBorders>
                    <w:tl2br w:val="nil"/>
                    <w:tr2bl w:val="nil"/>
                  </w:tcBorders>
                  <w:vAlign w:val="center"/>
                </w:tcPr>
                <w:p w14:paraId="49402349">
                  <w:pPr>
                    <w:pStyle w:val="59"/>
                    <w:keepNext w:val="0"/>
                    <w:keepLines w:val="0"/>
                    <w:pageBreakBefore w:val="0"/>
                    <w:widowControl w:val="0"/>
                    <w:kinsoku/>
                    <w:wordWrap/>
                    <w:overflowPunct/>
                    <w:topLinePunct w:val="0"/>
                    <w:autoSpaceDE/>
                    <w:autoSpaceDN/>
                    <w:bidi w:val="0"/>
                    <w:adjustRightInd/>
                    <w:snapToGrid/>
                    <w:spacing w:line="240" w:lineRule="auto"/>
                    <w:ind w:left="609" w:right="582"/>
                    <w:jc w:val="center"/>
                    <w:textAlignment w:val="auto"/>
                    <w:rPr>
                      <w:rFonts w:hint="default" w:eastAsia="宋体"/>
                      <w:b/>
                      <w:bCs/>
                      <w:color w:val="auto"/>
                      <w:sz w:val="21"/>
                      <w:lang w:val="en-US" w:eastAsia="zh-CN"/>
                    </w:rPr>
                  </w:pPr>
                  <w:r>
                    <w:rPr>
                      <w:rFonts w:hint="eastAsia"/>
                      <w:b/>
                      <w:bCs/>
                      <w:color w:val="auto"/>
                      <w:sz w:val="21"/>
                      <w:lang w:val="en-US" w:eastAsia="zh-CN"/>
                    </w:rPr>
                    <w:t>原有项目</w:t>
                  </w:r>
                </w:p>
              </w:tc>
              <w:tc>
                <w:tcPr>
                  <w:tcW w:w="1306" w:type="pct"/>
                  <w:vMerge w:val="continue"/>
                  <w:tcBorders>
                    <w:tl2br w:val="nil"/>
                    <w:tr2bl w:val="nil"/>
                  </w:tcBorders>
                  <w:vAlign w:val="center"/>
                </w:tcPr>
                <w:p w14:paraId="245741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
                      <w:szCs w:val="2"/>
                    </w:rPr>
                  </w:pPr>
                </w:p>
              </w:tc>
            </w:tr>
            <w:tr w14:paraId="2B7B6C16">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restart"/>
                  <w:tcBorders>
                    <w:tl2br w:val="nil"/>
                    <w:tr2bl w:val="nil"/>
                  </w:tcBorders>
                  <w:vAlign w:val="center"/>
                </w:tcPr>
                <w:p w14:paraId="5A8F7090">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b w:val="0"/>
                      <w:color w:val="auto"/>
                      <w:sz w:val="21"/>
                    </w:rPr>
                  </w:pPr>
                  <w:r>
                    <w:rPr>
                      <w:b w:val="0"/>
                      <w:color w:val="auto"/>
                      <w:sz w:val="21"/>
                    </w:rPr>
                    <w:t>有组织废气</w:t>
                  </w:r>
                </w:p>
              </w:tc>
              <w:tc>
                <w:tcPr>
                  <w:tcW w:w="1553" w:type="pct"/>
                  <w:tcBorders>
                    <w:tl2br w:val="nil"/>
                    <w:tr2bl w:val="nil"/>
                  </w:tcBorders>
                  <w:vAlign w:val="center"/>
                </w:tcPr>
                <w:p w14:paraId="0272BC6F">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b w:val="0"/>
                      <w:color w:val="auto"/>
                      <w:sz w:val="21"/>
                    </w:rPr>
                  </w:pPr>
                  <w:r>
                    <w:rPr>
                      <w:rFonts w:hint="eastAsia" w:ascii="Times New Roman" w:hAnsi="Times New Roman" w:cs="Times New Roman"/>
                      <w:b w:val="0"/>
                      <w:color w:val="auto"/>
                      <w:lang w:val="en-US" w:eastAsia="zh-CN"/>
                    </w:rPr>
                    <w:t>颗粒物</w:t>
                  </w:r>
                </w:p>
              </w:tc>
              <w:tc>
                <w:tcPr>
                  <w:tcW w:w="1263" w:type="pct"/>
                  <w:tcBorders>
                    <w:tl2br w:val="nil"/>
                    <w:tr2bl w:val="nil"/>
                  </w:tcBorders>
                  <w:vAlign w:val="center"/>
                </w:tcPr>
                <w:p w14:paraId="52686D81">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4" w:name="/"/>
                  <w:bookmarkEnd w:id="4"/>
                  <w:r>
                    <w:rPr>
                      <w:rFonts w:hint="eastAsia" w:ascii="Times New Roman" w:cs="宋体"/>
                      <w:b w:val="0"/>
                      <w:snapToGrid w:val="0"/>
                      <w:color w:val="auto"/>
                      <w:kern w:val="21"/>
                      <w:szCs w:val="21"/>
                      <w:highlight w:val="none"/>
                      <w:lang w:val="en-US" w:eastAsia="zh-CN"/>
                    </w:rPr>
                    <w:t>0.13</w:t>
                  </w:r>
                </w:p>
              </w:tc>
              <w:tc>
                <w:tcPr>
                  <w:tcW w:w="1306" w:type="pct"/>
                  <w:tcBorders>
                    <w:tl2br w:val="nil"/>
                    <w:tr2bl w:val="nil"/>
                  </w:tcBorders>
                  <w:vAlign w:val="center"/>
                </w:tcPr>
                <w:p w14:paraId="2E9E55A3">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0.02</w:t>
                  </w:r>
                </w:p>
              </w:tc>
            </w:tr>
            <w:tr w14:paraId="53D335DB">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34843DA9">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b w:val="0"/>
                      <w:color w:val="auto"/>
                      <w:sz w:val="21"/>
                    </w:rPr>
                  </w:pPr>
                </w:p>
              </w:tc>
              <w:tc>
                <w:tcPr>
                  <w:tcW w:w="1553" w:type="pct"/>
                  <w:tcBorders>
                    <w:tl2br w:val="nil"/>
                    <w:tr2bl w:val="nil"/>
                  </w:tcBorders>
                  <w:vAlign w:val="center"/>
                </w:tcPr>
                <w:p w14:paraId="5E563922">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rFonts w:hint="eastAsia" w:eastAsia="宋体"/>
                      <w:b w:val="0"/>
                      <w:color w:val="auto"/>
                      <w:sz w:val="21"/>
                      <w:lang w:val="en-US" w:eastAsia="zh-CN"/>
                    </w:rPr>
                  </w:pPr>
                  <w:r>
                    <w:rPr>
                      <w:rFonts w:hint="eastAsia" w:ascii="Times New Roman" w:hAnsi="Times New Roman" w:cs="Times New Roman"/>
                      <w:b w:val="0"/>
                      <w:color w:val="auto"/>
                      <w:lang w:val="en-US" w:eastAsia="zh-CN"/>
                    </w:rPr>
                    <w:t>二氧化硫</w:t>
                  </w:r>
                </w:p>
              </w:tc>
              <w:tc>
                <w:tcPr>
                  <w:tcW w:w="1263" w:type="pct"/>
                  <w:tcBorders>
                    <w:tl2br w:val="nil"/>
                    <w:tr2bl w:val="nil"/>
                  </w:tcBorders>
                  <w:vAlign w:val="center"/>
                </w:tcPr>
                <w:p w14:paraId="4959C9DD">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w w:val="99"/>
                      <w:sz w:val="21"/>
                    </w:rPr>
                  </w:pPr>
                  <w:r>
                    <w:rPr>
                      <w:rFonts w:hint="eastAsia" w:ascii="Times New Roman" w:cs="宋体"/>
                      <w:b w:val="0"/>
                      <w:snapToGrid w:val="0"/>
                      <w:color w:val="auto"/>
                      <w:kern w:val="21"/>
                      <w:sz w:val="21"/>
                      <w:szCs w:val="21"/>
                      <w:highlight w:val="none"/>
                      <w:lang w:val="en-US" w:eastAsia="zh-CN" w:bidi="ar-SA"/>
                    </w:rPr>
                    <w:t>0.027</w:t>
                  </w:r>
                </w:p>
              </w:tc>
              <w:tc>
                <w:tcPr>
                  <w:tcW w:w="1306" w:type="pct"/>
                  <w:tcBorders>
                    <w:tl2br w:val="nil"/>
                    <w:tr2bl w:val="nil"/>
                  </w:tcBorders>
                  <w:vAlign w:val="center"/>
                </w:tcPr>
                <w:p w14:paraId="1CC3DCD3">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0.011</w:t>
                  </w:r>
                </w:p>
              </w:tc>
            </w:tr>
            <w:tr w14:paraId="7B4B9C2A">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643C1D4C">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b w:val="0"/>
                      <w:color w:val="auto"/>
                      <w:sz w:val="21"/>
                    </w:rPr>
                  </w:pPr>
                </w:p>
              </w:tc>
              <w:tc>
                <w:tcPr>
                  <w:tcW w:w="1553" w:type="pct"/>
                  <w:tcBorders>
                    <w:tl2br w:val="nil"/>
                    <w:tr2bl w:val="nil"/>
                  </w:tcBorders>
                  <w:vAlign w:val="center"/>
                </w:tcPr>
                <w:p w14:paraId="4D41E2E8">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rFonts w:hint="eastAsia" w:eastAsia="宋体"/>
                      <w:b w:val="0"/>
                      <w:color w:val="auto"/>
                      <w:sz w:val="21"/>
                      <w:lang w:val="en-US" w:eastAsia="zh-CN"/>
                    </w:rPr>
                  </w:pPr>
                  <w:r>
                    <w:rPr>
                      <w:rFonts w:hint="eastAsia" w:ascii="Times New Roman" w:hAnsi="Times New Roman" w:cs="Times New Roman"/>
                      <w:b w:val="0"/>
                      <w:color w:val="auto"/>
                      <w:lang w:val="en-US" w:eastAsia="zh-CN"/>
                    </w:rPr>
                    <w:t>氮氧化物</w:t>
                  </w:r>
                </w:p>
              </w:tc>
              <w:tc>
                <w:tcPr>
                  <w:tcW w:w="1263" w:type="pct"/>
                  <w:tcBorders>
                    <w:tl2br w:val="nil"/>
                    <w:tr2bl w:val="nil"/>
                  </w:tcBorders>
                  <w:vAlign w:val="center"/>
                </w:tcPr>
                <w:p w14:paraId="54A6F5AD">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w w:val="99"/>
                      <w:sz w:val="21"/>
                    </w:rPr>
                  </w:pPr>
                  <w:r>
                    <w:rPr>
                      <w:rFonts w:hint="eastAsia" w:ascii="Times New Roman" w:cs="宋体"/>
                      <w:b w:val="0"/>
                      <w:snapToGrid w:val="0"/>
                      <w:color w:val="auto"/>
                      <w:kern w:val="21"/>
                      <w:szCs w:val="21"/>
                      <w:highlight w:val="none"/>
                      <w:lang w:val="en-US" w:eastAsia="zh-CN"/>
                    </w:rPr>
                    <w:t>0.264</w:t>
                  </w:r>
                </w:p>
              </w:tc>
              <w:tc>
                <w:tcPr>
                  <w:tcW w:w="1306" w:type="pct"/>
                  <w:tcBorders>
                    <w:tl2br w:val="nil"/>
                    <w:tr2bl w:val="nil"/>
                  </w:tcBorders>
                  <w:vAlign w:val="center"/>
                </w:tcPr>
                <w:p w14:paraId="1F5E3DE4">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0.212</w:t>
                  </w:r>
                </w:p>
              </w:tc>
            </w:tr>
            <w:tr w14:paraId="69F79CAE">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10F0E57E">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b w:val="0"/>
                      <w:color w:val="auto"/>
                      <w:sz w:val="21"/>
                    </w:rPr>
                  </w:pPr>
                </w:p>
              </w:tc>
              <w:tc>
                <w:tcPr>
                  <w:tcW w:w="1553" w:type="pct"/>
                  <w:tcBorders>
                    <w:tl2br w:val="nil"/>
                    <w:tr2bl w:val="nil"/>
                  </w:tcBorders>
                  <w:vAlign w:val="center"/>
                </w:tcPr>
                <w:p w14:paraId="79500F20">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rFonts w:hint="eastAsia" w:eastAsia="宋体"/>
                      <w:b w:val="0"/>
                      <w:color w:val="auto"/>
                      <w:sz w:val="21"/>
                      <w:lang w:val="en-US" w:eastAsia="zh-CN"/>
                    </w:rPr>
                  </w:pPr>
                  <w:r>
                    <w:rPr>
                      <w:rFonts w:hint="eastAsia" w:ascii="Times New Roman" w:hAnsi="Times New Roman" w:cs="Times New Roman"/>
                      <w:b w:val="0"/>
                      <w:color w:val="auto"/>
                      <w:lang w:val="en-US" w:eastAsia="zh-CN"/>
                    </w:rPr>
                    <w:t>非甲烷总烃</w:t>
                  </w:r>
                </w:p>
              </w:tc>
              <w:tc>
                <w:tcPr>
                  <w:tcW w:w="1263" w:type="pct"/>
                  <w:tcBorders>
                    <w:tl2br w:val="nil"/>
                    <w:tr2bl w:val="nil"/>
                  </w:tcBorders>
                  <w:vAlign w:val="center"/>
                </w:tcPr>
                <w:p w14:paraId="27FA4899">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w w:val="99"/>
                      <w:sz w:val="21"/>
                    </w:rPr>
                  </w:pPr>
                  <w:r>
                    <w:rPr>
                      <w:rFonts w:hint="eastAsia" w:ascii="Times New Roman" w:hAnsi="Times New Roman" w:eastAsia="宋体" w:cs="宋体"/>
                      <w:b w:val="0"/>
                      <w:snapToGrid w:val="0"/>
                      <w:color w:val="auto"/>
                      <w:kern w:val="21"/>
                      <w:sz w:val="21"/>
                      <w:szCs w:val="21"/>
                      <w:highlight w:val="none"/>
                      <w:lang w:val="en-US" w:eastAsia="zh-CN" w:bidi="ar-SA"/>
                    </w:rPr>
                    <w:t>0.079</w:t>
                  </w:r>
                </w:p>
              </w:tc>
              <w:tc>
                <w:tcPr>
                  <w:tcW w:w="1306" w:type="pct"/>
                  <w:tcBorders>
                    <w:tl2br w:val="nil"/>
                    <w:tr2bl w:val="nil"/>
                  </w:tcBorders>
                  <w:vAlign w:val="center"/>
                </w:tcPr>
                <w:p w14:paraId="0EF2DC64">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0.077</w:t>
                  </w:r>
                </w:p>
              </w:tc>
            </w:tr>
            <w:tr w14:paraId="24536085">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restart"/>
                  <w:tcBorders>
                    <w:tl2br w:val="nil"/>
                    <w:tr2bl w:val="nil"/>
                  </w:tcBorders>
                  <w:vAlign w:val="center"/>
                </w:tcPr>
                <w:p w14:paraId="601652BE">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rFonts w:hint="default" w:eastAsia="宋体"/>
                      <w:b w:val="0"/>
                      <w:color w:val="auto"/>
                      <w:sz w:val="21"/>
                      <w:lang w:val="en-US" w:eastAsia="zh-CN"/>
                    </w:rPr>
                  </w:pPr>
                  <w:r>
                    <w:rPr>
                      <w:rFonts w:hint="eastAsia"/>
                      <w:b w:val="0"/>
                      <w:color w:val="auto"/>
                      <w:sz w:val="21"/>
                      <w:lang w:val="en-US" w:eastAsia="zh-CN"/>
                    </w:rPr>
                    <w:t>无组织废气</w:t>
                  </w:r>
                </w:p>
              </w:tc>
              <w:tc>
                <w:tcPr>
                  <w:tcW w:w="1553" w:type="pct"/>
                  <w:tcBorders>
                    <w:tl2br w:val="nil"/>
                    <w:tr2bl w:val="nil"/>
                  </w:tcBorders>
                  <w:vAlign w:val="center"/>
                </w:tcPr>
                <w:p w14:paraId="62F842A8">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rFonts w:hint="eastAsia"/>
                      <w:b w:val="0"/>
                      <w:color w:val="auto"/>
                      <w:sz w:val="21"/>
                      <w:lang w:val="en-US" w:eastAsia="zh-CN"/>
                    </w:rPr>
                  </w:pPr>
                  <w:r>
                    <w:rPr>
                      <w:rFonts w:hint="eastAsia" w:ascii="Times New Roman" w:hAnsi="Times New Roman" w:cs="Times New Roman"/>
                      <w:b w:val="0"/>
                      <w:color w:val="auto"/>
                      <w:lang w:val="en-US" w:eastAsia="zh-CN"/>
                    </w:rPr>
                    <w:t>颗粒物</w:t>
                  </w:r>
                </w:p>
              </w:tc>
              <w:tc>
                <w:tcPr>
                  <w:tcW w:w="1263" w:type="pct"/>
                  <w:tcBorders>
                    <w:tl2br w:val="nil"/>
                    <w:tr2bl w:val="nil"/>
                  </w:tcBorders>
                  <w:vAlign w:val="center"/>
                </w:tcPr>
                <w:p w14:paraId="356BEBF0">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w w:val="99"/>
                      <w:sz w:val="21"/>
                    </w:rPr>
                  </w:pPr>
                  <w:r>
                    <w:rPr>
                      <w:rFonts w:hint="eastAsia" w:ascii="Times New Roman" w:cs="宋体"/>
                      <w:b w:val="0"/>
                      <w:snapToGrid w:val="0"/>
                      <w:color w:val="auto"/>
                      <w:kern w:val="21"/>
                      <w:szCs w:val="21"/>
                      <w:highlight w:val="none"/>
                      <w:lang w:val="en-US" w:eastAsia="zh-CN"/>
                    </w:rPr>
                    <w:t>0.142</w:t>
                  </w:r>
                </w:p>
              </w:tc>
              <w:tc>
                <w:tcPr>
                  <w:tcW w:w="1306" w:type="pct"/>
                  <w:tcBorders>
                    <w:tl2br w:val="nil"/>
                    <w:tr2bl w:val="nil"/>
                  </w:tcBorders>
                  <w:vAlign w:val="center"/>
                </w:tcPr>
                <w:p w14:paraId="44DFBF89">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eastAsia" w:ascii="Times New Roman" w:eastAsia="宋体"/>
                      <w:b w:val="0"/>
                      <w:color w:val="auto"/>
                      <w:sz w:val="21"/>
                      <w:lang w:val="en-US" w:eastAsia="zh-CN"/>
                    </w:rPr>
                  </w:pPr>
                  <w:r>
                    <w:rPr>
                      <w:rFonts w:hint="eastAsia" w:ascii="Times New Roman"/>
                      <w:b w:val="0"/>
                      <w:color w:val="auto"/>
                      <w:sz w:val="21"/>
                      <w:lang w:val="en-US" w:eastAsia="zh-CN"/>
                    </w:rPr>
                    <w:t>/</w:t>
                  </w:r>
                </w:p>
              </w:tc>
            </w:tr>
            <w:tr w14:paraId="4EC34D7D">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4943A3E0">
                  <w:pPr>
                    <w:pStyle w:val="59"/>
                    <w:keepNext w:val="0"/>
                    <w:keepLines w:val="0"/>
                    <w:pageBreakBefore w:val="0"/>
                    <w:widowControl w:val="0"/>
                    <w:kinsoku/>
                    <w:wordWrap/>
                    <w:overflowPunct/>
                    <w:topLinePunct w:val="0"/>
                    <w:autoSpaceDE/>
                    <w:autoSpaceDN/>
                    <w:bidi w:val="0"/>
                    <w:adjustRightInd/>
                    <w:snapToGrid/>
                    <w:spacing w:line="240" w:lineRule="auto"/>
                    <w:ind w:left="120" w:right="88"/>
                    <w:jc w:val="center"/>
                    <w:textAlignment w:val="auto"/>
                    <w:rPr>
                      <w:b w:val="0"/>
                      <w:color w:val="auto"/>
                      <w:sz w:val="21"/>
                    </w:rPr>
                  </w:pPr>
                </w:p>
              </w:tc>
              <w:tc>
                <w:tcPr>
                  <w:tcW w:w="1553" w:type="pct"/>
                  <w:tcBorders>
                    <w:tl2br w:val="nil"/>
                    <w:tr2bl w:val="nil"/>
                  </w:tcBorders>
                  <w:vAlign w:val="center"/>
                </w:tcPr>
                <w:p w14:paraId="23C92066">
                  <w:pPr>
                    <w:keepNext w:val="0"/>
                    <w:keepLines w:val="0"/>
                    <w:pageBreakBefore w:val="0"/>
                    <w:widowControl w:val="0"/>
                    <w:tabs>
                      <w:tab w:val="left" w:pos="960"/>
                    </w:tabs>
                    <w:kinsoku/>
                    <w:wordWrap/>
                    <w:overflowPunct/>
                    <w:topLinePunct w:val="0"/>
                    <w:autoSpaceDE/>
                    <w:autoSpaceDN/>
                    <w:bidi w:val="0"/>
                    <w:adjustRightInd/>
                    <w:snapToGrid/>
                    <w:spacing w:line="240" w:lineRule="auto"/>
                    <w:jc w:val="center"/>
                    <w:textAlignment w:val="auto"/>
                    <w:rPr>
                      <w:rFonts w:hint="eastAsia"/>
                      <w:b w:val="0"/>
                      <w:color w:val="auto"/>
                      <w:sz w:val="21"/>
                      <w:lang w:val="en-US" w:eastAsia="zh-CN"/>
                    </w:rPr>
                  </w:pPr>
                  <w:r>
                    <w:rPr>
                      <w:rFonts w:hint="eastAsia" w:ascii="Times New Roman" w:hAnsi="Times New Roman" w:cs="Times New Roman"/>
                      <w:b w:val="0"/>
                      <w:color w:val="auto"/>
                      <w:lang w:val="en-US" w:eastAsia="zh-CN"/>
                    </w:rPr>
                    <w:t>非甲烷总烃</w:t>
                  </w:r>
                </w:p>
              </w:tc>
              <w:tc>
                <w:tcPr>
                  <w:tcW w:w="1263" w:type="pct"/>
                  <w:tcBorders>
                    <w:tl2br w:val="nil"/>
                    <w:tr2bl w:val="nil"/>
                  </w:tcBorders>
                  <w:vAlign w:val="center"/>
                </w:tcPr>
                <w:p w14:paraId="77AD27D9">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w w:val="99"/>
                      <w:sz w:val="21"/>
                    </w:rPr>
                  </w:pPr>
                  <w:r>
                    <w:rPr>
                      <w:rFonts w:hint="eastAsia" w:ascii="Times New Roman" w:cs="宋体"/>
                      <w:b w:val="0"/>
                      <w:snapToGrid w:val="0"/>
                      <w:color w:val="auto"/>
                      <w:kern w:val="21"/>
                      <w:szCs w:val="21"/>
                      <w:highlight w:val="none"/>
                      <w:lang w:val="en-US" w:eastAsia="zh-CN"/>
                    </w:rPr>
                    <w:t>0.035</w:t>
                  </w:r>
                </w:p>
              </w:tc>
              <w:tc>
                <w:tcPr>
                  <w:tcW w:w="1306" w:type="pct"/>
                  <w:tcBorders>
                    <w:tl2br w:val="nil"/>
                    <w:tr2bl w:val="nil"/>
                  </w:tcBorders>
                  <w:vAlign w:val="center"/>
                </w:tcPr>
                <w:p w14:paraId="00B85872">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eastAsia" w:ascii="Times New Roman" w:eastAsia="宋体"/>
                      <w:b w:val="0"/>
                      <w:color w:val="auto"/>
                      <w:sz w:val="21"/>
                      <w:lang w:val="en-US" w:eastAsia="zh-CN"/>
                    </w:rPr>
                  </w:pPr>
                  <w:r>
                    <w:rPr>
                      <w:rFonts w:hint="eastAsia" w:ascii="Times New Roman"/>
                      <w:b w:val="0"/>
                      <w:color w:val="auto"/>
                      <w:sz w:val="21"/>
                      <w:lang w:val="en-US" w:eastAsia="zh-CN"/>
                    </w:rPr>
                    <w:t>/</w:t>
                  </w:r>
                </w:p>
              </w:tc>
            </w:tr>
            <w:tr w14:paraId="716853BA">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77" w:type="pct"/>
                  <w:vMerge w:val="restart"/>
                  <w:tcBorders>
                    <w:tl2br w:val="nil"/>
                    <w:tr2bl w:val="nil"/>
                  </w:tcBorders>
                  <w:vAlign w:val="center"/>
                </w:tcPr>
                <w:p w14:paraId="7FD6AA47">
                  <w:pPr>
                    <w:pStyle w:val="59"/>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1"/>
                    </w:rPr>
                  </w:pPr>
                  <w:r>
                    <w:rPr>
                      <w:b w:val="0"/>
                      <w:color w:val="auto"/>
                      <w:sz w:val="21"/>
                    </w:rPr>
                    <w:t>废水</w:t>
                  </w:r>
                </w:p>
              </w:tc>
              <w:tc>
                <w:tcPr>
                  <w:tcW w:w="1553" w:type="pct"/>
                  <w:tcBorders>
                    <w:tl2br w:val="nil"/>
                    <w:tr2bl w:val="nil"/>
                  </w:tcBorders>
                  <w:vAlign w:val="center"/>
                </w:tcPr>
                <w:p w14:paraId="2AFFB9B3">
                  <w:pPr>
                    <w:pStyle w:val="59"/>
                    <w:keepNext w:val="0"/>
                    <w:keepLines w:val="0"/>
                    <w:pageBreakBefore w:val="0"/>
                    <w:widowControl w:val="0"/>
                    <w:kinsoku/>
                    <w:wordWrap/>
                    <w:overflowPunct/>
                    <w:topLinePunct w:val="0"/>
                    <w:autoSpaceDE/>
                    <w:autoSpaceDN/>
                    <w:bidi w:val="0"/>
                    <w:adjustRightInd/>
                    <w:snapToGrid/>
                    <w:spacing w:line="240" w:lineRule="auto"/>
                    <w:ind w:left="610" w:right="585"/>
                    <w:jc w:val="center"/>
                    <w:textAlignment w:val="auto"/>
                    <w:rPr>
                      <w:b w:val="0"/>
                      <w:color w:val="auto"/>
                      <w:sz w:val="21"/>
                    </w:rPr>
                  </w:pPr>
                  <w:r>
                    <w:rPr>
                      <w:b w:val="0"/>
                      <w:color w:val="auto"/>
                      <w:sz w:val="21"/>
                    </w:rPr>
                    <w:t>废水量</w:t>
                  </w:r>
                </w:p>
              </w:tc>
              <w:tc>
                <w:tcPr>
                  <w:tcW w:w="2073" w:type="dxa"/>
                  <w:tcBorders>
                    <w:tl2br w:val="nil"/>
                    <w:tr2bl w:val="nil"/>
                  </w:tcBorders>
                  <w:vAlign w:val="center"/>
                </w:tcPr>
                <w:p w14:paraId="4974AB0F">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5" w:name="202.5"/>
                  <w:bookmarkEnd w:id="5"/>
                  <w:r>
                    <w:rPr>
                      <w:rFonts w:hint="eastAsia" w:ascii="Times New Roman" w:cs="宋体"/>
                      <w:b w:val="0"/>
                      <w:snapToGrid w:val="0"/>
                      <w:color w:val="auto"/>
                      <w:kern w:val="21"/>
                      <w:szCs w:val="21"/>
                      <w:highlight w:val="none"/>
                      <w:lang w:val="en-US" w:eastAsia="zh-CN"/>
                    </w:rPr>
                    <w:t>1920</w:t>
                  </w:r>
                </w:p>
              </w:tc>
              <w:tc>
                <w:tcPr>
                  <w:tcW w:w="1306" w:type="pct"/>
                  <w:tcBorders>
                    <w:tl2br w:val="nil"/>
                    <w:tr2bl w:val="nil"/>
                  </w:tcBorders>
                  <w:vAlign w:val="center"/>
                </w:tcPr>
                <w:p w14:paraId="6F1DAA9E">
                  <w:pPr>
                    <w:pStyle w:val="59"/>
                    <w:keepNext w:val="0"/>
                    <w:keepLines w:val="0"/>
                    <w:pageBreakBefore w:val="0"/>
                    <w:widowControl w:val="0"/>
                    <w:kinsoku/>
                    <w:wordWrap/>
                    <w:overflowPunct/>
                    <w:topLinePunct w:val="0"/>
                    <w:autoSpaceDE/>
                    <w:autoSpaceDN/>
                    <w:bidi w:val="0"/>
                    <w:adjustRightInd/>
                    <w:snapToGrid/>
                    <w:spacing w:line="240" w:lineRule="auto"/>
                    <w:ind w:left="617" w:right="587"/>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1920</w:t>
                  </w:r>
                </w:p>
              </w:tc>
            </w:tr>
            <w:tr w14:paraId="56ECD542">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5A57EE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
                      <w:szCs w:val="2"/>
                    </w:rPr>
                  </w:pPr>
                </w:p>
              </w:tc>
              <w:tc>
                <w:tcPr>
                  <w:tcW w:w="1553" w:type="pct"/>
                  <w:tcBorders>
                    <w:tl2br w:val="nil"/>
                    <w:tr2bl w:val="nil"/>
                  </w:tcBorders>
                  <w:vAlign w:val="center"/>
                </w:tcPr>
                <w:p w14:paraId="4C7D52E2">
                  <w:pPr>
                    <w:pStyle w:val="59"/>
                    <w:keepNext w:val="0"/>
                    <w:keepLines w:val="0"/>
                    <w:pageBreakBefore w:val="0"/>
                    <w:widowControl w:val="0"/>
                    <w:kinsoku/>
                    <w:wordWrap/>
                    <w:overflowPunct/>
                    <w:topLinePunct w:val="0"/>
                    <w:autoSpaceDE/>
                    <w:autoSpaceDN/>
                    <w:bidi w:val="0"/>
                    <w:adjustRightInd/>
                    <w:snapToGrid/>
                    <w:spacing w:line="240" w:lineRule="auto"/>
                    <w:ind w:left="615" w:right="585"/>
                    <w:jc w:val="center"/>
                    <w:textAlignment w:val="auto"/>
                    <w:rPr>
                      <w:rFonts w:ascii="Times New Roman"/>
                      <w:b w:val="0"/>
                      <w:color w:val="auto"/>
                      <w:sz w:val="21"/>
                    </w:rPr>
                  </w:pPr>
                  <w:r>
                    <w:rPr>
                      <w:rFonts w:ascii="Times New Roman"/>
                      <w:b w:val="0"/>
                      <w:color w:val="auto"/>
                      <w:sz w:val="21"/>
                    </w:rPr>
                    <w:t>COD</w:t>
                  </w:r>
                </w:p>
              </w:tc>
              <w:tc>
                <w:tcPr>
                  <w:tcW w:w="2073" w:type="dxa"/>
                  <w:tcBorders>
                    <w:tl2br w:val="nil"/>
                    <w:tr2bl w:val="nil"/>
                  </w:tcBorders>
                  <w:vAlign w:val="center"/>
                </w:tcPr>
                <w:p w14:paraId="4A9187A1">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6" w:name="0.081"/>
                  <w:bookmarkEnd w:id="6"/>
                  <w:r>
                    <w:rPr>
                      <w:rFonts w:hint="eastAsia" w:ascii="Times New Roman" w:cs="宋体"/>
                      <w:b w:val="0"/>
                      <w:snapToGrid w:val="0"/>
                      <w:color w:val="auto"/>
                      <w:kern w:val="21"/>
                      <w:szCs w:val="21"/>
                      <w:highlight w:val="none"/>
                      <w:lang w:val="en-US" w:eastAsia="zh-CN"/>
                    </w:rPr>
                    <w:t>0.96</w:t>
                  </w:r>
                </w:p>
              </w:tc>
              <w:tc>
                <w:tcPr>
                  <w:tcW w:w="1306" w:type="pct"/>
                  <w:tcBorders>
                    <w:tl2br w:val="nil"/>
                    <w:tr2bl w:val="nil"/>
                  </w:tcBorders>
                  <w:vAlign w:val="center"/>
                </w:tcPr>
                <w:p w14:paraId="444A9BCC">
                  <w:pPr>
                    <w:pStyle w:val="59"/>
                    <w:keepNext w:val="0"/>
                    <w:keepLines w:val="0"/>
                    <w:pageBreakBefore w:val="0"/>
                    <w:widowControl w:val="0"/>
                    <w:kinsoku/>
                    <w:wordWrap/>
                    <w:overflowPunct/>
                    <w:topLinePunct w:val="0"/>
                    <w:autoSpaceDE/>
                    <w:autoSpaceDN/>
                    <w:bidi w:val="0"/>
                    <w:adjustRightInd/>
                    <w:snapToGrid/>
                    <w:spacing w:line="240" w:lineRule="auto"/>
                    <w:ind w:left="617" w:right="587"/>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0.244</w:t>
                  </w:r>
                </w:p>
              </w:tc>
            </w:tr>
            <w:tr w14:paraId="359A9BB6">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53C778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
                      <w:szCs w:val="2"/>
                    </w:rPr>
                  </w:pPr>
                </w:p>
              </w:tc>
              <w:tc>
                <w:tcPr>
                  <w:tcW w:w="1553" w:type="pct"/>
                  <w:tcBorders>
                    <w:tl2br w:val="nil"/>
                    <w:tr2bl w:val="nil"/>
                  </w:tcBorders>
                  <w:vAlign w:val="center"/>
                </w:tcPr>
                <w:p w14:paraId="02FF8C7F">
                  <w:pPr>
                    <w:pStyle w:val="59"/>
                    <w:keepNext w:val="0"/>
                    <w:keepLines w:val="0"/>
                    <w:pageBreakBefore w:val="0"/>
                    <w:widowControl w:val="0"/>
                    <w:kinsoku/>
                    <w:wordWrap/>
                    <w:overflowPunct/>
                    <w:topLinePunct w:val="0"/>
                    <w:autoSpaceDE/>
                    <w:autoSpaceDN/>
                    <w:bidi w:val="0"/>
                    <w:adjustRightInd/>
                    <w:snapToGrid/>
                    <w:spacing w:line="240" w:lineRule="auto"/>
                    <w:ind w:left="611" w:right="585"/>
                    <w:jc w:val="center"/>
                    <w:textAlignment w:val="auto"/>
                    <w:rPr>
                      <w:rFonts w:ascii="Times New Roman"/>
                      <w:b w:val="0"/>
                      <w:color w:val="auto"/>
                      <w:sz w:val="21"/>
                    </w:rPr>
                  </w:pPr>
                  <w:r>
                    <w:rPr>
                      <w:rFonts w:ascii="Times New Roman"/>
                      <w:b w:val="0"/>
                      <w:color w:val="auto"/>
                      <w:sz w:val="21"/>
                    </w:rPr>
                    <w:t>SS</w:t>
                  </w:r>
                </w:p>
              </w:tc>
              <w:tc>
                <w:tcPr>
                  <w:tcW w:w="2073" w:type="dxa"/>
                  <w:tcBorders>
                    <w:tl2br w:val="nil"/>
                    <w:tr2bl w:val="nil"/>
                  </w:tcBorders>
                  <w:vAlign w:val="center"/>
                </w:tcPr>
                <w:p w14:paraId="4982F7A0">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7" w:name="0.061"/>
                  <w:bookmarkEnd w:id="7"/>
                  <w:r>
                    <w:rPr>
                      <w:rFonts w:hint="eastAsia" w:ascii="Times New Roman" w:cs="宋体"/>
                      <w:b w:val="0"/>
                      <w:snapToGrid w:val="0"/>
                      <w:color w:val="auto"/>
                      <w:kern w:val="21"/>
                      <w:szCs w:val="21"/>
                      <w:highlight w:val="none"/>
                      <w:lang w:val="en-US" w:eastAsia="zh-CN"/>
                    </w:rPr>
                    <w:t>0.48</w:t>
                  </w:r>
                </w:p>
              </w:tc>
              <w:tc>
                <w:tcPr>
                  <w:tcW w:w="1306" w:type="pct"/>
                  <w:tcBorders>
                    <w:tl2br w:val="nil"/>
                    <w:tr2bl w:val="nil"/>
                  </w:tcBorders>
                  <w:vAlign w:val="center"/>
                </w:tcPr>
                <w:p w14:paraId="41C4E119">
                  <w:pPr>
                    <w:pStyle w:val="59"/>
                    <w:keepNext w:val="0"/>
                    <w:keepLines w:val="0"/>
                    <w:pageBreakBefore w:val="0"/>
                    <w:widowControl w:val="0"/>
                    <w:kinsoku/>
                    <w:wordWrap/>
                    <w:overflowPunct/>
                    <w:topLinePunct w:val="0"/>
                    <w:autoSpaceDE/>
                    <w:autoSpaceDN/>
                    <w:bidi w:val="0"/>
                    <w:adjustRightInd/>
                    <w:snapToGrid/>
                    <w:spacing w:line="240" w:lineRule="auto"/>
                    <w:ind w:left="617" w:right="587"/>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0.073</w:t>
                  </w:r>
                </w:p>
              </w:tc>
            </w:tr>
            <w:tr w14:paraId="23986F41">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77" w:type="pct"/>
                  <w:vMerge w:val="continue"/>
                  <w:tcBorders>
                    <w:tl2br w:val="nil"/>
                    <w:tr2bl w:val="nil"/>
                  </w:tcBorders>
                  <w:vAlign w:val="center"/>
                </w:tcPr>
                <w:p w14:paraId="5DCB29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
                      <w:szCs w:val="2"/>
                    </w:rPr>
                  </w:pPr>
                </w:p>
              </w:tc>
              <w:tc>
                <w:tcPr>
                  <w:tcW w:w="1553" w:type="pct"/>
                  <w:tcBorders>
                    <w:tl2br w:val="nil"/>
                    <w:tr2bl w:val="nil"/>
                  </w:tcBorders>
                  <w:vAlign w:val="center"/>
                </w:tcPr>
                <w:p w14:paraId="327271BF">
                  <w:pPr>
                    <w:pStyle w:val="59"/>
                    <w:keepNext w:val="0"/>
                    <w:keepLines w:val="0"/>
                    <w:pageBreakBefore w:val="0"/>
                    <w:widowControl w:val="0"/>
                    <w:kinsoku/>
                    <w:wordWrap/>
                    <w:overflowPunct/>
                    <w:topLinePunct w:val="0"/>
                    <w:autoSpaceDE/>
                    <w:autoSpaceDN/>
                    <w:bidi w:val="0"/>
                    <w:adjustRightInd/>
                    <w:snapToGrid/>
                    <w:spacing w:line="240" w:lineRule="auto"/>
                    <w:ind w:left="615" w:right="585"/>
                    <w:jc w:val="center"/>
                    <w:textAlignment w:val="auto"/>
                    <w:rPr>
                      <w:rFonts w:ascii="Times New Roman"/>
                      <w:b w:val="0"/>
                      <w:color w:val="auto"/>
                      <w:sz w:val="21"/>
                    </w:rPr>
                  </w:pPr>
                  <w:r>
                    <w:rPr>
                      <w:rFonts w:ascii="Times New Roman"/>
                      <w:b w:val="0"/>
                      <w:color w:val="auto"/>
                      <w:position w:val="2"/>
                      <w:sz w:val="21"/>
                    </w:rPr>
                    <w:t>NH</w:t>
                  </w:r>
                  <w:r>
                    <w:rPr>
                      <w:rFonts w:ascii="Times New Roman"/>
                      <w:b w:val="0"/>
                      <w:color w:val="auto"/>
                      <w:position w:val="2"/>
                      <w:sz w:val="21"/>
                      <w:vertAlign w:val="subscript"/>
                    </w:rPr>
                    <w:t>3</w:t>
                  </w:r>
                  <w:r>
                    <w:rPr>
                      <w:rFonts w:ascii="Times New Roman"/>
                      <w:b w:val="0"/>
                      <w:color w:val="auto"/>
                      <w:position w:val="2"/>
                      <w:sz w:val="21"/>
                      <w:vertAlign w:val="baseline"/>
                    </w:rPr>
                    <w:t>-N</w:t>
                  </w:r>
                </w:p>
              </w:tc>
              <w:tc>
                <w:tcPr>
                  <w:tcW w:w="2073" w:type="dxa"/>
                  <w:tcBorders>
                    <w:tl2br w:val="nil"/>
                    <w:tr2bl w:val="nil"/>
                  </w:tcBorders>
                  <w:vAlign w:val="center"/>
                </w:tcPr>
                <w:p w14:paraId="185DB9B1">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8" w:name="0.005"/>
                  <w:bookmarkEnd w:id="8"/>
                  <w:r>
                    <w:rPr>
                      <w:rFonts w:hint="eastAsia" w:ascii="Times New Roman" w:hAnsi="Times New Roman" w:eastAsia="宋体" w:cs="宋体"/>
                      <w:b w:val="0"/>
                      <w:snapToGrid w:val="0"/>
                      <w:color w:val="auto"/>
                      <w:kern w:val="21"/>
                      <w:sz w:val="21"/>
                      <w:szCs w:val="21"/>
                      <w:highlight w:val="none"/>
                      <w:lang w:val="en-US" w:eastAsia="zh-CN" w:bidi="ar-SA"/>
                    </w:rPr>
                    <w:t>0.0672</w:t>
                  </w:r>
                </w:p>
              </w:tc>
              <w:tc>
                <w:tcPr>
                  <w:tcW w:w="1306" w:type="pct"/>
                  <w:tcBorders>
                    <w:tl2br w:val="nil"/>
                    <w:tr2bl w:val="nil"/>
                  </w:tcBorders>
                  <w:vAlign w:val="center"/>
                </w:tcPr>
                <w:p w14:paraId="4F0D38F1">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0.034</w:t>
                  </w:r>
                </w:p>
              </w:tc>
            </w:tr>
            <w:tr w14:paraId="3772FBD3">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77" w:type="pct"/>
                  <w:vMerge w:val="continue"/>
                  <w:tcBorders>
                    <w:tl2br w:val="nil"/>
                    <w:tr2bl w:val="nil"/>
                  </w:tcBorders>
                  <w:vAlign w:val="center"/>
                </w:tcPr>
                <w:p w14:paraId="06E462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
                      <w:szCs w:val="2"/>
                    </w:rPr>
                  </w:pPr>
                </w:p>
              </w:tc>
              <w:tc>
                <w:tcPr>
                  <w:tcW w:w="1553" w:type="pct"/>
                  <w:tcBorders>
                    <w:tl2br w:val="nil"/>
                    <w:tr2bl w:val="nil"/>
                  </w:tcBorders>
                  <w:vAlign w:val="center"/>
                </w:tcPr>
                <w:p w14:paraId="06D69623">
                  <w:pPr>
                    <w:pStyle w:val="59"/>
                    <w:keepNext w:val="0"/>
                    <w:keepLines w:val="0"/>
                    <w:pageBreakBefore w:val="0"/>
                    <w:widowControl w:val="0"/>
                    <w:kinsoku/>
                    <w:wordWrap/>
                    <w:overflowPunct/>
                    <w:topLinePunct w:val="0"/>
                    <w:autoSpaceDE/>
                    <w:autoSpaceDN/>
                    <w:bidi w:val="0"/>
                    <w:adjustRightInd/>
                    <w:snapToGrid/>
                    <w:spacing w:line="240" w:lineRule="auto"/>
                    <w:ind w:left="614" w:right="585"/>
                    <w:jc w:val="center"/>
                    <w:textAlignment w:val="auto"/>
                    <w:rPr>
                      <w:rFonts w:ascii="Times New Roman"/>
                      <w:b w:val="0"/>
                      <w:color w:val="auto"/>
                      <w:sz w:val="21"/>
                    </w:rPr>
                  </w:pPr>
                  <w:r>
                    <w:rPr>
                      <w:rFonts w:ascii="Times New Roman"/>
                      <w:b w:val="0"/>
                      <w:color w:val="auto"/>
                      <w:sz w:val="21"/>
                    </w:rPr>
                    <w:t>TP</w:t>
                  </w:r>
                </w:p>
              </w:tc>
              <w:tc>
                <w:tcPr>
                  <w:tcW w:w="2073" w:type="dxa"/>
                  <w:tcBorders>
                    <w:tl2br w:val="nil"/>
                    <w:tr2bl w:val="nil"/>
                  </w:tcBorders>
                  <w:vAlign w:val="center"/>
                </w:tcPr>
                <w:p w14:paraId="196A2412">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ascii="Times New Roman"/>
                      <w:b w:val="0"/>
                      <w:color w:val="auto"/>
                      <w:sz w:val="21"/>
                    </w:rPr>
                  </w:pPr>
                  <w:bookmarkStart w:id="9" w:name="0.001"/>
                  <w:bookmarkEnd w:id="9"/>
                  <w:r>
                    <w:rPr>
                      <w:rFonts w:hint="eastAsia" w:ascii="Times New Roman" w:hAnsi="Times New Roman" w:eastAsia="宋体" w:cs="宋体"/>
                      <w:b w:val="0"/>
                      <w:snapToGrid w:val="0"/>
                      <w:color w:val="auto"/>
                      <w:kern w:val="21"/>
                      <w:sz w:val="21"/>
                      <w:szCs w:val="21"/>
                      <w:highlight w:val="none"/>
                      <w:lang w:val="en-US" w:eastAsia="zh-CN" w:bidi="ar-SA"/>
                    </w:rPr>
                    <w:t>0.00576</w:t>
                  </w:r>
                </w:p>
              </w:tc>
              <w:tc>
                <w:tcPr>
                  <w:tcW w:w="1306" w:type="pct"/>
                  <w:tcBorders>
                    <w:tl2br w:val="nil"/>
                    <w:tr2bl w:val="nil"/>
                  </w:tcBorders>
                  <w:vAlign w:val="center"/>
                </w:tcPr>
                <w:p w14:paraId="3484A672">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0.005</w:t>
                  </w:r>
                </w:p>
              </w:tc>
            </w:tr>
            <w:tr w14:paraId="3F4598A4">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77" w:type="pct"/>
                  <w:vMerge w:val="continue"/>
                  <w:tcBorders>
                    <w:tl2br w:val="nil"/>
                    <w:tr2bl w:val="nil"/>
                  </w:tcBorders>
                  <w:vAlign w:val="center"/>
                </w:tcPr>
                <w:p w14:paraId="53352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val="0"/>
                      <w:color w:val="auto"/>
                      <w:sz w:val="2"/>
                      <w:szCs w:val="2"/>
                    </w:rPr>
                  </w:pPr>
                </w:p>
              </w:tc>
              <w:tc>
                <w:tcPr>
                  <w:tcW w:w="1553" w:type="pct"/>
                  <w:tcBorders>
                    <w:tl2br w:val="nil"/>
                    <w:tr2bl w:val="nil"/>
                  </w:tcBorders>
                  <w:vAlign w:val="center"/>
                </w:tcPr>
                <w:p w14:paraId="312CF083">
                  <w:pPr>
                    <w:pStyle w:val="59"/>
                    <w:keepNext w:val="0"/>
                    <w:keepLines w:val="0"/>
                    <w:pageBreakBefore w:val="0"/>
                    <w:widowControl w:val="0"/>
                    <w:kinsoku/>
                    <w:wordWrap/>
                    <w:overflowPunct/>
                    <w:topLinePunct w:val="0"/>
                    <w:autoSpaceDE/>
                    <w:autoSpaceDN/>
                    <w:bidi w:val="0"/>
                    <w:adjustRightInd/>
                    <w:snapToGrid/>
                    <w:spacing w:line="240" w:lineRule="auto"/>
                    <w:ind w:left="614" w:right="585"/>
                    <w:jc w:val="center"/>
                    <w:textAlignment w:val="auto"/>
                    <w:rPr>
                      <w:rFonts w:hint="eastAsia" w:ascii="Times New Roman" w:eastAsia="宋体"/>
                      <w:b w:val="0"/>
                      <w:color w:val="auto"/>
                      <w:sz w:val="21"/>
                      <w:lang w:val="en-US" w:eastAsia="zh-CN"/>
                    </w:rPr>
                  </w:pPr>
                  <w:r>
                    <w:rPr>
                      <w:rFonts w:hint="eastAsia" w:ascii="Times New Roman"/>
                      <w:b w:val="0"/>
                      <w:color w:val="auto"/>
                      <w:sz w:val="21"/>
                      <w:lang w:val="en-US" w:eastAsia="zh-CN"/>
                    </w:rPr>
                    <w:t>TN</w:t>
                  </w:r>
                </w:p>
              </w:tc>
              <w:tc>
                <w:tcPr>
                  <w:tcW w:w="2073" w:type="dxa"/>
                  <w:tcBorders>
                    <w:tl2br w:val="nil"/>
                    <w:tr2bl w:val="nil"/>
                  </w:tcBorders>
                  <w:vAlign w:val="center"/>
                </w:tcPr>
                <w:p w14:paraId="5A15DC7C">
                  <w:pPr>
                    <w:pStyle w:val="37"/>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eastAsia" w:ascii="Times New Roman" w:hAnsi="Times New Roman" w:eastAsia="宋体" w:cs="宋体"/>
                      <w:b w:val="0"/>
                      <w:snapToGrid w:val="0"/>
                      <w:color w:val="auto"/>
                      <w:kern w:val="21"/>
                      <w:sz w:val="21"/>
                      <w:szCs w:val="21"/>
                      <w:highlight w:val="none"/>
                      <w:lang w:val="en-US" w:eastAsia="zh-CN" w:bidi="ar-SA"/>
                    </w:rPr>
                  </w:pPr>
                  <w:r>
                    <w:rPr>
                      <w:rFonts w:hint="eastAsia" w:ascii="Times New Roman" w:cs="宋体"/>
                      <w:b w:val="0"/>
                      <w:snapToGrid w:val="0"/>
                      <w:color w:val="auto"/>
                      <w:kern w:val="21"/>
                      <w:szCs w:val="21"/>
                      <w:highlight w:val="none"/>
                      <w:lang w:val="en-US" w:eastAsia="zh-CN"/>
                    </w:rPr>
                    <w:t>0.0576</w:t>
                  </w:r>
                </w:p>
              </w:tc>
              <w:tc>
                <w:tcPr>
                  <w:tcW w:w="1306" w:type="pct"/>
                  <w:tcBorders>
                    <w:tl2br w:val="nil"/>
                    <w:tr2bl w:val="nil"/>
                  </w:tcBorders>
                  <w:vAlign w:val="center"/>
                </w:tcPr>
                <w:p w14:paraId="5411A17F">
                  <w:pPr>
                    <w:pStyle w:val="59"/>
                    <w:keepNext w:val="0"/>
                    <w:keepLines w:val="0"/>
                    <w:pageBreakBefore w:val="0"/>
                    <w:widowControl w:val="0"/>
                    <w:kinsoku/>
                    <w:wordWrap/>
                    <w:overflowPunct/>
                    <w:topLinePunct w:val="0"/>
                    <w:autoSpaceDE/>
                    <w:autoSpaceDN/>
                    <w:bidi w:val="0"/>
                    <w:adjustRightInd/>
                    <w:snapToGrid/>
                    <w:spacing w:line="240" w:lineRule="auto"/>
                    <w:ind w:left="617" w:right="590"/>
                    <w:jc w:val="center"/>
                    <w:textAlignment w:val="auto"/>
                    <w:rPr>
                      <w:rFonts w:hint="default" w:ascii="Times New Roman" w:eastAsia="宋体"/>
                      <w:b w:val="0"/>
                      <w:color w:val="auto"/>
                      <w:sz w:val="21"/>
                      <w:lang w:val="en-US" w:eastAsia="zh-CN"/>
                    </w:rPr>
                  </w:pPr>
                  <w:r>
                    <w:rPr>
                      <w:rFonts w:hint="eastAsia" w:ascii="Times New Roman"/>
                      <w:b w:val="0"/>
                      <w:color w:val="auto"/>
                      <w:sz w:val="21"/>
                      <w:lang w:val="en-US" w:eastAsia="zh-CN"/>
                    </w:rPr>
                    <w:t>0.045</w:t>
                  </w:r>
                </w:p>
              </w:tc>
            </w:tr>
            <w:tr w14:paraId="6F604333">
              <w:tblPrEx>
                <w:tblBorders>
                  <w:top w:val="single" w:color="000000" w:sz="12" w:space="0"/>
                  <w:left w:val="none" w:color="auto" w:sz="0" w:space="0"/>
                  <w:bottom w:val="single" w:color="000000" w:sz="12"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77" w:type="pct"/>
                  <w:tcBorders>
                    <w:tl2br w:val="nil"/>
                    <w:tr2bl w:val="nil"/>
                  </w:tcBorders>
                  <w:vAlign w:val="center"/>
                </w:tcPr>
                <w:p w14:paraId="36DAFA89">
                  <w:pPr>
                    <w:pStyle w:val="59"/>
                    <w:keepNext w:val="0"/>
                    <w:keepLines w:val="0"/>
                    <w:pageBreakBefore w:val="0"/>
                    <w:widowControl w:val="0"/>
                    <w:kinsoku/>
                    <w:wordWrap/>
                    <w:overflowPunct/>
                    <w:topLinePunct w:val="0"/>
                    <w:autoSpaceDE/>
                    <w:autoSpaceDN/>
                    <w:bidi w:val="0"/>
                    <w:adjustRightInd/>
                    <w:snapToGrid/>
                    <w:spacing w:line="240" w:lineRule="auto"/>
                    <w:ind w:left="118" w:right="88"/>
                    <w:jc w:val="center"/>
                    <w:textAlignment w:val="auto"/>
                    <w:rPr>
                      <w:b w:val="0"/>
                      <w:color w:val="auto"/>
                      <w:sz w:val="21"/>
                    </w:rPr>
                  </w:pPr>
                  <w:r>
                    <w:rPr>
                      <w:b w:val="0"/>
                      <w:color w:val="auto"/>
                      <w:sz w:val="21"/>
                    </w:rPr>
                    <w:t>固废</w:t>
                  </w:r>
                </w:p>
              </w:tc>
              <w:tc>
                <w:tcPr>
                  <w:tcW w:w="2816" w:type="pct"/>
                  <w:gridSpan w:val="2"/>
                  <w:tcBorders>
                    <w:tl2br w:val="nil"/>
                    <w:tr2bl w:val="nil"/>
                  </w:tcBorders>
                  <w:vAlign w:val="center"/>
                </w:tcPr>
                <w:p w14:paraId="14F69FFB">
                  <w:pPr>
                    <w:pStyle w:val="59"/>
                    <w:keepNext w:val="0"/>
                    <w:keepLines w:val="0"/>
                    <w:pageBreakBefore w:val="0"/>
                    <w:widowControl w:val="0"/>
                    <w:kinsoku/>
                    <w:wordWrap/>
                    <w:overflowPunct/>
                    <w:topLinePunct w:val="0"/>
                    <w:autoSpaceDE/>
                    <w:autoSpaceDN/>
                    <w:bidi w:val="0"/>
                    <w:adjustRightInd/>
                    <w:snapToGrid/>
                    <w:spacing w:line="240" w:lineRule="auto"/>
                    <w:ind w:left="26"/>
                    <w:jc w:val="center"/>
                    <w:textAlignment w:val="auto"/>
                    <w:rPr>
                      <w:rFonts w:ascii="Times New Roman"/>
                      <w:b w:val="0"/>
                      <w:color w:val="auto"/>
                      <w:sz w:val="21"/>
                    </w:rPr>
                  </w:pPr>
                  <w:r>
                    <w:rPr>
                      <w:rFonts w:ascii="Times New Roman"/>
                      <w:b w:val="0"/>
                      <w:color w:val="auto"/>
                      <w:w w:val="99"/>
                      <w:sz w:val="21"/>
                    </w:rPr>
                    <w:t>0</w:t>
                  </w:r>
                </w:p>
              </w:tc>
              <w:tc>
                <w:tcPr>
                  <w:tcW w:w="1306" w:type="pct"/>
                  <w:tcBorders>
                    <w:tl2br w:val="nil"/>
                    <w:tr2bl w:val="nil"/>
                  </w:tcBorders>
                  <w:vAlign w:val="center"/>
                </w:tcPr>
                <w:p w14:paraId="392B080D">
                  <w:pPr>
                    <w:pStyle w:val="59"/>
                    <w:keepNext w:val="0"/>
                    <w:keepLines w:val="0"/>
                    <w:pageBreakBefore w:val="0"/>
                    <w:widowControl w:val="0"/>
                    <w:kinsoku/>
                    <w:wordWrap/>
                    <w:overflowPunct/>
                    <w:topLinePunct w:val="0"/>
                    <w:autoSpaceDE/>
                    <w:autoSpaceDN/>
                    <w:bidi w:val="0"/>
                    <w:adjustRightInd/>
                    <w:snapToGrid/>
                    <w:spacing w:line="240" w:lineRule="auto"/>
                    <w:ind w:left="25"/>
                    <w:jc w:val="center"/>
                    <w:textAlignment w:val="auto"/>
                    <w:rPr>
                      <w:rFonts w:ascii="Times New Roman"/>
                      <w:b w:val="0"/>
                      <w:color w:val="auto"/>
                      <w:sz w:val="21"/>
                    </w:rPr>
                  </w:pPr>
                  <w:r>
                    <w:rPr>
                      <w:rFonts w:ascii="Times New Roman"/>
                      <w:b w:val="0"/>
                      <w:color w:val="auto"/>
                      <w:w w:val="99"/>
                      <w:sz w:val="21"/>
                    </w:rPr>
                    <w:t>0</w:t>
                  </w:r>
                </w:p>
              </w:tc>
            </w:tr>
          </w:tbl>
          <w:p w14:paraId="4C7F4EDB">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b w:val="0"/>
                <w:color w:val="auto"/>
                <w:szCs w:val="24"/>
                <w:highlight w:val="none"/>
                <w:lang w:val="en-US" w:eastAsia="zh-CN"/>
              </w:rPr>
              <w:t>7</w:t>
            </w:r>
            <w:r>
              <w:rPr>
                <w:rFonts w:hint="eastAsia" w:ascii="Times New Roman" w:hAnsi="Times New Roman" w:eastAsia="宋体"/>
                <w:b w:val="0"/>
                <w:color w:val="auto"/>
                <w:szCs w:val="24"/>
                <w:highlight w:val="none"/>
              </w:rPr>
              <w:t>、原有环境问题</w:t>
            </w:r>
          </w:p>
          <w:p w14:paraId="3954141B">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经现场勘查，原有项目与验收情况一致，无环境遗留问题，各类污染物的排放不会对周边环境产生不良影响，不会改变区域环境功能区质量要求，能维持环境功能区质量现状。</w:t>
            </w:r>
          </w:p>
          <w:p w14:paraId="003346A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b w:val="0"/>
                <w:color w:val="auto"/>
                <w:szCs w:val="24"/>
                <w:highlight w:val="none"/>
              </w:rPr>
            </w:pPr>
            <w:r>
              <w:rPr>
                <w:rFonts w:hint="eastAsia" w:ascii="Times New Roman" w:hAnsi="Times New Roman" w:eastAsia="宋体"/>
                <w:b w:val="0"/>
                <w:color w:val="auto"/>
                <w:szCs w:val="24"/>
                <w:highlight w:val="none"/>
              </w:rPr>
              <w:t>企业</w:t>
            </w:r>
            <w:r>
              <w:rPr>
                <w:rFonts w:hint="eastAsia" w:ascii="Times New Roman" w:hAnsi="Times New Roman"/>
                <w:b w:val="0"/>
                <w:color w:val="auto"/>
                <w:szCs w:val="24"/>
                <w:highlight w:val="none"/>
                <w:lang w:val="en-US" w:eastAsia="zh-CN"/>
              </w:rPr>
              <w:t>本次技改项目</w:t>
            </w:r>
            <w:r>
              <w:rPr>
                <w:rFonts w:hint="eastAsia" w:ascii="Times New Roman" w:hAnsi="Times New Roman" w:eastAsia="宋体"/>
                <w:b w:val="0"/>
                <w:color w:val="auto"/>
                <w:szCs w:val="24"/>
                <w:highlight w:val="none"/>
              </w:rPr>
              <w:t>按照《企业拆除活动污染防治技术规定（试行）》中相关要求执行，规范各类设施拆除流程、安全处置企业遗留固体废物，在</w:t>
            </w:r>
            <w:r>
              <w:rPr>
                <w:rFonts w:hint="eastAsia" w:ascii="Times New Roman" w:hAnsi="Times New Roman"/>
                <w:b w:val="0"/>
                <w:color w:val="auto"/>
                <w:szCs w:val="24"/>
                <w:highlight w:val="none"/>
                <w:lang w:val="en-US" w:eastAsia="zh-CN"/>
              </w:rPr>
              <w:t>技改</w:t>
            </w:r>
            <w:r>
              <w:rPr>
                <w:rFonts w:hint="eastAsia" w:ascii="Times New Roman" w:hAnsi="Times New Roman" w:eastAsia="宋体"/>
                <w:b w:val="0"/>
                <w:color w:val="auto"/>
                <w:szCs w:val="24"/>
                <w:highlight w:val="none"/>
              </w:rPr>
              <w:t>过程中应确保污染防治设施正常运行或使用，妥善处理遗留过程中产生的污染物。如果污染防治设施不能正常运行或使用，企业在关停</w:t>
            </w:r>
            <w:r>
              <w:rPr>
                <w:rFonts w:hint="eastAsia" w:ascii="Times New Roman" w:hAnsi="Times New Roman"/>
                <w:b w:val="0"/>
                <w:color w:val="auto"/>
                <w:szCs w:val="24"/>
                <w:highlight w:val="none"/>
                <w:lang w:val="en-US" w:eastAsia="zh-CN"/>
              </w:rPr>
              <w:t>技改</w:t>
            </w:r>
            <w:r>
              <w:rPr>
                <w:rFonts w:hint="eastAsia" w:ascii="Times New Roman" w:hAnsi="Times New Roman" w:eastAsia="宋体"/>
                <w:b w:val="0"/>
                <w:color w:val="auto"/>
                <w:szCs w:val="24"/>
                <w:highlight w:val="none"/>
              </w:rPr>
              <w:t>过程中应制定并实施各类污染物临时处理处置方案。对地上及地下的建筑物、构筑物、生产装置、管线、污染治理设施、有毒有害化学品及石油产品储存设施等予以规范清理和拆除；应对</w:t>
            </w:r>
            <w:r>
              <w:rPr>
                <w:rFonts w:hint="eastAsia" w:ascii="Times New Roman" w:hAnsi="Times New Roman"/>
                <w:b w:val="0"/>
                <w:color w:val="auto"/>
                <w:szCs w:val="24"/>
                <w:highlight w:val="none"/>
                <w:lang w:val="en-US" w:eastAsia="zh-CN"/>
              </w:rPr>
              <w:t>现有设备拆除</w:t>
            </w:r>
            <w:r>
              <w:rPr>
                <w:rFonts w:hint="eastAsia" w:ascii="Times New Roman" w:hAnsi="Times New Roman" w:eastAsia="宋体"/>
                <w:b w:val="0"/>
                <w:color w:val="auto"/>
                <w:szCs w:val="24"/>
                <w:highlight w:val="none"/>
              </w:rPr>
              <w:t>过程中产生的有毒有害物质、危险废物、一般工业固体废物等进行处理处置。属危险废物的，应委托具有危险废物经营许可证的专业单位进行安全处置，并执行危险废物转移联单制度；属一般工业固体废物的，应按照国家相关环保标准制定处置方案</w:t>
            </w:r>
            <w:r>
              <w:rPr>
                <w:rFonts w:hint="eastAsia" w:ascii="Times New Roman" w:hAnsi="Times New Roman"/>
                <w:b w:val="0"/>
                <w:color w:val="auto"/>
                <w:szCs w:val="24"/>
                <w:highlight w:val="none"/>
                <w:lang w:eastAsia="zh-CN"/>
              </w:rPr>
              <w:t>；</w:t>
            </w:r>
            <w:r>
              <w:rPr>
                <w:rFonts w:hint="eastAsia" w:ascii="Times New Roman" w:hAnsi="Times New Roman" w:eastAsia="宋体"/>
                <w:b w:val="0"/>
                <w:color w:val="auto"/>
                <w:szCs w:val="24"/>
                <w:highlight w:val="none"/>
              </w:rPr>
              <w:t>对不能直接判定其危险特性的固体废物，应按照《危险废物鉴别标准》的有关要求进行鉴别。确保</w:t>
            </w:r>
            <w:r>
              <w:rPr>
                <w:rFonts w:hint="eastAsia" w:ascii="Times New Roman" w:hAnsi="Times New Roman"/>
                <w:b w:val="0"/>
                <w:color w:val="auto"/>
                <w:szCs w:val="24"/>
                <w:highlight w:val="none"/>
                <w:lang w:val="en-US" w:eastAsia="zh-CN"/>
              </w:rPr>
              <w:t>原有项目拆除后</w:t>
            </w:r>
            <w:r>
              <w:rPr>
                <w:rFonts w:hint="eastAsia" w:ascii="Times New Roman" w:hAnsi="Times New Roman" w:eastAsia="宋体"/>
                <w:b w:val="0"/>
                <w:color w:val="auto"/>
                <w:szCs w:val="24"/>
                <w:highlight w:val="none"/>
              </w:rPr>
              <w:t>无遗留问题。</w:t>
            </w:r>
          </w:p>
          <w:p w14:paraId="436846BF">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宋体"/>
                <w:b w:val="0"/>
                <w:color w:val="auto"/>
                <w:highlight w:val="none"/>
                <w:lang w:val="en-US" w:eastAsia="zh-CN"/>
              </w:rPr>
            </w:pPr>
            <w:r>
              <w:rPr>
                <w:rFonts w:hint="eastAsia" w:ascii="Times New Roman" w:hAnsi="Times New Roman" w:cs="宋体"/>
                <w:b w:val="0"/>
                <w:color w:val="auto"/>
                <w:highlight w:val="none"/>
                <w:lang w:val="en-US" w:eastAsia="zh-CN"/>
              </w:rPr>
              <w:t>8、以新代老措施</w:t>
            </w:r>
          </w:p>
          <w:p w14:paraId="70F8201A">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宋体"/>
                <w:b w:val="0"/>
                <w:color w:val="auto"/>
                <w:highlight w:val="none"/>
                <w:lang w:val="en-US" w:eastAsia="zh-CN"/>
              </w:rPr>
            </w:pPr>
            <w:r>
              <w:rPr>
                <w:rFonts w:hint="eastAsia" w:ascii="Times New Roman" w:hAnsi="Times New Roman" w:cs="宋体"/>
                <w:b w:val="0"/>
                <w:color w:val="auto"/>
                <w:highlight w:val="none"/>
                <w:lang w:val="en-US" w:eastAsia="zh-CN"/>
              </w:rPr>
              <w:t>原有项目由于</w:t>
            </w:r>
            <w:r>
              <w:rPr>
                <w:rFonts w:hint="eastAsia" w:ascii="Times New Roman" w:hAnsi="Times New Roman"/>
                <w:b w:val="0"/>
                <w:color w:val="auto"/>
                <w:szCs w:val="24"/>
                <w:highlight w:val="none"/>
                <w:lang w:val="en-US" w:eastAsia="zh-CN"/>
              </w:rPr>
              <w:t>环评较早，注塑废气未考虑特征因子，未对注塑废气特征因子进行自行监测，本次对原有项目注塑废气特征因子的自行监测进行补充要求。根据</w:t>
            </w:r>
            <w:r>
              <w:rPr>
                <w:rFonts w:hint="eastAsia" w:ascii="Times New Roman" w:hAnsi="Times New Roman" w:eastAsia="宋体" w:cs="宋体"/>
                <w:color w:val="auto"/>
                <w:kern w:val="0"/>
                <w:sz w:val="24"/>
                <w:highlight w:val="none"/>
              </w:rPr>
              <w:t>《排污许可证申请与核发技术规范 橡胶和塑料制品业》（HJ1122-2020）</w:t>
            </w:r>
            <w:r>
              <w:rPr>
                <w:rFonts w:hint="eastAsia"/>
                <w:color w:val="auto"/>
                <w:sz w:val="24"/>
                <w:szCs w:val="24"/>
                <w:lang w:val="en-US" w:eastAsia="zh-CN"/>
              </w:rPr>
              <w:t>，</w:t>
            </w:r>
            <w:r>
              <w:rPr>
                <w:rFonts w:hint="eastAsia" w:ascii="Times New Roman" w:hAnsi="Times New Roman"/>
                <w:b w:val="0"/>
                <w:color w:val="auto"/>
                <w:szCs w:val="24"/>
                <w:highlight w:val="none"/>
                <w:lang w:val="en-US" w:eastAsia="zh-CN"/>
              </w:rPr>
              <w:t>原有</w:t>
            </w:r>
            <w:r>
              <w:rPr>
                <w:rFonts w:hint="eastAsia"/>
                <w:color w:val="auto"/>
                <w:sz w:val="24"/>
                <w:szCs w:val="24"/>
                <w:lang w:val="en-US" w:eastAsia="zh-CN"/>
              </w:rPr>
              <w:t>项目注塑废气监测计划如下：</w:t>
            </w:r>
          </w:p>
          <w:p w14:paraId="4D6F467A">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eastAsia="宋体" w:cs="宋体"/>
                <w:b/>
                <w:bCs/>
                <w:color w:val="auto"/>
                <w:spacing w:val="-4"/>
                <w:szCs w:val="21"/>
                <w:highlight w:val="none"/>
                <w:lang w:val="en-US" w:eastAsia="zh-CN"/>
              </w:rPr>
              <w:t>2.3-11</w:t>
            </w:r>
            <w:r>
              <w:rPr>
                <w:rFonts w:hint="eastAsia" w:ascii="Times New Roman" w:hAnsi="Times New Roman" w:eastAsia="宋体" w:cs="宋体"/>
                <w:b/>
                <w:bCs/>
                <w:color w:val="auto"/>
                <w:spacing w:val="-4"/>
                <w:szCs w:val="21"/>
                <w:highlight w:val="none"/>
              </w:rPr>
              <w:t xml:space="preserve">  </w:t>
            </w:r>
            <w:r>
              <w:rPr>
                <w:rFonts w:hint="eastAsia" w:eastAsia="宋体" w:cs="宋体"/>
                <w:b/>
                <w:bCs/>
                <w:color w:val="auto"/>
                <w:spacing w:val="-4"/>
                <w:szCs w:val="21"/>
                <w:highlight w:val="none"/>
                <w:lang w:val="en-US" w:eastAsia="zh-CN"/>
              </w:rPr>
              <w:t>现有项目注塑</w:t>
            </w:r>
            <w:r>
              <w:rPr>
                <w:rFonts w:ascii="Times New Roman" w:hAnsi="Times New Roman" w:eastAsia="宋体" w:cs="宋体"/>
                <w:b/>
                <w:bCs/>
                <w:color w:val="auto"/>
                <w:spacing w:val="-4"/>
                <w:szCs w:val="21"/>
                <w:highlight w:val="none"/>
              </w:rPr>
              <w:t>废气</w:t>
            </w:r>
            <w:r>
              <w:rPr>
                <w:rFonts w:hint="eastAsia" w:ascii="Times New Roman" w:hAnsi="Times New Roman" w:eastAsia="宋体" w:cs="宋体"/>
                <w:b/>
                <w:bCs/>
                <w:color w:val="auto"/>
                <w:spacing w:val="-4"/>
                <w:szCs w:val="21"/>
                <w:highlight w:val="none"/>
              </w:rPr>
              <w:t>监测计划</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92"/>
              <w:gridCol w:w="3104"/>
              <w:gridCol w:w="944"/>
            </w:tblGrid>
            <w:tr w14:paraId="73BF7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01BC3138">
                  <w:pPr>
                    <w:snapToGrid w:val="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监测</w:t>
                  </w:r>
                  <w:r>
                    <w:rPr>
                      <w:rFonts w:hint="eastAsia" w:ascii="Times New Roman" w:hAnsi="Times New Roman" w:eastAsia="宋体" w:cs="宋体"/>
                      <w:b/>
                      <w:bCs/>
                      <w:color w:val="auto"/>
                      <w:szCs w:val="21"/>
                      <w:highlight w:val="none"/>
                    </w:rPr>
                    <w:t>点位</w:t>
                  </w:r>
                </w:p>
              </w:tc>
              <w:tc>
                <w:tcPr>
                  <w:tcW w:w="1860" w:type="pct"/>
                  <w:vAlign w:val="center"/>
                </w:tcPr>
                <w:p w14:paraId="41B90591">
                  <w:pPr>
                    <w:snapToGrid w:val="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监测因子</w:t>
                  </w:r>
                </w:p>
              </w:tc>
              <w:tc>
                <w:tcPr>
                  <w:tcW w:w="566" w:type="pct"/>
                  <w:vAlign w:val="center"/>
                </w:tcPr>
                <w:p w14:paraId="60188023">
                  <w:pPr>
                    <w:snapToGrid w:val="0"/>
                    <w:jc w:val="center"/>
                    <w:rPr>
                      <w:rFonts w:ascii="Times New Roman" w:hAnsi="Times New Roman" w:eastAsia="宋体" w:cs="宋体"/>
                      <w:b/>
                      <w:bCs/>
                      <w:color w:val="auto"/>
                      <w:szCs w:val="21"/>
                      <w:highlight w:val="none"/>
                    </w:rPr>
                  </w:pPr>
                  <w:r>
                    <w:rPr>
                      <w:rFonts w:ascii="Times New Roman" w:hAnsi="Times New Roman" w:eastAsia="宋体" w:cs="宋体"/>
                      <w:b/>
                      <w:bCs/>
                      <w:color w:val="auto"/>
                      <w:szCs w:val="21"/>
                      <w:highlight w:val="none"/>
                    </w:rPr>
                    <w:t>监测频次</w:t>
                  </w:r>
                </w:p>
              </w:tc>
            </w:tr>
            <w:tr w14:paraId="3B507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55B3ADB1">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FQ-</w:t>
                  </w:r>
                  <w:r>
                    <w:rPr>
                      <w:rFonts w:hint="eastAsia" w:eastAsia="宋体" w:cs="宋体"/>
                      <w:color w:val="auto"/>
                      <w:kern w:val="0"/>
                      <w:szCs w:val="21"/>
                      <w:highlight w:val="none"/>
                      <w:lang w:val="en-US" w:eastAsia="zh-CN"/>
                    </w:rPr>
                    <w:t>2</w:t>
                  </w:r>
                  <w:r>
                    <w:rPr>
                      <w:rFonts w:hint="eastAsia" w:ascii="Times New Roman" w:hAnsi="Times New Roman" w:eastAsia="宋体" w:cs="宋体"/>
                      <w:color w:val="auto"/>
                      <w:kern w:val="0"/>
                      <w:szCs w:val="21"/>
                      <w:highlight w:val="none"/>
                    </w:rPr>
                    <w:t>采样口</w:t>
                  </w:r>
                </w:p>
              </w:tc>
              <w:tc>
                <w:tcPr>
                  <w:tcW w:w="1860" w:type="pct"/>
                  <w:vAlign w:val="center"/>
                </w:tcPr>
                <w:p w14:paraId="35B80B2E">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非甲烷总烃、</w:t>
                  </w:r>
                  <w:r>
                    <w:rPr>
                      <w:rFonts w:hint="eastAsia" w:cs="Times New Roman"/>
                      <w:b w:val="0"/>
                      <w:bCs w:val="0"/>
                      <w:color w:val="auto"/>
                      <w:sz w:val="21"/>
                      <w:szCs w:val="21"/>
                      <w:vertAlign w:val="baseline"/>
                      <w:lang w:val="en-US" w:eastAsia="zh-CN"/>
                    </w:rPr>
                    <w:t>苯乙烯、丙烯腈、</w:t>
                  </w:r>
                  <w:r>
                    <w:rPr>
                      <w:rFonts w:hint="eastAsia" w:ascii="Times New Roman" w:hAnsi="Times New Roman" w:eastAsia="宋体" w:cs="Times New Roman"/>
                      <w:b w:val="0"/>
                      <w:bCs w:val="0"/>
                      <w:color w:val="auto"/>
                      <w:sz w:val="21"/>
                      <w:szCs w:val="21"/>
                      <w:vertAlign w:val="baseline"/>
                      <w:lang w:val="en-US" w:eastAsia="zh-CN"/>
                    </w:rPr>
                    <w:t>1，3-丁二烯</w:t>
                  </w:r>
                  <w:r>
                    <w:rPr>
                      <w:rFonts w:hint="eastAsia" w:eastAsia="宋体" w:cs="Times New Roman"/>
                      <w:b w:val="0"/>
                      <w:bCs w:val="0"/>
                      <w:color w:val="auto"/>
                      <w:sz w:val="21"/>
                      <w:szCs w:val="21"/>
                      <w:vertAlign w:val="baseline"/>
                      <w:lang w:val="en-US" w:eastAsia="zh-CN"/>
                    </w:rPr>
                    <w:t>、氨</w:t>
                  </w:r>
                </w:p>
              </w:tc>
              <w:tc>
                <w:tcPr>
                  <w:tcW w:w="566" w:type="pct"/>
                  <w:vAlign w:val="center"/>
                </w:tcPr>
                <w:p w14:paraId="2F567BD9">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r w14:paraId="64E22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6D24EA5C">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szCs w:val="21"/>
                      <w:highlight w:val="none"/>
                    </w:rPr>
                    <w:t>厂界上风向1个，下风向3个监测点</w:t>
                  </w:r>
                </w:p>
              </w:tc>
              <w:tc>
                <w:tcPr>
                  <w:tcW w:w="1860" w:type="pct"/>
                  <w:vAlign w:val="center"/>
                </w:tcPr>
                <w:p w14:paraId="37084677">
                  <w:pPr>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非甲烷总烃、</w:t>
                  </w:r>
                  <w:r>
                    <w:rPr>
                      <w:rFonts w:hint="eastAsia" w:cs="Times New Roman"/>
                      <w:b w:val="0"/>
                      <w:bCs w:val="0"/>
                      <w:color w:val="auto"/>
                      <w:sz w:val="21"/>
                      <w:szCs w:val="21"/>
                      <w:vertAlign w:val="baseline"/>
                      <w:lang w:val="en-US" w:eastAsia="zh-CN"/>
                    </w:rPr>
                    <w:t>苯乙烯、丙烯腈、</w:t>
                  </w:r>
                  <w:r>
                    <w:rPr>
                      <w:rFonts w:hint="eastAsia" w:ascii="Times New Roman" w:hAnsi="Times New Roman" w:eastAsia="宋体" w:cs="Times New Roman"/>
                      <w:b w:val="0"/>
                      <w:bCs w:val="0"/>
                      <w:color w:val="auto"/>
                      <w:sz w:val="21"/>
                      <w:szCs w:val="21"/>
                      <w:vertAlign w:val="baseline"/>
                      <w:lang w:val="en-US" w:eastAsia="zh-CN"/>
                    </w:rPr>
                    <w:t>1，3-丁二烯</w:t>
                  </w:r>
                  <w:r>
                    <w:rPr>
                      <w:rFonts w:hint="eastAsia" w:eastAsia="宋体" w:cs="Times New Roman"/>
                      <w:b w:val="0"/>
                      <w:bCs w:val="0"/>
                      <w:color w:val="auto"/>
                      <w:sz w:val="21"/>
                      <w:szCs w:val="21"/>
                      <w:vertAlign w:val="baseline"/>
                      <w:lang w:val="en-US" w:eastAsia="zh-CN"/>
                    </w:rPr>
                    <w:t>、氨</w:t>
                  </w:r>
                </w:p>
              </w:tc>
              <w:tc>
                <w:tcPr>
                  <w:tcW w:w="566" w:type="pct"/>
                  <w:vAlign w:val="center"/>
                </w:tcPr>
                <w:p w14:paraId="68EDE0AC">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r w14:paraId="7342E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10956BA6">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厂房门窗或通风口、其他开口（孔）处</w:t>
                  </w:r>
                </w:p>
              </w:tc>
              <w:tc>
                <w:tcPr>
                  <w:tcW w:w="1860" w:type="pct"/>
                  <w:vAlign w:val="center"/>
                </w:tcPr>
                <w:p w14:paraId="1C75590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非甲烷总烃</w:t>
                  </w:r>
                </w:p>
              </w:tc>
              <w:tc>
                <w:tcPr>
                  <w:tcW w:w="566" w:type="pct"/>
                  <w:vAlign w:val="center"/>
                </w:tcPr>
                <w:p w14:paraId="5958F99F">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bl>
          <w:p w14:paraId="73E72D5F">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25147158">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31682219">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4EE7C1A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31AF759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00F7F9FD">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296C6A7F">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4D18FCC2">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1402EEEE">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0A55DD2A">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695135CD">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55039322">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249B3423">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4D28C56D">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709A1E7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p w14:paraId="1A0E9310">
            <w:pPr>
              <w:pStyle w:val="19"/>
              <w:keepNext w:val="0"/>
              <w:keepLines w:val="0"/>
              <w:pageBreakBefore w:val="0"/>
              <w:numPr>
                <w:ilvl w:val="0"/>
                <w:numId w:val="0"/>
              </w:numPr>
              <w:kinsoku/>
              <w:wordWrap/>
              <w:overflowPunct/>
              <w:topLinePunct w:val="0"/>
              <w:bidi w:val="0"/>
              <w:adjustRightInd/>
              <w:snapToGrid/>
              <w:spacing w:before="0" w:beforeAutospacing="0" w:after="0" w:afterAutospacing="0" w:line="360" w:lineRule="auto"/>
              <w:ind w:firstLine="480" w:firstLineChars="200"/>
              <w:jc w:val="both"/>
              <w:textAlignment w:val="auto"/>
              <w:rPr>
                <w:rFonts w:hint="eastAsia" w:ascii="Times New Roman" w:hAnsi="Times New Roman" w:eastAsia="宋体" w:cs="宋体"/>
                <w:b w:val="0"/>
                <w:color w:val="auto"/>
                <w:highlight w:val="none"/>
                <w:lang w:val="en-US" w:eastAsia="zh-CN"/>
              </w:rPr>
            </w:pPr>
          </w:p>
        </w:tc>
      </w:tr>
    </w:tbl>
    <w:p w14:paraId="4A24FE6D">
      <w:pPr>
        <w:pStyle w:val="19"/>
        <w:widowControl w:val="0"/>
        <w:jc w:val="center"/>
        <w:rPr>
          <w:rFonts w:ascii="Times New Roman" w:hAnsi="Times New Roman" w:eastAsia="宋体" w:cs="宋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76B38C4">
      <w:pPr>
        <w:pStyle w:val="19"/>
        <w:widowControl w:val="0"/>
        <w:jc w:val="center"/>
        <w:outlineLvl w:val="0"/>
        <w:rPr>
          <w:rFonts w:ascii="Times New Roman" w:hAnsi="Times New Roman" w:eastAsia="宋体" w:cs="宋体"/>
          <w:snapToGrid w:val="0"/>
          <w:color w:val="auto"/>
          <w:sz w:val="30"/>
          <w:szCs w:val="30"/>
          <w:highlight w:val="none"/>
        </w:rPr>
      </w:pPr>
      <w:bookmarkStart w:id="10" w:name="_Toc1059"/>
      <w:r>
        <w:rPr>
          <w:rFonts w:hint="eastAsia" w:ascii="Times New Roman" w:hAnsi="Times New Roman" w:eastAsia="宋体" w:cs="宋体"/>
          <w:snapToGrid w:val="0"/>
          <w:color w:val="auto"/>
          <w:sz w:val="30"/>
          <w:szCs w:val="30"/>
          <w:highlight w:val="none"/>
        </w:rPr>
        <w:t>三、区域环境质量现状、环境保护目标及评价标准</w:t>
      </w:r>
      <w:bookmarkEnd w:id="10"/>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7C0FD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00" w:type="dxa"/>
            <w:vAlign w:val="center"/>
          </w:tcPr>
          <w:p w14:paraId="3D113127">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区域</w:t>
            </w:r>
          </w:p>
          <w:p w14:paraId="4924C082">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环境</w:t>
            </w:r>
          </w:p>
          <w:p w14:paraId="2221DA72">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质量</w:t>
            </w:r>
          </w:p>
          <w:p w14:paraId="51778ECB">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现状</w:t>
            </w:r>
          </w:p>
        </w:tc>
        <w:tc>
          <w:tcPr>
            <w:tcW w:w="8190" w:type="dxa"/>
            <w:vAlign w:val="center"/>
          </w:tcPr>
          <w:p w14:paraId="59615A30">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1</w:t>
            </w:r>
            <w:r>
              <w:rPr>
                <w:rFonts w:ascii="Times New Roman" w:hAnsi="Times New Roman" w:eastAsia="宋体" w:cs="宋体"/>
                <w:b/>
                <w:bCs/>
                <w:color w:val="auto"/>
                <w:sz w:val="24"/>
                <w:highlight w:val="none"/>
              </w:rPr>
              <w:t>、大气环境质量现状</w:t>
            </w:r>
          </w:p>
          <w:p w14:paraId="5AE85A9E">
            <w:pPr>
              <w:autoSpaceDE w:val="0"/>
              <w:autoSpaceDN w:val="0"/>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（1）</w:t>
            </w:r>
            <w:r>
              <w:rPr>
                <w:rFonts w:ascii="Times New Roman" w:hAnsi="Times New Roman" w:eastAsia="宋体" w:cs="宋体"/>
                <w:color w:val="auto"/>
                <w:spacing w:val="6"/>
                <w:sz w:val="24"/>
                <w:highlight w:val="none"/>
              </w:rPr>
              <w:t>空气质量达标区域判定</w:t>
            </w:r>
          </w:p>
          <w:p w14:paraId="53B813A2">
            <w:pPr>
              <w:pStyle w:val="49"/>
              <w:adjustRightInd/>
              <w:snapToGrid/>
              <w:spacing w:beforeLines="0" w:line="360" w:lineRule="auto"/>
              <w:ind w:firstLine="504"/>
              <w:rPr>
                <w:rFonts w:ascii="Times New Roman" w:hAnsi="Times New Roman" w:eastAsia="宋体" w:cs="宋体"/>
                <w:color w:val="auto"/>
                <w:spacing w:val="6"/>
                <w:highlight w:val="none"/>
              </w:rPr>
            </w:pPr>
            <w:r>
              <w:rPr>
                <w:rFonts w:ascii="Times New Roman" w:hAnsi="Times New Roman" w:eastAsia="宋体" w:cs="宋体"/>
                <w:color w:val="auto"/>
                <w:spacing w:val="6"/>
                <w:highlight w:val="none"/>
              </w:rPr>
              <w:t>根据《</w:t>
            </w:r>
            <w:r>
              <w:rPr>
                <w:rFonts w:hint="eastAsia" w:ascii="Times New Roman" w:hAnsi="Times New Roman" w:eastAsia="宋体" w:cs="宋体"/>
                <w:color w:val="auto"/>
                <w:spacing w:val="6"/>
                <w:highlight w:val="none"/>
              </w:rPr>
              <w:t>2023年常州市生态环境状况公报</w:t>
            </w:r>
            <w:r>
              <w:rPr>
                <w:rFonts w:ascii="Times New Roman" w:hAnsi="Times New Roman" w:eastAsia="宋体" w:cs="宋体"/>
                <w:color w:val="auto"/>
                <w:spacing w:val="6"/>
                <w:highlight w:val="none"/>
              </w:rPr>
              <w:t>》，项目所在区域</w:t>
            </w:r>
            <w:r>
              <w:rPr>
                <w:rFonts w:hint="eastAsia" w:ascii="Times New Roman" w:hAnsi="Times New Roman" w:eastAsia="宋体" w:cs="宋体"/>
                <w:color w:val="auto"/>
                <w:spacing w:val="6"/>
                <w:highlight w:val="none"/>
              </w:rPr>
              <w:t>常州</w:t>
            </w:r>
            <w:r>
              <w:rPr>
                <w:rFonts w:ascii="Times New Roman" w:hAnsi="Times New Roman" w:eastAsia="宋体" w:cs="宋体"/>
                <w:color w:val="auto"/>
                <w:spacing w:val="6"/>
                <w:highlight w:val="none"/>
              </w:rPr>
              <w:t>市各评价因子数据见</w:t>
            </w:r>
            <w:r>
              <w:rPr>
                <w:rFonts w:hint="eastAsia" w:ascii="Times New Roman" w:hAnsi="Times New Roman" w:eastAsia="宋体" w:cs="宋体"/>
                <w:color w:val="auto"/>
                <w:spacing w:val="6"/>
                <w:highlight w:val="none"/>
              </w:rPr>
              <w:t>下表</w:t>
            </w:r>
            <w:r>
              <w:rPr>
                <w:rFonts w:ascii="Times New Roman" w:hAnsi="Times New Roman" w:eastAsia="宋体" w:cs="宋体"/>
                <w:color w:val="auto"/>
                <w:spacing w:val="6"/>
                <w:highlight w:val="none"/>
              </w:rPr>
              <w:t>。</w:t>
            </w:r>
          </w:p>
          <w:p w14:paraId="16CC72AB">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表3</w:t>
            </w:r>
            <w:r>
              <w:rPr>
                <w:rFonts w:hint="eastAsia" w:ascii="Times New Roman" w:hAnsi="Times New Roman" w:eastAsia="宋体" w:cs="宋体"/>
                <w:b/>
                <w:bCs/>
                <w:color w:val="auto"/>
                <w:spacing w:val="-4"/>
                <w:szCs w:val="21"/>
                <w:highlight w:val="none"/>
              </w:rPr>
              <w:t>.1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1</w:t>
            </w:r>
            <w:r>
              <w:rPr>
                <w:rFonts w:ascii="Times New Roman" w:hAnsi="Times New Roman" w:eastAsia="宋体" w:cs="宋体"/>
                <w:b/>
                <w:bCs/>
                <w:color w:val="auto"/>
                <w:spacing w:val="-4"/>
                <w:szCs w:val="21"/>
                <w:highlight w:val="none"/>
              </w:rPr>
              <w:t xml:space="preserve">  20</w:t>
            </w:r>
            <w:r>
              <w:rPr>
                <w:rFonts w:hint="eastAsia" w:ascii="Times New Roman" w:hAnsi="Times New Roman" w:eastAsia="宋体" w:cs="宋体"/>
                <w:b/>
                <w:bCs/>
                <w:color w:val="auto"/>
                <w:spacing w:val="-4"/>
                <w:szCs w:val="21"/>
                <w:highlight w:val="none"/>
              </w:rPr>
              <w:t>23</w:t>
            </w:r>
            <w:r>
              <w:rPr>
                <w:rFonts w:ascii="Times New Roman" w:hAnsi="Times New Roman" w:eastAsia="宋体" w:cs="宋体"/>
                <w:b/>
                <w:bCs/>
                <w:color w:val="auto"/>
                <w:spacing w:val="-4"/>
                <w:szCs w:val="21"/>
                <w:highlight w:val="none"/>
              </w:rPr>
              <w:t>年度</w:t>
            </w:r>
            <w:r>
              <w:rPr>
                <w:rFonts w:hint="eastAsia" w:ascii="Times New Roman" w:hAnsi="Times New Roman" w:eastAsia="宋体" w:cs="宋体"/>
                <w:b/>
                <w:bCs/>
                <w:color w:val="auto"/>
                <w:spacing w:val="-4"/>
                <w:szCs w:val="21"/>
                <w:highlight w:val="none"/>
              </w:rPr>
              <w:t>常州</w:t>
            </w:r>
            <w:r>
              <w:rPr>
                <w:rFonts w:ascii="Times New Roman" w:hAnsi="Times New Roman" w:eastAsia="宋体" w:cs="宋体"/>
                <w:b/>
                <w:bCs/>
                <w:color w:val="auto"/>
                <w:spacing w:val="-4"/>
                <w:szCs w:val="21"/>
                <w:highlight w:val="none"/>
              </w:rPr>
              <w:t>市空气质量现状评价表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9"/>
              <w:gridCol w:w="3800"/>
              <w:gridCol w:w="989"/>
              <w:gridCol w:w="989"/>
              <w:gridCol w:w="662"/>
              <w:gridCol w:w="875"/>
            </w:tblGrid>
            <w:tr w14:paraId="3FB45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shd w:val="clear" w:color="auto" w:fill="auto"/>
                  <w:vAlign w:val="center"/>
                </w:tcPr>
                <w:p w14:paraId="1186C06C">
                  <w:pPr>
                    <w:autoSpaceDE w:val="0"/>
                    <w:autoSpaceDN w:val="0"/>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污染物</w:t>
                  </w:r>
                </w:p>
              </w:tc>
              <w:tc>
                <w:tcPr>
                  <w:tcW w:w="2382" w:type="pct"/>
                  <w:shd w:val="clear" w:color="auto" w:fill="auto"/>
                  <w:vAlign w:val="center"/>
                </w:tcPr>
                <w:p w14:paraId="4945316D">
                  <w:pPr>
                    <w:autoSpaceDE w:val="0"/>
                    <w:autoSpaceDN w:val="0"/>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年评价指标</w:t>
                  </w:r>
                </w:p>
              </w:tc>
              <w:tc>
                <w:tcPr>
                  <w:tcW w:w="620" w:type="pct"/>
                  <w:shd w:val="clear" w:color="auto" w:fill="auto"/>
                  <w:vAlign w:val="center"/>
                </w:tcPr>
                <w:p w14:paraId="39BFFB8A">
                  <w:pPr>
                    <w:autoSpaceDE w:val="0"/>
                    <w:autoSpaceDN w:val="0"/>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现状浓度</w:t>
                  </w:r>
                  <w:r>
                    <w:rPr>
                      <w:rFonts w:hint="eastAsia" w:ascii="Times New Roman" w:hAnsi="Times New Roman" w:eastAsia="宋体" w:cs="宋体"/>
                      <w:b/>
                      <w:color w:val="auto"/>
                      <w:kern w:val="0"/>
                      <w:szCs w:val="21"/>
                      <w:highlight w:val="none"/>
                    </w:rPr>
                    <w:t>/</w:t>
                  </w:r>
                </w:p>
                <w:p w14:paraId="17F1BBAF">
                  <w:pPr>
                    <w:autoSpaceDE w:val="0"/>
                    <w:autoSpaceDN w:val="0"/>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w:t>
                  </w:r>
                  <w:r>
                    <w:rPr>
                      <w:rFonts w:ascii="Times New Roman" w:hAnsi="Times New Roman" w:eastAsia="宋体" w:cs="宋体"/>
                      <w:b/>
                      <w:color w:val="auto"/>
                      <w:szCs w:val="21"/>
                      <w:highlight w:val="none"/>
                    </w:rPr>
                    <w:t>μg</w:t>
                  </w:r>
                  <w:r>
                    <w:rPr>
                      <w:rFonts w:hint="eastAsia" w:ascii="Times New Roman" w:hAnsi="Times New Roman" w:eastAsia="宋体" w:cs="宋体"/>
                      <w:b/>
                      <w:color w:val="auto"/>
                      <w:kern w:val="0"/>
                      <w:szCs w:val="21"/>
                      <w:highlight w:val="none"/>
                    </w:rPr>
                    <w:t>/m</w:t>
                  </w:r>
                  <w:r>
                    <w:rPr>
                      <w:rFonts w:hint="eastAsia" w:ascii="Times New Roman" w:hAnsi="Times New Roman" w:eastAsia="宋体" w:cs="宋体"/>
                      <w:b/>
                      <w:color w:val="auto"/>
                      <w:kern w:val="0"/>
                      <w:szCs w:val="21"/>
                      <w:highlight w:val="none"/>
                      <w:vertAlign w:val="superscript"/>
                    </w:rPr>
                    <w:t>3</w:t>
                  </w:r>
                  <w:r>
                    <w:rPr>
                      <w:rFonts w:hint="eastAsia" w:ascii="Times New Roman" w:hAnsi="Times New Roman" w:eastAsia="宋体" w:cs="宋体"/>
                      <w:b/>
                      <w:color w:val="auto"/>
                      <w:kern w:val="0"/>
                      <w:szCs w:val="21"/>
                      <w:highlight w:val="none"/>
                    </w:rPr>
                    <w:t>）</w:t>
                  </w:r>
                </w:p>
              </w:tc>
              <w:tc>
                <w:tcPr>
                  <w:tcW w:w="620" w:type="pct"/>
                  <w:shd w:val="clear" w:color="auto" w:fill="auto"/>
                  <w:vAlign w:val="center"/>
                </w:tcPr>
                <w:p w14:paraId="22A9AFBF">
                  <w:pPr>
                    <w:autoSpaceDE w:val="0"/>
                    <w:autoSpaceDN w:val="0"/>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标准值</w:t>
                  </w:r>
                  <w:r>
                    <w:rPr>
                      <w:rFonts w:hint="eastAsia" w:ascii="Times New Roman" w:hAnsi="Times New Roman" w:eastAsia="宋体" w:cs="宋体"/>
                      <w:b/>
                      <w:color w:val="auto"/>
                      <w:kern w:val="0"/>
                      <w:szCs w:val="21"/>
                      <w:highlight w:val="none"/>
                    </w:rPr>
                    <w:t>/</w:t>
                  </w:r>
                </w:p>
                <w:p w14:paraId="7D6A0647">
                  <w:pPr>
                    <w:autoSpaceDE w:val="0"/>
                    <w:autoSpaceDN w:val="0"/>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w:t>
                  </w:r>
                  <w:r>
                    <w:rPr>
                      <w:rFonts w:ascii="Times New Roman" w:hAnsi="Times New Roman" w:eastAsia="宋体" w:cs="宋体"/>
                      <w:b/>
                      <w:color w:val="auto"/>
                      <w:szCs w:val="21"/>
                      <w:highlight w:val="none"/>
                    </w:rPr>
                    <w:t>μg</w:t>
                  </w:r>
                  <w:r>
                    <w:rPr>
                      <w:rFonts w:hint="eastAsia" w:ascii="Times New Roman" w:hAnsi="Times New Roman" w:eastAsia="宋体" w:cs="宋体"/>
                      <w:b/>
                      <w:color w:val="auto"/>
                      <w:kern w:val="0"/>
                      <w:szCs w:val="21"/>
                      <w:highlight w:val="none"/>
                    </w:rPr>
                    <w:t>/m</w:t>
                  </w:r>
                  <w:r>
                    <w:rPr>
                      <w:rFonts w:hint="eastAsia" w:ascii="Times New Roman" w:hAnsi="Times New Roman" w:eastAsia="宋体" w:cs="宋体"/>
                      <w:b/>
                      <w:color w:val="auto"/>
                      <w:kern w:val="0"/>
                      <w:szCs w:val="21"/>
                      <w:highlight w:val="none"/>
                      <w:vertAlign w:val="superscript"/>
                    </w:rPr>
                    <w:t>3</w:t>
                  </w:r>
                  <w:r>
                    <w:rPr>
                      <w:rFonts w:hint="eastAsia" w:ascii="Times New Roman" w:hAnsi="Times New Roman" w:eastAsia="宋体" w:cs="宋体"/>
                      <w:b/>
                      <w:color w:val="auto"/>
                      <w:kern w:val="0"/>
                      <w:szCs w:val="21"/>
                      <w:highlight w:val="none"/>
                    </w:rPr>
                    <w:t>）</w:t>
                  </w:r>
                </w:p>
              </w:tc>
              <w:tc>
                <w:tcPr>
                  <w:tcW w:w="415" w:type="pct"/>
                  <w:shd w:val="clear" w:color="auto" w:fill="auto"/>
                  <w:vAlign w:val="center"/>
                </w:tcPr>
                <w:p w14:paraId="1F073E14">
                  <w:pPr>
                    <w:autoSpaceDE w:val="0"/>
                    <w:autoSpaceDN w:val="0"/>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达</w:t>
                  </w:r>
                  <w:r>
                    <w:rPr>
                      <w:rFonts w:ascii="Times New Roman" w:hAnsi="Times New Roman" w:eastAsia="宋体" w:cs="宋体"/>
                      <w:b/>
                      <w:color w:val="auto"/>
                      <w:kern w:val="0"/>
                      <w:szCs w:val="21"/>
                      <w:highlight w:val="none"/>
                    </w:rPr>
                    <w:t>标率</w:t>
                  </w:r>
                </w:p>
                <w:p w14:paraId="71694205">
                  <w:pPr>
                    <w:autoSpaceDE w:val="0"/>
                    <w:autoSpaceDN w:val="0"/>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w:t>
                  </w:r>
                  <w:r>
                    <w:rPr>
                      <w:rFonts w:ascii="Times New Roman" w:hAnsi="Times New Roman" w:eastAsia="宋体" w:cs="宋体"/>
                      <w:b/>
                      <w:color w:val="auto"/>
                      <w:kern w:val="0"/>
                      <w:szCs w:val="21"/>
                      <w:highlight w:val="none"/>
                    </w:rPr>
                    <w:t>%</w:t>
                  </w:r>
                </w:p>
              </w:tc>
              <w:tc>
                <w:tcPr>
                  <w:tcW w:w="548" w:type="pct"/>
                  <w:shd w:val="clear" w:color="auto" w:fill="auto"/>
                  <w:vAlign w:val="center"/>
                </w:tcPr>
                <w:p w14:paraId="0FDC267E">
                  <w:pPr>
                    <w:autoSpaceDE w:val="0"/>
                    <w:autoSpaceDN w:val="0"/>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达标情况</w:t>
                  </w:r>
                </w:p>
              </w:tc>
            </w:tr>
            <w:tr w14:paraId="1E997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shd w:val="clear" w:color="auto" w:fill="auto"/>
                  <w:vAlign w:val="center"/>
                </w:tcPr>
                <w:p w14:paraId="40B66FE9">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SO</w:t>
                  </w:r>
                  <w:r>
                    <w:rPr>
                      <w:rFonts w:ascii="Times New Roman" w:hAnsi="Times New Roman" w:eastAsia="宋体" w:cs="宋体"/>
                      <w:color w:val="auto"/>
                      <w:kern w:val="0"/>
                      <w:szCs w:val="21"/>
                      <w:highlight w:val="none"/>
                      <w:vertAlign w:val="subscript"/>
                    </w:rPr>
                    <w:t>2</w:t>
                  </w:r>
                </w:p>
              </w:tc>
              <w:tc>
                <w:tcPr>
                  <w:tcW w:w="2382" w:type="pct"/>
                  <w:shd w:val="clear" w:color="auto" w:fill="auto"/>
                  <w:vAlign w:val="center"/>
                </w:tcPr>
                <w:p w14:paraId="719C0D13">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年平均</w:t>
                  </w:r>
                </w:p>
              </w:tc>
              <w:tc>
                <w:tcPr>
                  <w:tcW w:w="620" w:type="pct"/>
                  <w:shd w:val="clear" w:color="auto" w:fill="auto"/>
                  <w:vAlign w:val="center"/>
                </w:tcPr>
                <w:p w14:paraId="1DE7FFD5">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w:t>
                  </w:r>
                </w:p>
              </w:tc>
              <w:tc>
                <w:tcPr>
                  <w:tcW w:w="620" w:type="pct"/>
                  <w:shd w:val="clear" w:color="auto" w:fill="auto"/>
                  <w:vAlign w:val="center"/>
                </w:tcPr>
                <w:p w14:paraId="2FF9D79B">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60</w:t>
                  </w:r>
                </w:p>
              </w:tc>
              <w:tc>
                <w:tcPr>
                  <w:tcW w:w="415" w:type="pct"/>
                  <w:shd w:val="clear" w:color="auto" w:fill="auto"/>
                  <w:vAlign w:val="center"/>
                </w:tcPr>
                <w:p w14:paraId="6F835174">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0A212B9C">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1E6AD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shd w:val="clear" w:color="auto" w:fill="auto"/>
                  <w:vAlign w:val="center"/>
                </w:tcPr>
                <w:p w14:paraId="6B7718C3">
                  <w:pPr>
                    <w:autoSpaceDE w:val="0"/>
                    <w:autoSpaceDN w:val="0"/>
                    <w:snapToGrid w:val="0"/>
                    <w:jc w:val="center"/>
                    <w:rPr>
                      <w:rFonts w:ascii="Times New Roman" w:hAnsi="Times New Roman" w:eastAsia="宋体" w:cs="宋体"/>
                      <w:color w:val="auto"/>
                      <w:kern w:val="0"/>
                      <w:szCs w:val="21"/>
                      <w:highlight w:val="none"/>
                    </w:rPr>
                  </w:pPr>
                </w:p>
              </w:tc>
              <w:tc>
                <w:tcPr>
                  <w:tcW w:w="2382" w:type="pct"/>
                  <w:shd w:val="clear" w:color="auto" w:fill="auto"/>
                  <w:vAlign w:val="center"/>
                </w:tcPr>
                <w:p w14:paraId="078C28F8">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日平均</w:t>
                  </w:r>
                </w:p>
              </w:tc>
              <w:tc>
                <w:tcPr>
                  <w:tcW w:w="620" w:type="pct"/>
                  <w:shd w:val="clear" w:color="auto" w:fill="auto"/>
                  <w:vAlign w:val="center"/>
                </w:tcPr>
                <w:p w14:paraId="1E21356E">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4~17</w:t>
                  </w:r>
                </w:p>
              </w:tc>
              <w:tc>
                <w:tcPr>
                  <w:tcW w:w="620" w:type="pct"/>
                  <w:shd w:val="clear" w:color="auto" w:fill="auto"/>
                  <w:vAlign w:val="center"/>
                </w:tcPr>
                <w:p w14:paraId="76C398CD">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150</w:t>
                  </w:r>
                </w:p>
              </w:tc>
              <w:tc>
                <w:tcPr>
                  <w:tcW w:w="415" w:type="pct"/>
                  <w:shd w:val="clear" w:color="auto" w:fill="auto"/>
                  <w:vAlign w:val="center"/>
                </w:tcPr>
                <w:p w14:paraId="162ED0CF">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512910C1">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54760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shd w:val="clear" w:color="auto" w:fill="auto"/>
                  <w:vAlign w:val="center"/>
                </w:tcPr>
                <w:p w14:paraId="57D276D8">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NO</w:t>
                  </w:r>
                  <w:r>
                    <w:rPr>
                      <w:rFonts w:ascii="Times New Roman" w:hAnsi="Times New Roman" w:eastAsia="宋体" w:cs="宋体"/>
                      <w:color w:val="auto"/>
                      <w:kern w:val="0"/>
                      <w:szCs w:val="21"/>
                      <w:highlight w:val="none"/>
                      <w:vertAlign w:val="subscript"/>
                    </w:rPr>
                    <w:t>2</w:t>
                  </w:r>
                </w:p>
              </w:tc>
              <w:tc>
                <w:tcPr>
                  <w:tcW w:w="2382" w:type="pct"/>
                  <w:shd w:val="clear" w:color="auto" w:fill="auto"/>
                  <w:vAlign w:val="center"/>
                </w:tcPr>
                <w:p w14:paraId="6137521F">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年平均</w:t>
                  </w:r>
                </w:p>
              </w:tc>
              <w:tc>
                <w:tcPr>
                  <w:tcW w:w="620" w:type="pct"/>
                  <w:shd w:val="clear" w:color="auto" w:fill="auto"/>
                  <w:vAlign w:val="center"/>
                </w:tcPr>
                <w:p w14:paraId="50604D53">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30</w:t>
                  </w:r>
                </w:p>
              </w:tc>
              <w:tc>
                <w:tcPr>
                  <w:tcW w:w="620" w:type="pct"/>
                  <w:shd w:val="clear" w:color="auto" w:fill="auto"/>
                  <w:vAlign w:val="center"/>
                </w:tcPr>
                <w:p w14:paraId="149661F9">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40</w:t>
                  </w:r>
                </w:p>
              </w:tc>
              <w:tc>
                <w:tcPr>
                  <w:tcW w:w="415" w:type="pct"/>
                  <w:shd w:val="clear" w:color="auto" w:fill="auto"/>
                  <w:vAlign w:val="center"/>
                </w:tcPr>
                <w:p w14:paraId="57F8086D">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277F1D19">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1137E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shd w:val="clear" w:color="auto" w:fill="auto"/>
                  <w:vAlign w:val="center"/>
                </w:tcPr>
                <w:p w14:paraId="56BA9FC5">
                  <w:pPr>
                    <w:autoSpaceDE w:val="0"/>
                    <w:autoSpaceDN w:val="0"/>
                    <w:snapToGrid w:val="0"/>
                    <w:jc w:val="center"/>
                    <w:rPr>
                      <w:rFonts w:ascii="Times New Roman" w:hAnsi="Times New Roman" w:eastAsia="宋体" w:cs="宋体"/>
                      <w:color w:val="auto"/>
                      <w:kern w:val="0"/>
                      <w:szCs w:val="21"/>
                      <w:highlight w:val="none"/>
                    </w:rPr>
                  </w:pPr>
                </w:p>
              </w:tc>
              <w:tc>
                <w:tcPr>
                  <w:tcW w:w="2382" w:type="pct"/>
                  <w:shd w:val="clear" w:color="auto" w:fill="auto"/>
                  <w:vAlign w:val="center"/>
                </w:tcPr>
                <w:p w14:paraId="21FD6867">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日平均</w:t>
                  </w:r>
                </w:p>
              </w:tc>
              <w:tc>
                <w:tcPr>
                  <w:tcW w:w="620" w:type="pct"/>
                  <w:shd w:val="clear" w:color="auto" w:fill="auto"/>
                  <w:vAlign w:val="center"/>
                </w:tcPr>
                <w:p w14:paraId="4D5D85D3">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6~106</w:t>
                  </w:r>
                </w:p>
              </w:tc>
              <w:tc>
                <w:tcPr>
                  <w:tcW w:w="620" w:type="pct"/>
                  <w:shd w:val="clear" w:color="auto" w:fill="auto"/>
                  <w:vAlign w:val="center"/>
                </w:tcPr>
                <w:p w14:paraId="6B07D97C">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80</w:t>
                  </w:r>
                </w:p>
              </w:tc>
              <w:tc>
                <w:tcPr>
                  <w:tcW w:w="415" w:type="pct"/>
                  <w:shd w:val="clear" w:color="auto" w:fill="auto"/>
                  <w:vAlign w:val="center"/>
                </w:tcPr>
                <w:p w14:paraId="17EEB125">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98.1</w:t>
                  </w:r>
                </w:p>
              </w:tc>
              <w:tc>
                <w:tcPr>
                  <w:tcW w:w="548" w:type="pct"/>
                  <w:shd w:val="clear" w:color="auto" w:fill="auto"/>
                  <w:vAlign w:val="center"/>
                </w:tcPr>
                <w:p w14:paraId="3EB487A5">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518CA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shd w:val="clear" w:color="auto" w:fill="auto"/>
                  <w:vAlign w:val="center"/>
                </w:tcPr>
                <w:p w14:paraId="5456A49D">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PM</w:t>
                  </w:r>
                  <w:r>
                    <w:rPr>
                      <w:rFonts w:ascii="Times New Roman" w:hAnsi="Times New Roman" w:eastAsia="宋体" w:cs="宋体"/>
                      <w:color w:val="auto"/>
                      <w:kern w:val="0"/>
                      <w:szCs w:val="21"/>
                      <w:highlight w:val="none"/>
                      <w:vertAlign w:val="subscript"/>
                    </w:rPr>
                    <w:t>10</w:t>
                  </w:r>
                </w:p>
              </w:tc>
              <w:tc>
                <w:tcPr>
                  <w:tcW w:w="2382" w:type="pct"/>
                  <w:shd w:val="clear" w:color="auto" w:fill="auto"/>
                  <w:vAlign w:val="center"/>
                </w:tcPr>
                <w:p w14:paraId="7DB7A01D">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年平均</w:t>
                  </w:r>
                </w:p>
              </w:tc>
              <w:tc>
                <w:tcPr>
                  <w:tcW w:w="620" w:type="pct"/>
                  <w:shd w:val="clear" w:color="auto" w:fill="auto"/>
                  <w:vAlign w:val="center"/>
                </w:tcPr>
                <w:p w14:paraId="13845397">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57</w:t>
                  </w:r>
                </w:p>
              </w:tc>
              <w:tc>
                <w:tcPr>
                  <w:tcW w:w="620" w:type="pct"/>
                  <w:shd w:val="clear" w:color="auto" w:fill="auto"/>
                  <w:vAlign w:val="center"/>
                </w:tcPr>
                <w:p w14:paraId="30694407">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70</w:t>
                  </w:r>
                </w:p>
              </w:tc>
              <w:tc>
                <w:tcPr>
                  <w:tcW w:w="415" w:type="pct"/>
                  <w:shd w:val="clear" w:color="auto" w:fill="auto"/>
                  <w:vAlign w:val="center"/>
                </w:tcPr>
                <w:p w14:paraId="040D8BBB">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5FD4C2E7">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08CE3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shd w:val="clear" w:color="auto" w:fill="auto"/>
                  <w:vAlign w:val="center"/>
                </w:tcPr>
                <w:p w14:paraId="51316380">
                  <w:pPr>
                    <w:autoSpaceDE w:val="0"/>
                    <w:autoSpaceDN w:val="0"/>
                    <w:snapToGrid w:val="0"/>
                    <w:jc w:val="center"/>
                    <w:rPr>
                      <w:rFonts w:ascii="Times New Roman" w:hAnsi="Times New Roman" w:eastAsia="宋体" w:cs="宋体"/>
                      <w:color w:val="auto"/>
                      <w:kern w:val="0"/>
                      <w:szCs w:val="21"/>
                      <w:highlight w:val="none"/>
                    </w:rPr>
                  </w:pPr>
                </w:p>
              </w:tc>
              <w:tc>
                <w:tcPr>
                  <w:tcW w:w="2382" w:type="pct"/>
                  <w:shd w:val="clear" w:color="auto" w:fill="auto"/>
                  <w:vAlign w:val="center"/>
                </w:tcPr>
                <w:p w14:paraId="3187007E">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日平均</w:t>
                  </w:r>
                </w:p>
              </w:tc>
              <w:tc>
                <w:tcPr>
                  <w:tcW w:w="620" w:type="pct"/>
                  <w:shd w:val="clear" w:color="auto" w:fill="auto"/>
                  <w:vAlign w:val="center"/>
                </w:tcPr>
                <w:p w14:paraId="2F00F340">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12~188</w:t>
                  </w:r>
                </w:p>
              </w:tc>
              <w:tc>
                <w:tcPr>
                  <w:tcW w:w="620" w:type="pct"/>
                  <w:shd w:val="clear" w:color="auto" w:fill="auto"/>
                  <w:vAlign w:val="center"/>
                </w:tcPr>
                <w:p w14:paraId="5A63D7F9">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150</w:t>
                  </w:r>
                </w:p>
              </w:tc>
              <w:tc>
                <w:tcPr>
                  <w:tcW w:w="415" w:type="pct"/>
                  <w:shd w:val="clear" w:color="auto" w:fill="auto"/>
                  <w:vAlign w:val="center"/>
                </w:tcPr>
                <w:p w14:paraId="409D8235">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98.8</w:t>
                  </w:r>
                </w:p>
              </w:tc>
              <w:tc>
                <w:tcPr>
                  <w:tcW w:w="548" w:type="pct"/>
                  <w:shd w:val="clear" w:color="auto" w:fill="auto"/>
                  <w:vAlign w:val="center"/>
                </w:tcPr>
                <w:p w14:paraId="1F866910">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712F2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restart"/>
                  <w:shd w:val="clear" w:color="auto" w:fill="auto"/>
                  <w:vAlign w:val="center"/>
                </w:tcPr>
                <w:p w14:paraId="409A5182">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PM</w:t>
                  </w:r>
                  <w:r>
                    <w:rPr>
                      <w:rFonts w:ascii="Times New Roman" w:hAnsi="Times New Roman" w:eastAsia="宋体" w:cs="宋体"/>
                      <w:color w:val="auto"/>
                      <w:kern w:val="0"/>
                      <w:szCs w:val="21"/>
                      <w:highlight w:val="none"/>
                      <w:vertAlign w:val="subscript"/>
                    </w:rPr>
                    <w:t>2.5</w:t>
                  </w:r>
                </w:p>
              </w:tc>
              <w:tc>
                <w:tcPr>
                  <w:tcW w:w="2382" w:type="pct"/>
                  <w:shd w:val="clear" w:color="auto" w:fill="auto"/>
                  <w:vAlign w:val="center"/>
                </w:tcPr>
                <w:p w14:paraId="5C20C344">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年平均</w:t>
                  </w:r>
                </w:p>
              </w:tc>
              <w:tc>
                <w:tcPr>
                  <w:tcW w:w="620" w:type="pct"/>
                  <w:shd w:val="clear" w:color="auto" w:fill="auto"/>
                  <w:vAlign w:val="center"/>
                </w:tcPr>
                <w:p w14:paraId="42E16883">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34</w:t>
                  </w:r>
                </w:p>
              </w:tc>
              <w:tc>
                <w:tcPr>
                  <w:tcW w:w="620" w:type="pct"/>
                  <w:shd w:val="clear" w:color="auto" w:fill="auto"/>
                  <w:vAlign w:val="center"/>
                </w:tcPr>
                <w:p w14:paraId="2312F63B">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35</w:t>
                  </w:r>
                </w:p>
              </w:tc>
              <w:tc>
                <w:tcPr>
                  <w:tcW w:w="415" w:type="pct"/>
                  <w:shd w:val="clear" w:color="auto" w:fill="auto"/>
                  <w:vAlign w:val="center"/>
                </w:tcPr>
                <w:p w14:paraId="3511A6CC">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7FBB809C">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7ABC7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vMerge w:val="continue"/>
                  <w:shd w:val="clear" w:color="auto" w:fill="auto"/>
                  <w:vAlign w:val="center"/>
                </w:tcPr>
                <w:p w14:paraId="73AFAAC2">
                  <w:pPr>
                    <w:autoSpaceDE w:val="0"/>
                    <w:autoSpaceDN w:val="0"/>
                    <w:snapToGrid w:val="0"/>
                    <w:jc w:val="center"/>
                    <w:rPr>
                      <w:rFonts w:ascii="Times New Roman" w:hAnsi="Times New Roman" w:eastAsia="宋体" w:cs="宋体"/>
                      <w:color w:val="auto"/>
                      <w:kern w:val="0"/>
                      <w:szCs w:val="21"/>
                      <w:highlight w:val="none"/>
                    </w:rPr>
                  </w:pPr>
                </w:p>
              </w:tc>
              <w:tc>
                <w:tcPr>
                  <w:tcW w:w="2382" w:type="pct"/>
                  <w:shd w:val="clear" w:color="auto" w:fill="auto"/>
                  <w:vAlign w:val="center"/>
                </w:tcPr>
                <w:p w14:paraId="2E6A9D9A">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日平均</w:t>
                  </w:r>
                </w:p>
              </w:tc>
              <w:tc>
                <w:tcPr>
                  <w:tcW w:w="620" w:type="pct"/>
                  <w:shd w:val="clear" w:color="auto" w:fill="auto"/>
                  <w:vAlign w:val="center"/>
                </w:tcPr>
                <w:p w14:paraId="0E5B684E">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6~151</w:t>
                  </w:r>
                </w:p>
              </w:tc>
              <w:tc>
                <w:tcPr>
                  <w:tcW w:w="620" w:type="pct"/>
                  <w:shd w:val="clear" w:color="auto" w:fill="auto"/>
                  <w:vAlign w:val="center"/>
                </w:tcPr>
                <w:p w14:paraId="61656BA6">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75</w:t>
                  </w:r>
                </w:p>
              </w:tc>
              <w:tc>
                <w:tcPr>
                  <w:tcW w:w="415" w:type="pct"/>
                  <w:shd w:val="clear" w:color="auto" w:fill="auto"/>
                  <w:vAlign w:val="center"/>
                </w:tcPr>
                <w:p w14:paraId="1163B151">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93.6</w:t>
                  </w:r>
                </w:p>
              </w:tc>
              <w:tc>
                <w:tcPr>
                  <w:tcW w:w="548" w:type="pct"/>
                  <w:shd w:val="clear" w:color="auto" w:fill="auto"/>
                  <w:vAlign w:val="center"/>
                </w:tcPr>
                <w:p w14:paraId="14DB3EB3">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不达标</w:t>
                  </w:r>
                </w:p>
              </w:tc>
            </w:tr>
            <w:tr w14:paraId="64056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shd w:val="clear" w:color="auto" w:fill="auto"/>
                  <w:vAlign w:val="center"/>
                </w:tcPr>
                <w:p w14:paraId="32B9CA02">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CO</w:t>
                  </w:r>
                </w:p>
              </w:tc>
              <w:tc>
                <w:tcPr>
                  <w:tcW w:w="2382" w:type="pct"/>
                  <w:shd w:val="clear" w:color="auto" w:fill="auto"/>
                  <w:vAlign w:val="center"/>
                </w:tcPr>
                <w:p w14:paraId="75AFA59C">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24小时平均</w:t>
                  </w:r>
                  <w:r>
                    <w:rPr>
                      <w:rFonts w:hint="eastAsia" w:ascii="Times New Roman" w:hAnsi="Times New Roman" w:eastAsia="宋体" w:cs="宋体"/>
                      <w:color w:val="auto"/>
                      <w:kern w:val="0"/>
                      <w:szCs w:val="21"/>
                      <w:highlight w:val="none"/>
                    </w:rPr>
                    <w:t>第95百分位数</w:t>
                  </w:r>
                </w:p>
              </w:tc>
              <w:tc>
                <w:tcPr>
                  <w:tcW w:w="620" w:type="pct"/>
                  <w:shd w:val="clear" w:color="auto" w:fill="auto"/>
                  <w:vAlign w:val="center"/>
                </w:tcPr>
                <w:p w14:paraId="39D452FA">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1100</w:t>
                  </w:r>
                </w:p>
              </w:tc>
              <w:tc>
                <w:tcPr>
                  <w:tcW w:w="620" w:type="pct"/>
                  <w:shd w:val="clear" w:color="auto" w:fill="auto"/>
                  <w:vAlign w:val="center"/>
                </w:tcPr>
                <w:p w14:paraId="30E03B6C">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4000</w:t>
                  </w:r>
                </w:p>
              </w:tc>
              <w:tc>
                <w:tcPr>
                  <w:tcW w:w="415" w:type="pct"/>
                  <w:shd w:val="clear" w:color="auto" w:fill="auto"/>
                  <w:vAlign w:val="center"/>
                </w:tcPr>
                <w:p w14:paraId="1ED7F160">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100</w:t>
                  </w:r>
                </w:p>
              </w:tc>
              <w:tc>
                <w:tcPr>
                  <w:tcW w:w="548" w:type="pct"/>
                  <w:shd w:val="clear" w:color="auto" w:fill="auto"/>
                  <w:vAlign w:val="center"/>
                </w:tcPr>
                <w:p w14:paraId="44ACA364">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达标</w:t>
                  </w:r>
                </w:p>
              </w:tc>
            </w:tr>
            <w:tr w14:paraId="3BD16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3" w:type="pct"/>
                  <w:shd w:val="clear" w:color="auto" w:fill="auto"/>
                  <w:vAlign w:val="center"/>
                </w:tcPr>
                <w:p w14:paraId="323D0638">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O</w:t>
                  </w:r>
                  <w:r>
                    <w:rPr>
                      <w:rFonts w:hint="eastAsia" w:ascii="Times New Roman" w:hAnsi="Times New Roman" w:eastAsia="宋体" w:cs="宋体"/>
                      <w:color w:val="auto"/>
                      <w:kern w:val="0"/>
                      <w:szCs w:val="21"/>
                      <w:highlight w:val="none"/>
                      <w:vertAlign w:val="subscript"/>
                    </w:rPr>
                    <w:t>3</w:t>
                  </w:r>
                </w:p>
              </w:tc>
              <w:tc>
                <w:tcPr>
                  <w:tcW w:w="2382" w:type="pct"/>
                  <w:shd w:val="clear" w:color="auto" w:fill="auto"/>
                  <w:vAlign w:val="center"/>
                </w:tcPr>
                <w:p w14:paraId="7DFCD1FE">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日最大8小时</w:t>
                  </w:r>
                  <w:r>
                    <w:rPr>
                      <w:rFonts w:hint="eastAsia" w:ascii="Times New Roman" w:hAnsi="Times New Roman" w:eastAsia="宋体" w:cs="宋体"/>
                      <w:color w:val="auto"/>
                      <w:kern w:val="0"/>
                      <w:szCs w:val="21"/>
                      <w:highlight w:val="none"/>
                    </w:rPr>
                    <w:t>滑动平均值的第90百分位数</w:t>
                  </w:r>
                </w:p>
              </w:tc>
              <w:tc>
                <w:tcPr>
                  <w:tcW w:w="620" w:type="pct"/>
                  <w:shd w:val="clear" w:color="auto" w:fill="auto"/>
                  <w:vAlign w:val="center"/>
                </w:tcPr>
                <w:p w14:paraId="6A8C4589">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174</w:t>
                  </w:r>
                </w:p>
              </w:tc>
              <w:tc>
                <w:tcPr>
                  <w:tcW w:w="620" w:type="pct"/>
                  <w:shd w:val="clear" w:color="auto" w:fill="auto"/>
                  <w:vAlign w:val="center"/>
                </w:tcPr>
                <w:p w14:paraId="3AAAF1C7">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160</w:t>
                  </w:r>
                </w:p>
              </w:tc>
              <w:tc>
                <w:tcPr>
                  <w:tcW w:w="415" w:type="pct"/>
                  <w:shd w:val="clear" w:color="auto" w:fill="auto"/>
                  <w:vAlign w:val="center"/>
                </w:tcPr>
                <w:p w14:paraId="46D7584D">
                  <w:pPr>
                    <w:autoSpaceDE w:val="0"/>
                    <w:autoSpaceDN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85.5</w:t>
                  </w:r>
                </w:p>
              </w:tc>
              <w:tc>
                <w:tcPr>
                  <w:tcW w:w="548" w:type="pct"/>
                  <w:shd w:val="clear" w:color="auto" w:fill="auto"/>
                  <w:vAlign w:val="center"/>
                </w:tcPr>
                <w:p w14:paraId="3DE9FF36">
                  <w:pPr>
                    <w:autoSpaceDE w:val="0"/>
                    <w:autoSpaceDN w:val="0"/>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不达标</w:t>
                  </w:r>
                </w:p>
              </w:tc>
            </w:tr>
          </w:tbl>
          <w:p w14:paraId="3759DA41">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2023</w:t>
            </w:r>
            <w:r>
              <w:rPr>
                <w:rFonts w:ascii="Times New Roman" w:hAnsi="Times New Roman" w:eastAsia="宋体" w:cs="宋体"/>
                <w:color w:val="auto"/>
                <w:sz w:val="24"/>
                <w:highlight w:val="none"/>
              </w:rPr>
              <w:t>年</w:t>
            </w:r>
            <w:r>
              <w:rPr>
                <w:rFonts w:hint="eastAsia" w:ascii="Times New Roman" w:hAnsi="Times New Roman" w:eastAsia="宋体" w:cs="宋体"/>
                <w:color w:val="auto"/>
                <w:sz w:val="24"/>
                <w:highlight w:val="none"/>
              </w:rPr>
              <w:t>常州</w:t>
            </w:r>
            <w:r>
              <w:rPr>
                <w:rFonts w:ascii="Times New Roman" w:hAnsi="Times New Roman" w:eastAsia="宋体" w:cs="宋体"/>
                <w:color w:val="auto"/>
                <w:sz w:val="24"/>
                <w:highlight w:val="none"/>
              </w:rPr>
              <w:t>市环境空气中</w:t>
            </w:r>
            <w:r>
              <w:rPr>
                <w:rFonts w:hint="eastAsia" w:ascii="Times New Roman" w:hAnsi="Times New Roman" w:eastAsia="宋体" w:cs="宋体"/>
                <w:color w:val="auto"/>
                <w:sz w:val="24"/>
                <w:highlight w:val="none"/>
              </w:rPr>
              <w:t>PM</w:t>
            </w:r>
            <w:r>
              <w:rPr>
                <w:rFonts w:hint="eastAsia" w:ascii="Times New Roman" w:hAnsi="Times New Roman" w:eastAsia="宋体" w:cs="宋体"/>
                <w:color w:val="auto"/>
                <w:sz w:val="24"/>
                <w:highlight w:val="none"/>
                <w:vertAlign w:val="subscript"/>
              </w:rPr>
              <w:t>2.5</w:t>
            </w:r>
            <w:r>
              <w:rPr>
                <w:rFonts w:hint="eastAsia" w:ascii="Times New Roman" w:hAnsi="Times New Roman" w:eastAsia="宋体" w:cs="宋体"/>
                <w:color w:val="auto"/>
                <w:sz w:val="24"/>
                <w:highlight w:val="none"/>
              </w:rPr>
              <w:t>日平均</w:t>
            </w:r>
            <w:r>
              <w:rPr>
                <w:rFonts w:ascii="Times New Roman" w:hAnsi="Times New Roman" w:eastAsia="宋体" w:cs="宋体"/>
                <w:color w:val="auto"/>
                <w:sz w:val="24"/>
                <w:highlight w:val="none"/>
              </w:rPr>
              <w:t>第</w:t>
            </w:r>
            <w:r>
              <w:rPr>
                <w:rFonts w:hint="eastAsia" w:ascii="Times New Roman" w:hAnsi="Times New Roman" w:eastAsia="宋体" w:cs="宋体"/>
                <w:color w:val="auto"/>
                <w:sz w:val="24"/>
                <w:highlight w:val="none"/>
              </w:rPr>
              <w:t>95百分位数</w:t>
            </w:r>
            <w:r>
              <w:rPr>
                <w:rFonts w:ascii="Times New Roman" w:hAnsi="Times New Roman" w:eastAsia="宋体" w:cs="宋体"/>
                <w:color w:val="auto"/>
                <w:sz w:val="24"/>
                <w:highlight w:val="none"/>
              </w:rPr>
              <w:t>和</w:t>
            </w:r>
            <w:r>
              <w:rPr>
                <w:rFonts w:hint="eastAsia" w:ascii="Times New Roman" w:hAnsi="Times New Roman" w:eastAsia="宋体" w:cs="宋体"/>
                <w:color w:val="auto"/>
                <w:sz w:val="24"/>
                <w:highlight w:val="none"/>
              </w:rPr>
              <w:t>O</w:t>
            </w:r>
            <w:r>
              <w:rPr>
                <w:rFonts w:hint="eastAsia" w:ascii="Times New Roman" w:hAnsi="Times New Roman" w:eastAsia="宋体" w:cs="宋体"/>
                <w:color w:val="auto"/>
                <w:sz w:val="24"/>
                <w:highlight w:val="none"/>
                <w:vertAlign w:val="subscript"/>
              </w:rPr>
              <w:t>3</w:t>
            </w:r>
            <w:r>
              <w:rPr>
                <w:rFonts w:ascii="Times New Roman" w:hAnsi="Times New Roman" w:eastAsia="宋体" w:cs="宋体"/>
                <w:color w:val="auto"/>
                <w:sz w:val="24"/>
                <w:highlight w:val="none"/>
              </w:rPr>
              <w:t>日最大8小时</w:t>
            </w:r>
            <w:r>
              <w:rPr>
                <w:rFonts w:hint="eastAsia" w:ascii="Times New Roman" w:hAnsi="Times New Roman" w:eastAsia="宋体" w:cs="宋体"/>
                <w:color w:val="auto"/>
                <w:sz w:val="24"/>
                <w:highlight w:val="none"/>
              </w:rPr>
              <w:t>滑动平</w:t>
            </w:r>
            <w:r>
              <w:rPr>
                <w:rFonts w:ascii="Times New Roman" w:hAnsi="Times New Roman" w:eastAsia="宋体" w:cs="宋体"/>
                <w:color w:val="auto"/>
                <w:sz w:val="24"/>
                <w:highlight w:val="none"/>
              </w:rPr>
              <w:t>均值</w:t>
            </w:r>
            <w:r>
              <w:rPr>
                <w:rFonts w:hint="eastAsia" w:ascii="Times New Roman" w:hAnsi="Times New Roman" w:eastAsia="宋体" w:cs="宋体"/>
                <w:color w:val="auto"/>
                <w:sz w:val="24"/>
                <w:highlight w:val="none"/>
              </w:rPr>
              <w:t>的第90百分位数超标</w:t>
            </w:r>
            <w:r>
              <w:rPr>
                <w:rFonts w:ascii="Times New Roman" w:hAnsi="Times New Roman" w:eastAsia="宋体" w:cs="宋体"/>
                <w:color w:val="auto"/>
                <w:sz w:val="24"/>
                <w:highlight w:val="none"/>
              </w:rPr>
              <w:t>，因此判定为非达标区域</w:t>
            </w:r>
            <w:r>
              <w:rPr>
                <w:rFonts w:hint="eastAsia" w:ascii="Times New Roman" w:hAnsi="Times New Roman" w:eastAsia="宋体" w:cs="宋体"/>
                <w:color w:val="auto"/>
                <w:sz w:val="24"/>
                <w:highlight w:val="none"/>
              </w:rPr>
              <w:t>。</w:t>
            </w:r>
          </w:p>
          <w:p w14:paraId="7E89B6E7">
            <w:pPr>
              <w:autoSpaceDE w:val="0"/>
              <w:autoSpaceDN w:val="0"/>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削减方案</w:t>
            </w:r>
          </w:p>
          <w:p w14:paraId="1F00A93C">
            <w:pPr>
              <w:autoSpaceDE w:val="0"/>
              <w:autoSpaceDN w:val="0"/>
              <w:spacing w:line="360" w:lineRule="auto"/>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根据</w:t>
            </w:r>
            <w:r>
              <w:rPr>
                <w:rFonts w:hint="default" w:ascii="Times New Roman" w:hAnsi="Times New Roman" w:cs="Times New Roman"/>
                <w:color w:val="auto"/>
                <w:spacing w:val="6"/>
              </w:rPr>
              <w:t>《</w:t>
            </w:r>
            <w:r>
              <w:rPr>
                <w:rFonts w:hint="default" w:ascii="Times New Roman" w:hAnsi="Times New Roman" w:cs="Times New Roman"/>
                <w:color w:val="auto"/>
                <w:kern w:val="0"/>
                <w:sz w:val="24"/>
              </w:rPr>
              <w:t>202</w:t>
            </w:r>
            <w:r>
              <w:rPr>
                <w:rFonts w:hint="default" w:ascii="Times New Roman" w:hAnsi="Times New Roman" w:cs="Times New Roman"/>
                <w:color w:val="auto"/>
                <w:kern w:val="0"/>
                <w:sz w:val="24"/>
                <w:lang w:val="en-US" w:eastAsia="zh-CN"/>
              </w:rPr>
              <w:t>2</w:t>
            </w:r>
            <w:r>
              <w:rPr>
                <w:rFonts w:hint="default" w:ascii="Times New Roman" w:hAnsi="Times New Roman" w:cs="Times New Roman"/>
                <w:color w:val="auto"/>
                <w:kern w:val="0"/>
                <w:sz w:val="24"/>
              </w:rPr>
              <w:t>年常州市生态环境状况公报</w:t>
            </w:r>
            <w:r>
              <w:rPr>
                <w:rFonts w:hint="default" w:ascii="Times New Roman" w:hAnsi="Times New Roman" w:cs="Times New Roman"/>
                <w:color w:val="auto"/>
                <w:spacing w:val="6"/>
              </w:rPr>
              <w:t>》</w:t>
            </w:r>
            <w:r>
              <w:rPr>
                <w:rFonts w:hint="default" w:ascii="Times New Roman" w:hAnsi="Times New Roman" w:cs="Times New Roman"/>
                <w:color w:val="auto"/>
                <w:spacing w:val="6"/>
                <w:sz w:val="24"/>
                <w:szCs w:val="24"/>
                <w:lang w:eastAsia="zh-CN"/>
              </w:rPr>
              <w:t>，采取以下大气污染防治措施：</w:t>
            </w:r>
          </w:p>
          <w:p w14:paraId="050F99F1">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①工业源减排：组织78家钢铁、火电、水泥等行业排放大户开展友好减排；完成4家水泥企业超低排放改造。</w:t>
            </w:r>
          </w:p>
          <w:p w14:paraId="72F98D9C">
            <w:pPr>
              <w:autoSpaceDE w:val="0"/>
              <w:autoSpaceDN w:val="0"/>
              <w:spacing w:line="360" w:lineRule="auto"/>
              <w:ind w:firstLine="480" w:firstLineChars="200"/>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②臭氧污染防治：完成44个集群、1028家企业的整治提升，完成182家重点企业的清洁原料源头替代、9家钢结构和375家包装印刷企业清洁原料替代，积极推进190家VOCs重点监管企业全部安装VOCs自动监测设备并联网。</w:t>
            </w:r>
          </w:p>
          <w:p w14:paraId="0BD05639">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③扬尘污染防治：开展秋冬季扬尘污染专项整治行动，建立工地、裸地、港口码头挂钩责任人制度，开展帮扶督导，积极运用通报、曝光、约谈、问责等手段，推动问题整改。</w:t>
            </w:r>
          </w:p>
          <w:p w14:paraId="68D56D90">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④“绿色车轮计划”：1994辆巡游出租车(网约车)采用新能源或清洁能源车辆，在环卫、公交、邮政等公共领域开展全面电动化试点福注销淘汰老旧汽车9980辆，其中国国及以下排放标准柴油车4608辆，超额完成年度海汰报废任务。</w:t>
            </w:r>
          </w:p>
          <w:p w14:paraId="2BF939FA">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⑤机动车排气监管：强化监督抽测，完成各类机动车监督抽测5452辆·次，开展工程机械监督检查1150台·次、抽测881台·次，加强储油库和加油站油气回收设施的检查。</w:t>
            </w:r>
          </w:p>
          <w:p w14:paraId="78D84EC9">
            <w:pPr>
              <w:spacing w:line="360" w:lineRule="auto"/>
              <w:ind w:firstLine="480" w:firstLineChars="200"/>
              <w:rPr>
                <w:rFonts w:ascii="Times New Roman" w:hAnsi="Times New Roman" w:eastAsia="宋体" w:cs="宋体"/>
                <w:color w:val="auto"/>
                <w:sz w:val="24"/>
                <w:highlight w:val="none"/>
              </w:rPr>
            </w:pPr>
            <w:r>
              <w:rPr>
                <w:rFonts w:hint="default" w:ascii="Times New Roman" w:hAnsi="Times New Roman" w:cs="Times New Roman"/>
                <w:color w:val="auto"/>
                <w:kern w:val="0"/>
                <w:sz w:val="24"/>
              </w:rPr>
              <w:t>采取以上措施，常州市的大气空气质量将得到一定改善。</w:t>
            </w:r>
          </w:p>
          <w:p w14:paraId="4E65654E">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（2）特征污染物环境质量现状</w:t>
            </w:r>
          </w:p>
          <w:p w14:paraId="1D05C456">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ascii="Times New Roman" w:hAnsi="Times New Roman" w:eastAsia="宋体" w:cs="宋体"/>
                <w:color w:val="auto"/>
                <w:kern w:val="0"/>
                <w:sz w:val="24"/>
                <w:highlight w:val="none"/>
              </w:rPr>
              <w:t>本项目</w:t>
            </w:r>
            <w:r>
              <w:rPr>
                <w:rFonts w:hint="eastAsia" w:ascii="Times New Roman" w:hAnsi="Times New Roman" w:eastAsia="宋体" w:cs="宋体"/>
                <w:color w:val="auto"/>
                <w:kern w:val="0"/>
                <w:sz w:val="24"/>
                <w:highlight w:val="none"/>
              </w:rPr>
              <w:t>特征因子</w:t>
            </w:r>
            <w:r>
              <w:rPr>
                <w:rFonts w:ascii="Times New Roman" w:hAnsi="Times New Roman" w:eastAsia="宋体" w:cs="宋体"/>
                <w:color w:val="auto"/>
                <w:kern w:val="0"/>
                <w:sz w:val="24"/>
                <w:highlight w:val="none"/>
              </w:rPr>
              <w:t>引用</w:t>
            </w:r>
            <w:r>
              <w:rPr>
                <w:rFonts w:hint="eastAsia" w:ascii="Times New Roman" w:hAnsi="Times New Roman" w:eastAsia="宋体" w:cs="宋体"/>
                <w:color w:val="auto"/>
                <w:kern w:val="0"/>
                <w:sz w:val="24"/>
                <w:highlight w:val="none"/>
              </w:rPr>
              <w:t>《</w:t>
            </w:r>
            <w:r>
              <w:rPr>
                <w:rFonts w:hint="eastAsia" w:cs="宋体"/>
                <w:color w:val="auto"/>
                <w:kern w:val="0"/>
                <w:sz w:val="24"/>
                <w:highlight w:val="none"/>
                <w:lang w:val="en-US" w:eastAsia="zh-CN"/>
              </w:rPr>
              <w:t>常州市金坛区金东环保工程</w:t>
            </w:r>
            <w:r>
              <w:rPr>
                <w:rFonts w:hint="eastAsia" w:ascii="Times New Roman" w:hAnsi="Times New Roman" w:eastAsia="宋体" w:cs="宋体"/>
                <w:bCs/>
                <w:color w:val="auto"/>
                <w:kern w:val="0"/>
                <w:sz w:val="24"/>
                <w:highlight w:val="none"/>
                <w:lang w:val="en-US" w:eastAsia="zh-CN"/>
              </w:rPr>
              <w:t>有限公司</w:t>
            </w:r>
            <w:r>
              <w:rPr>
                <w:rFonts w:hint="eastAsia" w:ascii="Times New Roman" w:hAnsi="Times New Roman" w:eastAsia="宋体" w:cs="宋体"/>
                <w:color w:val="auto"/>
                <w:kern w:val="0"/>
                <w:sz w:val="24"/>
                <w:highlight w:val="none"/>
              </w:rPr>
              <w:t>》（编号：</w:t>
            </w:r>
            <w:r>
              <w:rPr>
                <w:rFonts w:hint="eastAsia" w:cs="宋体"/>
                <w:bCs/>
                <w:color w:val="auto"/>
                <w:kern w:val="0"/>
                <w:sz w:val="24"/>
                <w:highlight w:val="none"/>
                <w:lang w:val="en-US" w:eastAsia="zh-CN"/>
              </w:rPr>
              <w:t>TST202411058</w:t>
            </w:r>
            <w:r>
              <w:rPr>
                <w:rFonts w:hint="eastAsia" w:ascii="Times New Roman" w:hAnsi="Times New Roman" w:eastAsia="宋体" w:cs="宋体"/>
                <w:color w:val="auto"/>
                <w:kern w:val="0"/>
                <w:sz w:val="24"/>
                <w:highlight w:val="none"/>
              </w:rPr>
              <w:t>），引用G1点位为</w:t>
            </w:r>
            <w:r>
              <w:rPr>
                <w:rFonts w:hint="eastAsia" w:cs="宋体"/>
                <w:color w:val="auto"/>
                <w:kern w:val="0"/>
                <w:sz w:val="24"/>
                <w:highlight w:val="none"/>
                <w:lang w:val="en-US" w:eastAsia="zh-CN"/>
              </w:rPr>
              <w:t>常州市金坛区金东环保工程</w:t>
            </w:r>
            <w:r>
              <w:rPr>
                <w:rFonts w:hint="eastAsia" w:ascii="Times New Roman" w:hAnsi="Times New Roman" w:eastAsia="宋体" w:cs="宋体"/>
                <w:bCs/>
                <w:color w:val="auto"/>
                <w:kern w:val="0"/>
                <w:sz w:val="24"/>
                <w:highlight w:val="none"/>
                <w:lang w:val="en-US" w:eastAsia="zh-CN"/>
              </w:rPr>
              <w:t>有限公司</w:t>
            </w:r>
            <w:r>
              <w:rPr>
                <w:rFonts w:hint="eastAsia" w:cs="宋体"/>
                <w:bCs/>
                <w:color w:val="auto"/>
                <w:kern w:val="0"/>
                <w:sz w:val="24"/>
                <w:highlight w:val="none"/>
                <w:lang w:val="en-US" w:eastAsia="zh-CN"/>
              </w:rPr>
              <w:t>东侧</w:t>
            </w:r>
            <w:r>
              <w:rPr>
                <w:rFonts w:ascii="Times New Roman" w:hAnsi="Times New Roman" w:eastAsia="宋体" w:cs="宋体"/>
                <w:color w:val="auto"/>
                <w:kern w:val="0"/>
                <w:sz w:val="24"/>
                <w:highlight w:val="none"/>
              </w:rPr>
              <w:t>，引用因子为</w:t>
            </w:r>
            <w:r>
              <w:rPr>
                <w:rFonts w:hint="eastAsia" w:ascii="Times New Roman" w:hAnsi="Times New Roman" w:eastAsia="宋体" w:cs="宋体"/>
                <w:color w:val="auto"/>
                <w:kern w:val="0"/>
                <w:sz w:val="24"/>
                <w:highlight w:val="none"/>
              </w:rPr>
              <w:t>非甲烷总烃，</w:t>
            </w:r>
            <w:r>
              <w:rPr>
                <w:rFonts w:ascii="Times New Roman" w:hAnsi="Times New Roman" w:eastAsia="宋体" w:cs="宋体"/>
                <w:color w:val="auto"/>
                <w:kern w:val="0"/>
                <w:sz w:val="24"/>
                <w:highlight w:val="none"/>
              </w:rPr>
              <w:t>时间为</w:t>
            </w:r>
            <w:r>
              <w:rPr>
                <w:rFonts w:hint="eastAsia" w:ascii="Times New Roman" w:hAnsi="Times New Roman" w:eastAsia="宋体" w:cs="宋体"/>
                <w:color w:val="auto"/>
                <w:kern w:val="0"/>
                <w:sz w:val="24"/>
                <w:highlight w:val="none"/>
              </w:rPr>
              <w:t>202</w:t>
            </w:r>
            <w:r>
              <w:rPr>
                <w:rFonts w:hint="eastAsia" w:cs="宋体"/>
                <w:color w:val="auto"/>
                <w:kern w:val="0"/>
                <w:sz w:val="24"/>
                <w:highlight w:val="none"/>
                <w:lang w:val="en-US" w:eastAsia="zh-CN"/>
              </w:rPr>
              <w:t>4</w:t>
            </w:r>
            <w:r>
              <w:rPr>
                <w:rFonts w:hint="eastAsia" w:ascii="Times New Roman" w:hAnsi="Times New Roman" w:eastAsia="宋体" w:cs="宋体"/>
                <w:color w:val="auto"/>
                <w:kern w:val="0"/>
                <w:sz w:val="24"/>
                <w:highlight w:val="none"/>
              </w:rPr>
              <w:t>年</w:t>
            </w:r>
            <w:r>
              <w:rPr>
                <w:rFonts w:hint="eastAsia" w:cs="宋体"/>
                <w:color w:val="auto"/>
                <w:kern w:val="0"/>
                <w:sz w:val="24"/>
                <w:highlight w:val="none"/>
                <w:lang w:val="en-US" w:eastAsia="zh-CN"/>
              </w:rPr>
              <w:t>11</w:t>
            </w:r>
            <w:r>
              <w:rPr>
                <w:rFonts w:hint="eastAsia" w:ascii="Times New Roman" w:hAnsi="Times New Roman" w:eastAsia="宋体" w:cs="宋体"/>
                <w:color w:val="auto"/>
                <w:kern w:val="0"/>
                <w:sz w:val="24"/>
                <w:highlight w:val="none"/>
              </w:rPr>
              <w:t>月</w:t>
            </w:r>
            <w:r>
              <w:rPr>
                <w:rFonts w:hint="eastAsia" w:cs="宋体"/>
                <w:color w:val="auto"/>
                <w:kern w:val="0"/>
                <w:sz w:val="24"/>
                <w:highlight w:val="none"/>
                <w:lang w:val="en-US" w:eastAsia="zh-CN"/>
              </w:rPr>
              <w:t>11</w:t>
            </w:r>
            <w:r>
              <w:rPr>
                <w:rFonts w:hint="eastAsia" w:ascii="Times New Roman" w:hAnsi="Times New Roman" w:eastAsia="宋体" w:cs="宋体"/>
                <w:color w:val="auto"/>
                <w:kern w:val="0"/>
                <w:sz w:val="24"/>
                <w:highlight w:val="none"/>
              </w:rPr>
              <w:t>日~202</w:t>
            </w:r>
            <w:r>
              <w:rPr>
                <w:rFonts w:hint="eastAsia" w:cs="宋体"/>
                <w:color w:val="auto"/>
                <w:kern w:val="0"/>
                <w:sz w:val="24"/>
                <w:highlight w:val="none"/>
                <w:lang w:val="en-US" w:eastAsia="zh-CN"/>
              </w:rPr>
              <w:t>4</w:t>
            </w:r>
            <w:r>
              <w:rPr>
                <w:rFonts w:hint="eastAsia" w:ascii="Times New Roman" w:hAnsi="Times New Roman" w:eastAsia="宋体" w:cs="宋体"/>
                <w:color w:val="auto"/>
                <w:kern w:val="0"/>
                <w:sz w:val="24"/>
                <w:highlight w:val="none"/>
              </w:rPr>
              <w:t>年</w:t>
            </w:r>
            <w:r>
              <w:rPr>
                <w:rFonts w:hint="eastAsia" w:cs="宋体"/>
                <w:color w:val="auto"/>
                <w:kern w:val="0"/>
                <w:sz w:val="24"/>
                <w:highlight w:val="none"/>
                <w:lang w:val="en-US" w:eastAsia="zh-CN"/>
              </w:rPr>
              <w:t>11</w:t>
            </w:r>
            <w:r>
              <w:rPr>
                <w:rFonts w:hint="eastAsia" w:ascii="Times New Roman" w:hAnsi="Times New Roman" w:eastAsia="宋体" w:cs="宋体"/>
                <w:color w:val="auto"/>
                <w:kern w:val="0"/>
                <w:sz w:val="24"/>
                <w:highlight w:val="none"/>
              </w:rPr>
              <w:t>月</w:t>
            </w:r>
            <w:r>
              <w:rPr>
                <w:rFonts w:hint="eastAsia" w:cs="宋体"/>
                <w:color w:val="auto"/>
                <w:kern w:val="0"/>
                <w:sz w:val="24"/>
                <w:highlight w:val="none"/>
                <w:lang w:val="en-US" w:eastAsia="zh-CN"/>
              </w:rPr>
              <w:t>17</w:t>
            </w:r>
            <w:r>
              <w:rPr>
                <w:rFonts w:hint="eastAsia" w:ascii="Times New Roman" w:hAnsi="Times New Roman" w:eastAsia="宋体" w:cs="宋体"/>
                <w:color w:val="auto"/>
                <w:kern w:val="0"/>
                <w:sz w:val="24"/>
                <w:highlight w:val="none"/>
              </w:rPr>
              <w:t>日</w:t>
            </w:r>
            <w:r>
              <w:rPr>
                <w:rFonts w:ascii="Times New Roman" w:hAnsi="Times New Roman" w:eastAsia="宋体" w:cs="宋体"/>
                <w:color w:val="auto"/>
                <w:kern w:val="0"/>
                <w:sz w:val="24"/>
                <w:highlight w:val="none"/>
              </w:rPr>
              <w:t>，引用可行性分析</w:t>
            </w:r>
            <w:r>
              <w:rPr>
                <w:rFonts w:hint="eastAsia" w:ascii="Times New Roman" w:hAnsi="Times New Roman" w:eastAsia="宋体" w:cs="宋体"/>
                <w:color w:val="auto"/>
                <w:kern w:val="0"/>
                <w:sz w:val="24"/>
                <w:highlight w:val="none"/>
              </w:rPr>
              <w:t>：</w:t>
            </w:r>
            <w:r>
              <w:rPr>
                <w:rFonts w:ascii="Times New Roman" w:hAnsi="Times New Roman" w:eastAsia="宋体" w:cs="宋体"/>
                <w:color w:val="auto"/>
                <w:kern w:val="0"/>
                <w:sz w:val="24"/>
                <w:highlight w:val="none"/>
              </w:rPr>
              <w:t>监测数据距今尚在3年有效期内</w:t>
            </w:r>
            <w:r>
              <w:rPr>
                <w:rFonts w:hint="eastAsia" w:ascii="Times New Roman" w:hAnsi="Times New Roman" w:eastAsia="宋体" w:cs="宋体"/>
                <w:color w:val="auto"/>
                <w:kern w:val="0"/>
                <w:sz w:val="24"/>
                <w:highlight w:val="none"/>
              </w:rPr>
              <w:t>，</w:t>
            </w:r>
            <w:r>
              <w:rPr>
                <w:rFonts w:ascii="Times New Roman" w:hAnsi="Times New Roman" w:eastAsia="宋体" w:cs="宋体"/>
                <w:color w:val="auto"/>
                <w:kern w:val="0"/>
                <w:sz w:val="24"/>
                <w:highlight w:val="none"/>
              </w:rPr>
              <w:t>监测点位距离本项目约</w:t>
            </w:r>
            <w:r>
              <w:rPr>
                <w:rFonts w:hint="eastAsia" w:cs="宋体"/>
                <w:color w:val="auto"/>
                <w:kern w:val="0"/>
                <w:sz w:val="24"/>
                <w:highlight w:val="none"/>
                <w:lang w:val="en-US" w:eastAsia="zh-CN"/>
              </w:rPr>
              <w:t>2.8</w:t>
            </w:r>
            <w:r>
              <w:rPr>
                <w:rFonts w:ascii="Times New Roman" w:hAnsi="Times New Roman" w:eastAsia="宋体" w:cs="宋体"/>
                <w:color w:val="auto"/>
                <w:kern w:val="0"/>
                <w:sz w:val="24"/>
                <w:highlight w:val="none"/>
              </w:rPr>
              <w:t>km，位于本项目大气</w:t>
            </w:r>
            <w:r>
              <w:rPr>
                <w:rFonts w:hint="eastAsia" w:ascii="Times New Roman" w:hAnsi="Times New Roman" w:eastAsia="宋体" w:cs="宋体"/>
                <w:color w:val="auto"/>
                <w:kern w:val="0"/>
                <w:sz w:val="24"/>
                <w:highlight w:val="none"/>
              </w:rPr>
              <w:t>引用</w:t>
            </w:r>
            <w:r>
              <w:rPr>
                <w:rFonts w:ascii="Times New Roman" w:hAnsi="Times New Roman" w:eastAsia="宋体" w:cs="宋体"/>
                <w:color w:val="auto"/>
                <w:kern w:val="0"/>
                <w:sz w:val="24"/>
                <w:highlight w:val="none"/>
              </w:rPr>
              <w:t>范围内。</w:t>
            </w:r>
          </w:p>
          <w:p w14:paraId="69F9FF83">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表3</w:t>
            </w:r>
            <w:r>
              <w:rPr>
                <w:rFonts w:hint="eastAsia" w:ascii="Times New Roman" w:hAnsi="Times New Roman" w:eastAsia="宋体" w:cs="宋体"/>
                <w:b/>
                <w:bCs/>
                <w:color w:val="auto"/>
                <w:spacing w:val="-4"/>
                <w:szCs w:val="21"/>
                <w:highlight w:val="none"/>
              </w:rPr>
              <w:t>.1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 xml:space="preserve">2  </w:t>
            </w:r>
            <w:r>
              <w:rPr>
                <w:rFonts w:ascii="Times New Roman" w:hAnsi="Times New Roman" w:eastAsia="宋体" w:cs="宋体"/>
                <w:b/>
                <w:bCs/>
                <w:color w:val="auto"/>
                <w:spacing w:val="-4"/>
                <w:szCs w:val="21"/>
                <w:highlight w:val="none"/>
              </w:rPr>
              <w:t>特征污染物环境质量现状</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39"/>
              <w:gridCol w:w="1118"/>
              <w:gridCol w:w="1040"/>
              <w:gridCol w:w="1177"/>
              <w:gridCol w:w="1206"/>
              <w:gridCol w:w="996"/>
              <w:gridCol w:w="820"/>
              <w:gridCol w:w="475"/>
            </w:tblGrid>
            <w:tr w14:paraId="16724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4" w:type="pct"/>
                  <w:vMerge w:val="restart"/>
                  <w:vAlign w:val="center"/>
                </w:tcPr>
                <w:p w14:paraId="10303A04">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监测点位</w:t>
                  </w:r>
                </w:p>
              </w:tc>
              <w:tc>
                <w:tcPr>
                  <w:tcW w:w="701" w:type="pct"/>
                  <w:vMerge w:val="restart"/>
                  <w:vAlign w:val="center"/>
                </w:tcPr>
                <w:p w14:paraId="0E82733A">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ascii="Times New Roman" w:hAnsi="Times New Roman" w:eastAsia="宋体" w:cs="宋体"/>
                      <w:b/>
                      <w:bCs/>
                      <w:color w:val="auto"/>
                      <w:sz w:val="21"/>
                      <w:szCs w:val="21"/>
                      <w:highlight w:val="none"/>
                    </w:rPr>
                    <w:t>污染物</w:t>
                  </w:r>
                </w:p>
              </w:tc>
              <w:tc>
                <w:tcPr>
                  <w:tcW w:w="652" w:type="pct"/>
                  <w:vMerge w:val="restart"/>
                  <w:vAlign w:val="center"/>
                </w:tcPr>
                <w:p w14:paraId="644351A7">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平均时间</w:t>
                  </w:r>
                </w:p>
              </w:tc>
              <w:tc>
                <w:tcPr>
                  <w:tcW w:w="738" w:type="pct"/>
                  <w:vMerge w:val="restart"/>
                  <w:vAlign w:val="center"/>
                </w:tcPr>
                <w:p w14:paraId="427245BE">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ascii="Times New Roman" w:hAnsi="Times New Roman" w:eastAsia="宋体" w:cs="宋体"/>
                      <w:b/>
                      <w:bCs/>
                      <w:color w:val="auto"/>
                      <w:sz w:val="21"/>
                      <w:szCs w:val="21"/>
                      <w:highlight w:val="none"/>
                    </w:rPr>
                    <w:t>评价标准（</w:t>
                  </w:r>
                  <w:r>
                    <w:rPr>
                      <w:rFonts w:ascii="Times New Roman" w:hAnsi="Times New Roman" w:eastAsia="宋体" w:cs="宋体"/>
                      <w:b/>
                      <w:color w:val="auto"/>
                      <w:kern w:val="0"/>
                      <w:sz w:val="21"/>
                      <w:szCs w:val="21"/>
                      <w:highlight w:val="none"/>
                    </w:rPr>
                    <w:t>μg/</w:t>
                  </w:r>
                  <w:r>
                    <w:rPr>
                      <w:rFonts w:ascii="Times New Roman" w:hAnsi="Times New Roman" w:eastAsia="宋体" w:cs="宋体"/>
                      <w:b/>
                      <w:color w:val="auto"/>
                      <w:sz w:val="21"/>
                      <w:szCs w:val="21"/>
                      <w:highlight w:val="none"/>
                    </w:rPr>
                    <w:t>m</w:t>
                  </w:r>
                  <w:r>
                    <w:rPr>
                      <w:rFonts w:ascii="Times New Roman" w:hAnsi="Times New Roman" w:eastAsia="宋体" w:cs="宋体"/>
                      <w:b/>
                      <w:color w:val="auto"/>
                      <w:sz w:val="21"/>
                      <w:szCs w:val="21"/>
                      <w:highlight w:val="none"/>
                      <w:vertAlign w:val="superscript"/>
                    </w:rPr>
                    <w:t>3</w:t>
                  </w:r>
                  <w:r>
                    <w:rPr>
                      <w:rFonts w:ascii="Times New Roman" w:hAnsi="Times New Roman" w:eastAsia="宋体" w:cs="宋体"/>
                      <w:b/>
                      <w:bCs/>
                      <w:color w:val="auto"/>
                      <w:sz w:val="21"/>
                      <w:szCs w:val="21"/>
                      <w:highlight w:val="none"/>
                    </w:rPr>
                    <w:t>）</w:t>
                  </w:r>
                </w:p>
              </w:tc>
              <w:tc>
                <w:tcPr>
                  <w:tcW w:w="756" w:type="pct"/>
                  <w:vMerge w:val="restart"/>
                  <w:vAlign w:val="center"/>
                </w:tcPr>
                <w:p w14:paraId="3FF3A20B">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监测浓度范围</w:t>
                  </w:r>
                  <w:r>
                    <w:rPr>
                      <w:rFonts w:ascii="Times New Roman" w:hAnsi="Times New Roman" w:eastAsia="宋体" w:cs="宋体"/>
                      <w:b/>
                      <w:bCs/>
                      <w:color w:val="auto"/>
                      <w:sz w:val="21"/>
                      <w:szCs w:val="21"/>
                      <w:highlight w:val="none"/>
                    </w:rPr>
                    <w:t>（</w:t>
                  </w:r>
                  <w:r>
                    <w:rPr>
                      <w:rFonts w:ascii="Times New Roman" w:hAnsi="Times New Roman" w:eastAsia="宋体" w:cs="宋体"/>
                      <w:b/>
                      <w:color w:val="auto"/>
                      <w:kern w:val="0"/>
                      <w:sz w:val="21"/>
                      <w:szCs w:val="21"/>
                      <w:highlight w:val="none"/>
                    </w:rPr>
                    <w:t>μg/</w:t>
                  </w:r>
                  <w:r>
                    <w:rPr>
                      <w:rFonts w:ascii="Times New Roman" w:hAnsi="Times New Roman" w:eastAsia="宋体" w:cs="宋体"/>
                      <w:b/>
                      <w:color w:val="auto"/>
                      <w:sz w:val="21"/>
                      <w:szCs w:val="21"/>
                      <w:highlight w:val="none"/>
                    </w:rPr>
                    <w:t>m</w:t>
                  </w:r>
                  <w:r>
                    <w:rPr>
                      <w:rFonts w:ascii="Times New Roman" w:hAnsi="Times New Roman" w:eastAsia="宋体" w:cs="宋体"/>
                      <w:b/>
                      <w:color w:val="auto"/>
                      <w:sz w:val="21"/>
                      <w:szCs w:val="21"/>
                      <w:highlight w:val="none"/>
                      <w:vertAlign w:val="superscript"/>
                    </w:rPr>
                    <w:t>3</w:t>
                  </w:r>
                  <w:r>
                    <w:rPr>
                      <w:rFonts w:ascii="Times New Roman" w:hAnsi="Times New Roman" w:eastAsia="宋体" w:cs="宋体"/>
                      <w:b/>
                      <w:bCs/>
                      <w:color w:val="auto"/>
                      <w:sz w:val="21"/>
                      <w:szCs w:val="21"/>
                      <w:highlight w:val="none"/>
                    </w:rPr>
                    <w:t>）</w:t>
                  </w:r>
                </w:p>
              </w:tc>
              <w:tc>
                <w:tcPr>
                  <w:tcW w:w="624" w:type="pct"/>
                  <w:vMerge w:val="restart"/>
                  <w:vAlign w:val="center"/>
                </w:tcPr>
                <w:p w14:paraId="74143853">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ascii="Times New Roman" w:hAnsi="Times New Roman" w:eastAsia="宋体" w:cs="宋体"/>
                      <w:b/>
                      <w:bCs/>
                      <w:color w:val="auto"/>
                      <w:sz w:val="21"/>
                      <w:szCs w:val="21"/>
                      <w:highlight w:val="none"/>
                    </w:rPr>
                    <w:t>最大浓度占标率/%</w:t>
                  </w:r>
                </w:p>
              </w:tc>
              <w:tc>
                <w:tcPr>
                  <w:tcW w:w="514" w:type="pct"/>
                  <w:vMerge w:val="restart"/>
                  <w:vAlign w:val="center"/>
                </w:tcPr>
                <w:p w14:paraId="13172B51">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ascii="Times New Roman" w:hAnsi="Times New Roman" w:eastAsia="宋体" w:cs="宋体"/>
                      <w:b/>
                      <w:bCs/>
                      <w:color w:val="auto"/>
                      <w:sz w:val="21"/>
                      <w:szCs w:val="21"/>
                      <w:highlight w:val="none"/>
                    </w:rPr>
                    <w:t>超标率/%</w:t>
                  </w:r>
                </w:p>
              </w:tc>
              <w:tc>
                <w:tcPr>
                  <w:tcW w:w="297" w:type="pct"/>
                  <w:vMerge w:val="restart"/>
                  <w:vAlign w:val="center"/>
                </w:tcPr>
                <w:p w14:paraId="742A3C13">
                  <w:pPr>
                    <w:pStyle w:val="51"/>
                    <w:spacing w:line="240" w:lineRule="auto"/>
                    <w:ind w:firstLine="0" w:firstLineChars="0"/>
                    <w:jc w:val="center"/>
                    <w:rPr>
                      <w:rFonts w:ascii="Times New Roman" w:hAnsi="Times New Roman" w:eastAsia="宋体" w:cs="宋体"/>
                      <w:b/>
                      <w:bCs/>
                      <w:color w:val="auto"/>
                      <w:sz w:val="21"/>
                      <w:szCs w:val="21"/>
                      <w:highlight w:val="none"/>
                    </w:rPr>
                  </w:pPr>
                  <w:r>
                    <w:rPr>
                      <w:rFonts w:ascii="Times New Roman" w:hAnsi="Times New Roman" w:eastAsia="宋体" w:cs="宋体"/>
                      <w:b/>
                      <w:bCs/>
                      <w:color w:val="auto"/>
                      <w:sz w:val="21"/>
                      <w:szCs w:val="21"/>
                      <w:highlight w:val="none"/>
                    </w:rPr>
                    <w:t>达标情况</w:t>
                  </w:r>
                </w:p>
              </w:tc>
            </w:tr>
            <w:tr w14:paraId="53FCD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14" w:type="pct"/>
                  <w:vMerge w:val="continue"/>
                  <w:vAlign w:val="center"/>
                </w:tcPr>
                <w:p w14:paraId="4490DC13">
                  <w:pPr>
                    <w:snapToGrid w:val="0"/>
                    <w:jc w:val="center"/>
                    <w:rPr>
                      <w:rFonts w:ascii="Times New Roman" w:hAnsi="Times New Roman" w:eastAsia="宋体" w:cs="宋体"/>
                      <w:bCs/>
                      <w:color w:val="auto"/>
                      <w:szCs w:val="21"/>
                      <w:highlight w:val="none"/>
                    </w:rPr>
                  </w:pPr>
                </w:p>
              </w:tc>
              <w:tc>
                <w:tcPr>
                  <w:tcW w:w="701" w:type="pct"/>
                  <w:vMerge w:val="continue"/>
                  <w:vAlign w:val="center"/>
                </w:tcPr>
                <w:p w14:paraId="70735F3C">
                  <w:pPr>
                    <w:snapToGrid w:val="0"/>
                    <w:jc w:val="center"/>
                    <w:rPr>
                      <w:rFonts w:ascii="Times New Roman" w:hAnsi="Times New Roman" w:eastAsia="宋体" w:cs="宋体"/>
                      <w:b/>
                      <w:bCs/>
                      <w:color w:val="auto"/>
                      <w:szCs w:val="21"/>
                      <w:highlight w:val="none"/>
                    </w:rPr>
                  </w:pPr>
                </w:p>
              </w:tc>
              <w:tc>
                <w:tcPr>
                  <w:tcW w:w="652" w:type="pct"/>
                  <w:vMerge w:val="continue"/>
                  <w:vAlign w:val="center"/>
                </w:tcPr>
                <w:p w14:paraId="35C52684">
                  <w:pPr>
                    <w:snapToGrid w:val="0"/>
                    <w:jc w:val="center"/>
                    <w:rPr>
                      <w:rFonts w:ascii="Times New Roman" w:hAnsi="Times New Roman" w:eastAsia="宋体" w:cs="宋体"/>
                      <w:b/>
                      <w:bCs/>
                      <w:color w:val="auto"/>
                      <w:szCs w:val="21"/>
                      <w:highlight w:val="none"/>
                    </w:rPr>
                  </w:pPr>
                </w:p>
              </w:tc>
              <w:tc>
                <w:tcPr>
                  <w:tcW w:w="738" w:type="pct"/>
                  <w:vMerge w:val="continue"/>
                  <w:vAlign w:val="center"/>
                </w:tcPr>
                <w:p w14:paraId="55B5D002">
                  <w:pPr>
                    <w:snapToGrid w:val="0"/>
                    <w:jc w:val="center"/>
                    <w:rPr>
                      <w:rFonts w:ascii="Times New Roman" w:hAnsi="Times New Roman" w:eastAsia="宋体" w:cs="宋体"/>
                      <w:b/>
                      <w:bCs/>
                      <w:color w:val="auto"/>
                      <w:szCs w:val="21"/>
                      <w:highlight w:val="none"/>
                    </w:rPr>
                  </w:pPr>
                </w:p>
              </w:tc>
              <w:tc>
                <w:tcPr>
                  <w:tcW w:w="756" w:type="pct"/>
                  <w:vMerge w:val="continue"/>
                  <w:vAlign w:val="center"/>
                </w:tcPr>
                <w:p w14:paraId="6E787943">
                  <w:pPr>
                    <w:snapToGrid w:val="0"/>
                    <w:jc w:val="center"/>
                    <w:rPr>
                      <w:rFonts w:ascii="Times New Roman" w:hAnsi="Times New Roman" w:eastAsia="宋体" w:cs="宋体"/>
                      <w:b/>
                      <w:bCs/>
                      <w:color w:val="auto"/>
                      <w:szCs w:val="21"/>
                      <w:highlight w:val="none"/>
                    </w:rPr>
                  </w:pPr>
                </w:p>
              </w:tc>
              <w:tc>
                <w:tcPr>
                  <w:tcW w:w="624" w:type="pct"/>
                  <w:vMerge w:val="continue"/>
                  <w:vAlign w:val="center"/>
                </w:tcPr>
                <w:p w14:paraId="2E6571AA">
                  <w:pPr>
                    <w:snapToGrid w:val="0"/>
                    <w:jc w:val="center"/>
                    <w:rPr>
                      <w:rFonts w:ascii="Times New Roman" w:hAnsi="Times New Roman" w:eastAsia="宋体" w:cs="宋体"/>
                      <w:b/>
                      <w:bCs/>
                      <w:color w:val="auto"/>
                      <w:szCs w:val="21"/>
                      <w:highlight w:val="none"/>
                    </w:rPr>
                  </w:pPr>
                </w:p>
              </w:tc>
              <w:tc>
                <w:tcPr>
                  <w:tcW w:w="514" w:type="pct"/>
                  <w:vMerge w:val="continue"/>
                  <w:vAlign w:val="center"/>
                </w:tcPr>
                <w:p w14:paraId="3E2D799B">
                  <w:pPr>
                    <w:snapToGrid w:val="0"/>
                    <w:jc w:val="center"/>
                    <w:rPr>
                      <w:rFonts w:ascii="Times New Roman" w:hAnsi="Times New Roman" w:eastAsia="宋体" w:cs="宋体"/>
                      <w:b/>
                      <w:bCs/>
                      <w:color w:val="auto"/>
                      <w:szCs w:val="21"/>
                      <w:highlight w:val="none"/>
                    </w:rPr>
                  </w:pPr>
                </w:p>
              </w:tc>
              <w:tc>
                <w:tcPr>
                  <w:tcW w:w="297" w:type="pct"/>
                  <w:vMerge w:val="continue"/>
                  <w:vAlign w:val="center"/>
                </w:tcPr>
                <w:p w14:paraId="3E5E4D74">
                  <w:pPr>
                    <w:snapToGrid w:val="0"/>
                    <w:jc w:val="center"/>
                    <w:rPr>
                      <w:rFonts w:ascii="Times New Roman" w:hAnsi="Times New Roman" w:eastAsia="宋体" w:cs="宋体"/>
                      <w:b/>
                      <w:bCs/>
                      <w:color w:val="auto"/>
                      <w:szCs w:val="21"/>
                      <w:highlight w:val="none"/>
                    </w:rPr>
                  </w:pPr>
                </w:p>
              </w:tc>
            </w:tr>
            <w:tr w14:paraId="496B9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9" w:type="dxa"/>
                  <w:vAlign w:val="center"/>
                </w:tcPr>
                <w:p w14:paraId="765A27D5">
                  <w:pPr>
                    <w:pStyle w:val="51"/>
                    <w:spacing w:line="240" w:lineRule="auto"/>
                    <w:ind w:firstLine="0" w:firstLineChars="0"/>
                    <w:jc w:val="center"/>
                    <w:rPr>
                      <w:rFonts w:hint="default" w:ascii="Times New Roman" w:hAnsi="Times New Roman" w:eastAsia="宋体" w:cs="宋体"/>
                      <w:bCs/>
                      <w:color w:val="auto"/>
                      <w:sz w:val="21"/>
                      <w:szCs w:val="21"/>
                      <w:highlight w:val="none"/>
                      <w:lang w:val="en-US" w:eastAsia="zh-CN"/>
                    </w:rPr>
                  </w:pPr>
                  <w:r>
                    <w:rPr>
                      <w:rFonts w:hint="default" w:ascii="Times New Roman" w:hAnsi="Times New Roman" w:eastAsia="宋体" w:cs="宋体"/>
                      <w:bCs/>
                      <w:color w:val="auto"/>
                      <w:sz w:val="21"/>
                      <w:szCs w:val="21"/>
                      <w:highlight w:val="none"/>
                      <w:lang w:val="en-US" w:eastAsia="zh-CN"/>
                    </w:rPr>
                    <w:t>常州市金坛区金东环保工程有限公司东侧</w:t>
                  </w:r>
                </w:p>
              </w:tc>
              <w:tc>
                <w:tcPr>
                  <w:tcW w:w="1118" w:type="dxa"/>
                  <w:vAlign w:val="center"/>
                </w:tcPr>
                <w:p w14:paraId="2E9B20CD">
                  <w:pPr>
                    <w:pStyle w:val="51"/>
                    <w:spacing w:line="240" w:lineRule="auto"/>
                    <w:ind w:firstLine="0" w:firstLineChars="0"/>
                    <w:jc w:val="center"/>
                    <w:rPr>
                      <w:rFonts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非甲烷总烃</w:t>
                  </w:r>
                </w:p>
              </w:tc>
              <w:tc>
                <w:tcPr>
                  <w:tcW w:w="1040" w:type="dxa"/>
                  <w:vAlign w:val="center"/>
                </w:tcPr>
                <w:p w14:paraId="326B9FC7">
                  <w:pPr>
                    <w:pStyle w:val="51"/>
                    <w:spacing w:line="240" w:lineRule="auto"/>
                    <w:ind w:firstLine="0" w:firstLineChars="0"/>
                    <w:jc w:val="center"/>
                    <w:rPr>
                      <w:rFonts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一次值</w:t>
                  </w:r>
                </w:p>
              </w:tc>
              <w:tc>
                <w:tcPr>
                  <w:tcW w:w="1177" w:type="dxa"/>
                  <w:vAlign w:val="center"/>
                </w:tcPr>
                <w:p w14:paraId="31013043">
                  <w:pPr>
                    <w:pStyle w:val="10"/>
                    <w:adjustRightInd/>
                    <w:snapToGrid w:val="0"/>
                    <w:spacing w:line="240" w:lineRule="auto"/>
                    <w:ind w:firstLine="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2000</w:t>
                  </w:r>
                </w:p>
              </w:tc>
              <w:tc>
                <w:tcPr>
                  <w:tcW w:w="1206" w:type="dxa"/>
                  <w:vAlign w:val="center"/>
                </w:tcPr>
                <w:p w14:paraId="72F324EF">
                  <w:pPr>
                    <w:pStyle w:val="51"/>
                    <w:spacing w:line="240" w:lineRule="auto"/>
                    <w:ind w:firstLine="0" w:firstLineChars="0"/>
                    <w:jc w:val="center"/>
                    <w:rPr>
                      <w:rFonts w:ascii="Times New Roman" w:hAnsi="Times New Roman" w:eastAsia="宋体" w:cs="宋体"/>
                      <w:bCs/>
                      <w:color w:val="auto"/>
                      <w:sz w:val="21"/>
                      <w:szCs w:val="21"/>
                      <w:highlight w:val="none"/>
                    </w:rPr>
                  </w:pPr>
                  <w:r>
                    <w:rPr>
                      <w:rFonts w:hint="eastAsia" w:cs="宋体"/>
                      <w:bCs/>
                      <w:color w:val="auto"/>
                      <w:sz w:val="21"/>
                      <w:szCs w:val="21"/>
                      <w:highlight w:val="none"/>
                      <w:lang w:val="en-US" w:eastAsia="zh-CN"/>
                    </w:rPr>
                    <w:t>11</w:t>
                  </w:r>
                  <w:r>
                    <w:rPr>
                      <w:rFonts w:hint="eastAsia" w:ascii="Times New Roman" w:hAnsi="Times New Roman" w:eastAsia="宋体" w:cs="宋体"/>
                      <w:bCs/>
                      <w:color w:val="auto"/>
                      <w:sz w:val="21"/>
                      <w:szCs w:val="21"/>
                      <w:highlight w:val="none"/>
                    </w:rPr>
                    <w:t>0~6</w:t>
                  </w:r>
                  <w:r>
                    <w:rPr>
                      <w:rFonts w:hint="eastAsia" w:cs="宋体"/>
                      <w:bCs/>
                      <w:color w:val="auto"/>
                      <w:sz w:val="21"/>
                      <w:szCs w:val="21"/>
                      <w:highlight w:val="none"/>
                      <w:lang w:val="en-US" w:eastAsia="zh-CN"/>
                    </w:rPr>
                    <w:t>3</w:t>
                  </w:r>
                  <w:r>
                    <w:rPr>
                      <w:rFonts w:hint="eastAsia" w:ascii="Times New Roman" w:hAnsi="Times New Roman" w:eastAsia="宋体" w:cs="宋体"/>
                      <w:bCs/>
                      <w:color w:val="auto"/>
                      <w:sz w:val="21"/>
                      <w:szCs w:val="21"/>
                      <w:highlight w:val="none"/>
                    </w:rPr>
                    <w:t>0</w:t>
                  </w:r>
                </w:p>
              </w:tc>
              <w:tc>
                <w:tcPr>
                  <w:tcW w:w="996" w:type="dxa"/>
                  <w:vAlign w:val="center"/>
                </w:tcPr>
                <w:p w14:paraId="12C97C94">
                  <w:pPr>
                    <w:pStyle w:val="51"/>
                    <w:spacing w:line="240" w:lineRule="auto"/>
                    <w:ind w:firstLine="0" w:firstLineChars="0"/>
                    <w:jc w:val="center"/>
                    <w:rPr>
                      <w:rFonts w:hint="default" w:ascii="Times New Roman" w:hAnsi="Times New Roman" w:eastAsia="宋体" w:cs="宋体"/>
                      <w:bCs/>
                      <w:color w:val="auto"/>
                      <w:sz w:val="21"/>
                      <w:szCs w:val="21"/>
                      <w:highlight w:val="none"/>
                      <w:lang w:val="en-US" w:eastAsia="zh-CN"/>
                    </w:rPr>
                  </w:pPr>
                  <w:r>
                    <w:rPr>
                      <w:rFonts w:hint="eastAsia" w:cs="宋体"/>
                      <w:bCs/>
                      <w:color w:val="auto"/>
                      <w:sz w:val="21"/>
                      <w:szCs w:val="21"/>
                      <w:highlight w:val="none"/>
                      <w:lang w:val="en-US" w:eastAsia="zh-CN"/>
                    </w:rPr>
                    <w:t>31.5</w:t>
                  </w:r>
                </w:p>
              </w:tc>
              <w:tc>
                <w:tcPr>
                  <w:tcW w:w="820" w:type="dxa"/>
                  <w:vAlign w:val="center"/>
                </w:tcPr>
                <w:p w14:paraId="1CFED045">
                  <w:pPr>
                    <w:pStyle w:val="51"/>
                    <w:spacing w:line="240" w:lineRule="auto"/>
                    <w:ind w:firstLine="0" w:firstLineChars="0"/>
                    <w:jc w:val="center"/>
                    <w:rPr>
                      <w:rFonts w:ascii="Times New Roman" w:hAnsi="Times New Roman" w:eastAsia="宋体" w:cs="宋体"/>
                      <w:bCs/>
                      <w:color w:val="auto"/>
                      <w:sz w:val="21"/>
                      <w:szCs w:val="21"/>
                      <w:highlight w:val="none"/>
                    </w:rPr>
                  </w:pPr>
                  <w:r>
                    <w:rPr>
                      <w:rFonts w:ascii="Times New Roman" w:hAnsi="Times New Roman" w:eastAsia="宋体" w:cs="宋体"/>
                      <w:bCs/>
                      <w:color w:val="auto"/>
                      <w:sz w:val="21"/>
                      <w:szCs w:val="21"/>
                      <w:highlight w:val="none"/>
                    </w:rPr>
                    <w:t>0</w:t>
                  </w:r>
                </w:p>
              </w:tc>
              <w:tc>
                <w:tcPr>
                  <w:tcW w:w="475" w:type="dxa"/>
                  <w:vAlign w:val="center"/>
                </w:tcPr>
                <w:p w14:paraId="7A88E46A">
                  <w:pPr>
                    <w:pStyle w:val="51"/>
                    <w:spacing w:line="240" w:lineRule="auto"/>
                    <w:ind w:firstLine="0" w:firstLineChars="0"/>
                    <w:jc w:val="center"/>
                    <w:rPr>
                      <w:rFonts w:ascii="Times New Roman" w:hAnsi="Times New Roman" w:eastAsia="宋体" w:cs="宋体"/>
                      <w:bCs/>
                      <w:color w:val="auto"/>
                      <w:sz w:val="21"/>
                      <w:szCs w:val="21"/>
                      <w:highlight w:val="none"/>
                    </w:rPr>
                  </w:pPr>
                  <w:r>
                    <w:rPr>
                      <w:rFonts w:ascii="Times New Roman" w:hAnsi="Times New Roman" w:eastAsia="宋体" w:cs="宋体"/>
                      <w:bCs/>
                      <w:color w:val="auto"/>
                      <w:sz w:val="21"/>
                      <w:szCs w:val="21"/>
                      <w:highlight w:val="none"/>
                    </w:rPr>
                    <w:t>达标</w:t>
                  </w:r>
                </w:p>
              </w:tc>
            </w:tr>
          </w:tbl>
          <w:p w14:paraId="5F2722C4">
            <w:pPr>
              <w:spacing w:line="360" w:lineRule="auto"/>
              <w:ind w:firstLine="504" w:firstLineChars="200"/>
              <w:rPr>
                <w:rFonts w:ascii="Times New Roman" w:hAnsi="Times New Roman" w:eastAsia="宋体" w:cs="宋体"/>
                <w:color w:val="auto"/>
                <w:sz w:val="24"/>
                <w:highlight w:val="none"/>
              </w:rPr>
            </w:pPr>
            <w:r>
              <w:rPr>
                <w:rFonts w:ascii="Times New Roman" w:hAnsi="Times New Roman" w:eastAsia="宋体" w:cs="宋体"/>
                <w:color w:val="auto"/>
                <w:spacing w:val="6"/>
                <w:sz w:val="24"/>
                <w:highlight w:val="none"/>
              </w:rPr>
              <w:t>监测</w:t>
            </w:r>
            <w:r>
              <w:rPr>
                <w:rFonts w:hint="eastAsia" w:ascii="Times New Roman" w:hAnsi="Times New Roman" w:eastAsia="宋体" w:cs="宋体"/>
                <w:color w:val="auto"/>
                <w:spacing w:val="6"/>
                <w:sz w:val="24"/>
                <w:highlight w:val="none"/>
              </w:rPr>
              <w:t>结果</w:t>
            </w:r>
            <w:r>
              <w:rPr>
                <w:rFonts w:ascii="Times New Roman" w:hAnsi="Times New Roman" w:eastAsia="宋体" w:cs="宋体"/>
                <w:color w:val="auto"/>
                <w:spacing w:val="6"/>
                <w:sz w:val="24"/>
                <w:highlight w:val="none"/>
              </w:rPr>
              <w:t>表明，</w:t>
            </w:r>
            <w:r>
              <w:rPr>
                <w:rFonts w:hint="eastAsia" w:ascii="Times New Roman" w:hAnsi="Times New Roman" w:eastAsia="宋体" w:cs="宋体"/>
                <w:color w:val="auto"/>
                <w:sz w:val="24"/>
                <w:highlight w:val="none"/>
              </w:rPr>
              <w:t>非甲烷总烃达到</w:t>
            </w:r>
            <w:r>
              <w:rPr>
                <w:rFonts w:ascii="Times New Roman" w:hAnsi="Times New Roman" w:eastAsia="宋体" w:cs="宋体"/>
                <w:color w:val="auto"/>
                <w:sz w:val="24"/>
                <w:highlight w:val="none"/>
              </w:rPr>
              <w:t>《大气污染物综合排放标准详解》</w:t>
            </w:r>
            <w:r>
              <w:rPr>
                <w:rFonts w:hint="eastAsia" w:ascii="Times New Roman" w:hAnsi="Times New Roman" w:eastAsia="宋体" w:cs="宋体"/>
                <w:color w:val="auto"/>
                <w:sz w:val="24"/>
                <w:highlight w:val="none"/>
              </w:rPr>
              <w:t>（国家环境保护局科技标准司）</w:t>
            </w:r>
            <w:r>
              <w:rPr>
                <w:rFonts w:ascii="Times New Roman" w:hAnsi="Times New Roman" w:eastAsia="宋体" w:cs="宋体"/>
                <w:color w:val="auto"/>
                <w:sz w:val="24"/>
                <w:highlight w:val="none"/>
              </w:rPr>
              <w:t>中推荐数值</w:t>
            </w:r>
            <w:r>
              <w:rPr>
                <w:rFonts w:ascii="Times New Roman" w:hAnsi="Times New Roman" w:eastAsia="宋体" w:cs="宋体"/>
                <w:bCs/>
                <w:color w:val="auto"/>
                <w:kern w:val="0"/>
                <w:sz w:val="24"/>
                <w:highlight w:val="none"/>
              </w:rPr>
              <w:t>。</w:t>
            </w:r>
          </w:p>
          <w:p w14:paraId="651B3596">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2</w:t>
            </w:r>
            <w:r>
              <w:rPr>
                <w:rFonts w:ascii="Times New Roman" w:hAnsi="Times New Roman" w:eastAsia="宋体" w:cs="宋体"/>
                <w:b/>
                <w:bCs/>
                <w:color w:val="auto"/>
                <w:sz w:val="24"/>
                <w:highlight w:val="none"/>
              </w:rPr>
              <w:t>、地表水环境质量现状</w:t>
            </w:r>
          </w:p>
          <w:p w14:paraId="134D0EB4">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根据</w:t>
            </w:r>
            <w:r>
              <w:rPr>
                <w:rFonts w:ascii="Times New Roman" w:hAnsi="Times New Roman" w:eastAsia="宋体" w:cs="宋体"/>
                <w:color w:val="auto"/>
                <w:spacing w:val="6"/>
                <w:sz w:val="24"/>
                <w:highlight w:val="none"/>
              </w:rPr>
              <w:t>《</w:t>
            </w:r>
            <w:r>
              <w:rPr>
                <w:rFonts w:hint="eastAsia" w:ascii="Times New Roman" w:hAnsi="Times New Roman" w:eastAsia="宋体" w:cs="宋体"/>
                <w:color w:val="auto"/>
                <w:spacing w:val="6"/>
                <w:sz w:val="24"/>
                <w:highlight w:val="none"/>
              </w:rPr>
              <w:t>2023年常州市生态环境状况公报</w:t>
            </w:r>
            <w:r>
              <w:rPr>
                <w:rFonts w:ascii="Times New Roman" w:hAnsi="Times New Roman" w:eastAsia="宋体" w:cs="宋体"/>
                <w:color w:val="auto"/>
                <w:spacing w:val="6"/>
                <w:sz w:val="24"/>
                <w:highlight w:val="none"/>
              </w:rPr>
              <w:t>》</w:t>
            </w:r>
            <w:r>
              <w:rPr>
                <w:rFonts w:hint="eastAsia" w:ascii="Times New Roman" w:hAnsi="Times New Roman" w:eastAsia="宋体" w:cs="宋体"/>
                <w:color w:val="auto"/>
                <w:kern w:val="0"/>
                <w:sz w:val="24"/>
                <w:highlight w:val="none"/>
              </w:rPr>
              <w:t>，2023年，常州市纳入“十四五”国家地表水环境质量考核的20个断面，年均水质达到或好于《地表水环境质量标准》（GB3838-2002）Ⅲ类标准的断面比例为85%（年度考核目标80%），无劣Ⅴ类断面。纳入江苏省“十四五”水环境质量目标考核的51个断面，年均水质达到或好于Ⅲ类的比例为94.1%（年度考核目标92.2%），无劣Ⅴ类断面。</w:t>
            </w:r>
          </w:p>
          <w:p w14:paraId="1AEC3A18">
            <w:pPr>
              <w:autoSpaceDE w:val="0"/>
              <w:autoSpaceDN w:val="0"/>
              <w:spacing w:line="360" w:lineRule="auto"/>
              <w:ind w:firstLine="504" w:firstLineChars="200"/>
              <w:rPr>
                <w:rFonts w:ascii="Times New Roman" w:hAnsi="Times New Roman" w:eastAsia="宋体" w:cs="宋体"/>
                <w:color w:val="auto"/>
                <w:spacing w:val="6"/>
                <w:sz w:val="24"/>
                <w:highlight w:val="none"/>
              </w:rPr>
            </w:pPr>
            <w:r>
              <w:rPr>
                <w:rFonts w:hint="eastAsia" w:ascii="Times New Roman" w:hAnsi="Times New Roman" w:eastAsia="宋体" w:cs="宋体"/>
                <w:color w:val="auto"/>
                <w:spacing w:val="6"/>
                <w:sz w:val="24"/>
                <w:highlight w:val="none"/>
              </w:rPr>
              <w:t>本项目污水最终受纳水体</w:t>
            </w:r>
            <w:r>
              <w:rPr>
                <w:rFonts w:hint="eastAsia" w:cs="宋体"/>
                <w:color w:val="auto"/>
                <w:spacing w:val="6"/>
                <w:sz w:val="24"/>
                <w:highlight w:val="none"/>
                <w:lang w:eastAsia="zh-CN"/>
              </w:rPr>
              <w:t>尧塘河</w:t>
            </w:r>
            <w:r>
              <w:rPr>
                <w:rFonts w:hint="eastAsia" w:ascii="Times New Roman" w:hAnsi="Times New Roman" w:eastAsia="宋体" w:cs="宋体"/>
                <w:color w:val="auto"/>
                <w:spacing w:val="6"/>
                <w:sz w:val="24"/>
                <w:highlight w:val="none"/>
              </w:rPr>
              <w:t>水质现状引用</w:t>
            </w:r>
            <w:r>
              <w:rPr>
                <w:rFonts w:hint="eastAsia" w:ascii="Times New Roman" w:hAnsi="Times New Roman" w:eastAsia="宋体" w:cs="宋体"/>
                <w:color w:val="auto"/>
                <w:kern w:val="0"/>
                <w:sz w:val="24"/>
                <w:highlight w:val="none"/>
              </w:rPr>
              <w:t>《</w:t>
            </w:r>
            <w:r>
              <w:rPr>
                <w:rFonts w:hint="eastAsia" w:cs="宋体"/>
                <w:bCs/>
                <w:color w:val="auto"/>
                <w:kern w:val="0"/>
                <w:sz w:val="24"/>
                <w:highlight w:val="none"/>
                <w:lang w:val="en-US" w:eastAsia="zh-CN"/>
              </w:rPr>
              <w:t>江苏思研轴承制造</w:t>
            </w:r>
            <w:r>
              <w:rPr>
                <w:rFonts w:hint="eastAsia" w:ascii="Times New Roman" w:hAnsi="Times New Roman" w:eastAsia="宋体" w:cs="宋体"/>
                <w:bCs/>
                <w:color w:val="auto"/>
                <w:kern w:val="0"/>
                <w:sz w:val="24"/>
                <w:highlight w:val="none"/>
                <w:lang w:val="en-US" w:eastAsia="zh-CN"/>
              </w:rPr>
              <w:t>有限公司</w:t>
            </w:r>
            <w:r>
              <w:rPr>
                <w:rFonts w:hint="eastAsia" w:ascii="Times New Roman" w:hAnsi="Times New Roman" w:eastAsia="宋体" w:cs="宋体"/>
                <w:color w:val="auto"/>
                <w:kern w:val="0"/>
                <w:sz w:val="24"/>
                <w:highlight w:val="none"/>
              </w:rPr>
              <w:t>》（编号：</w:t>
            </w:r>
            <w:r>
              <w:rPr>
                <w:rFonts w:hint="eastAsia" w:ascii="Times New Roman" w:hAnsi="Times New Roman" w:eastAsia="宋体" w:cs="宋体"/>
                <w:bCs/>
                <w:color w:val="auto"/>
                <w:kern w:val="0"/>
                <w:sz w:val="24"/>
                <w:highlight w:val="none"/>
              </w:rPr>
              <w:t>JCH202</w:t>
            </w:r>
            <w:r>
              <w:rPr>
                <w:rFonts w:hint="eastAsia" w:cs="宋体"/>
                <w:bCs/>
                <w:color w:val="auto"/>
                <w:kern w:val="0"/>
                <w:sz w:val="24"/>
                <w:highlight w:val="none"/>
                <w:lang w:val="en-US" w:eastAsia="zh-CN"/>
              </w:rPr>
              <w:t>4</w:t>
            </w:r>
            <w:r>
              <w:rPr>
                <w:rFonts w:hint="eastAsia" w:ascii="Times New Roman" w:hAnsi="Times New Roman" w:eastAsia="宋体" w:cs="宋体"/>
                <w:bCs/>
                <w:color w:val="auto"/>
                <w:kern w:val="0"/>
                <w:sz w:val="24"/>
                <w:highlight w:val="none"/>
                <w:lang w:val="en-US" w:eastAsia="zh-CN"/>
              </w:rPr>
              <w:t>0</w:t>
            </w:r>
            <w:r>
              <w:rPr>
                <w:rFonts w:hint="eastAsia" w:cs="宋体"/>
                <w:bCs/>
                <w:color w:val="auto"/>
                <w:kern w:val="0"/>
                <w:sz w:val="24"/>
                <w:highlight w:val="none"/>
                <w:lang w:val="en-US" w:eastAsia="zh-CN"/>
              </w:rPr>
              <w:t>264</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spacing w:val="6"/>
                <w:sz w:val="24"/>
                <w:highlight w:val="none"/>
              </w:rPr>
              <w:t>，</w:t>
            </w:r>
            <w:r>
              <w:rPr>
                <w:rFonts w:hint="eastAsia" w:ascii="Times New Roman" w:hAnsi="Times New Roman" w:eastAsia="宋体"/>
                <w:smallCaps w:val="0"/>
                <w:color w:val="auto"/>
                <w:spacing w:val="6"/>
                <w:sz w:val="24"/>
                <w:szCs w:val="24"/>
                <w:highlight w:val="none"/>
              </w:rPr>
              <w:t>引用W1断面为</w:t>
            </w:r>
            <w:r>
              <w:rPr>
                <w:rFonts w:hint="eastAsia"/>
                <w:bCs/>
                <w:smallCaps w:val="0"/>
                <w:color w:val="auto"/>
                <w:sz w:val="24"/>
                <w:szCs w:val="32"/>
                <w:highlight w:val="none"/>
                <w:lang w:eastAsia="zh-CN"/>
              </w:rPr>
              <w:t>金坛第二污水处理厂</w:t>
            </w:r>
            <w:r>
              <w:rPr>
                <w:rFonts w:hint="eastAsia" w:ascii="Times New Roman" w:hAnsi="Times New Roman" w:eastAsia="宋体"/>
                <w:smallCaps w:val="0"/>
                <w:color w:val="auto"/>
                <w:spacing w:val="6"/>
                <w:sz w:val="24"/>
                <w:szCs w:val="24"/>
                <w:highlight w:val="none"/>
              </w:rPr>
              <w:t>排放口上游500m，W</w:t>
            </w:r>
            <w:r>
              <w:rPr>
                <w:rFonts w:hint="eastAsia"/>
                <w:smallCaps w:val="0"/>
                <w:color w:val="auto"/>
                <w:spacing w:val="6"/>
                <w:sz w:val="24"/>
                <w:szCs w:val="24"/>
                <w:highlight w:val="none"/>
                <w:lang w:val="en-US" w:eastAsia="zh-CN"/>
              </w:rPr>
              <w:t>2</w:t>
            </w:r>
            <w:r>
              <w:rPr>
                <w:rFonts w:hint="eastAsia" w:ascii="Times New Roman" w:hAnsi="Times New Roman" w:eastAsia="宋体"/>
                <w:smallCaps w:val="0"/>
                <w:color w:val="auto"/>
                <w:spacing w:val="6"/>
                <w:sz w:val="24"/>
                <w:szCs w:val="24"/>
                <w:highlight w:val="none"/>
              </w:rPr>
              <w:t>断面为</w:t>
            </w:r>
            <w:r>
              <w:rPr>
                <w:rFonts w:hint="eastAsia"/>
                <w:bCs/>
                <w:smallCaps w:val="0"/>
                <w:color w:val="auto"/>
                <w:sz w:val="24"/>
                <w:szCs w:val="32"/>
                <w:highlight w:val="none"/>
                <w:lang w:eastAsia="zh-CN"/>
              </w:rPr>
              <w:t>金坛第二污水处理厂</w:t>
            </w:r>
            <w:r>
              <w:rPr>
                <w:rFonts w:hint="eastAsia" w:ascii="Times New Roman" w:hAnsi="Times New Roman" w:eastAsia="宋体"/>
                <w:bCs/>
                <w:smallCaps w:val="0"/>
                <w:color w:val="auto"/>
                <w:sz w:val="24"/>
                <w:szCs w:val="32"/>
                <w:highlight w:val="none"/>
              </w:rPr>
              <w:t>排口</w:t>
            </w:r>
            <w:r>
              <w:rPr>
                <w:rFonts w:hint="eastAsia" w:ascii="Times New Roman" w:hAnsi="Times New Roman" w:eastAsia="宋体"/>
                <w:smallCaps w:val="0"/>
                <w:color w:val="auto"/>
                <w:spacing w:val="6"/>
                <w:sz w:val="24"/>
                <w:szCs w:val="24"/>
                <w:highlight w:val="none"/>
              </w:rPr>
              <w:t>下游</w:t>
            </w:r>
            <w:r>
              <w:rPr>
                <w:rFonts w:hint="eastAsia"/>
                <w:smallCaps w:val="0"/>
                <w:color w:val="auto"/>
                <w:spacing w:val="6"/>
                <w:sz w:val="24"/>
                <w:szCs w:val="24"/>
                <w:highlight w:val="none"/>
                <w:lang w:val="en-US" w:eastAsia="zh-CN"/>
              </w:rPr>
              <w:t>20</w:t>
            </w:r>
            <w:r>
              <w:rPr>
                <w:rFonts w:hint="eastAsia" w:ascii="Times New Roman" w:hAnsi="Times New Roman" w:eastAsia="宋体"/>
                <w:smallCaps w:val="0"/>
                <w:color w:val="auto"/>
                <w:spacing w:val="6"/>
                <w:sz w:val="24"/>
                <w:szCs w:val="24"/>
                <w:highlight w:val="none"/>
              </w:rPr>
              <w:t>00m，引用因子为pH、COD、NH</w:t>
            </w:r>
            <w:r>
              <w:rPr>
                <w:rFonts w:hint="eastAsia" w:ascii="Times New Roman" w:hAnsi="Times New Roman" w:eastAsia="宋体"/>
                <w:smallCaps w:val="0"/>
                <w:color w:val="auto"/>
                <w:spacing w:val="6"/>
                <w:sz w:val="24"/>
                <w:szCs w:val="24"/>
                <w:highlight w:val="none"/>
                <w:vertAlign w:val="subscript"/>
              </w:rPr>
              <w:t>3</w:t>
            </w:r>
            <w:r>
              <w:rPr>
                <w:rFonts w:hint="eastAsia" w:ascii="Times New Roman" w:hAnsi="Times New Roman" w:eastAsia="宋体"/>
                <w:smallCaps w:val="0"/>
                <w:color w:val="auto"/>
                <w:spacing w:val="6"/>
                <w:sz w:val="24"/>
                <w:szCs w:val="24"/>
                <w:highlight w:val="none"/>
              </w:rPr>
              <w:t>-N、TP</w:t>
            </w:r>
            <w:r>
              <w:rPr>
                <w:rFonts w:hint="eastAsia"/>
                <w:smallCaps w:val="0"/>
                <w:color w:val="auto"/>
                <w:spacing w:val="6"/>
                <w:sz w:val="24"/>
                <w:szCs w:val="24"/>
                <w:highlight w:val="none"/>
                <w:lang w:eastAsia="zh-CN"/>
              </w:rPr>
              <w:t>、</w:t>
            </w:r>
            <w:r>
              <w:rPr>
                <w:rFonts w:hint="eastAsia"/>
                <w:smallCaps w:val="0"/>
                <w:color w:val="auto"/>
                <w:spacing w:val="6"/>
                <w:sz w:val="24"/>
                <w:szCs w:val="24"/>
                <w:highlight w:val="none"/>
                <w:lang w:val="en-US" w:eastAsia="zh-CN"/>
              </w:rPr>
              <w:t>TN</w:t>
            </w:r>
            <w:r>
              <w:rPr>
                <w:rFonts w:hint="eastAsia" w:ascii="Times New Roman" w:hAnsi="Times New Roman" w:eastAsia="宋体"/>
                <w:smallCaps w:val="0"/>
                <w:color w:val="auto"/>
                <w:spacing w:val="6"/>
                <w:sz w:val="24"/>
                <w:szCs w:val="24"/>
                <w:highlight w:val="none"/>
              </w:rPr>
              <w:t>，时间为202</w:t>
            </w:r>
            <w:r>
              <w:rPr>
                <w:rFonts w:hint="eastAsia"/>
                <w:smallCaps w:val="0"/>
                <w:color w:val="auto"/>
                <w:spacing w:val="6"/>
                <w:sz w:val="24"/>
                <w:szCs w:val="24"/>
                <w:highlight w:val="none"/>
                <w:lang w:val="en-US" w:eastAsia="zh-CN"/>
              </w:rPr>
              <w:t>4</w:t>
            </w:r>
            <w:r>
              <w:rPr>
                <w:rFonts w:hint="eastAsia" w:ascii="Times New Roman" w:hAnsi="Times New Roman" w:eastAsia="宋体"/>
                <w:smallCaps w:val="0"/>
                <w:color w:val="auto"/>
                <w:spacing w:val="6"/>
                <w:sz w:val="24"/>
                <w:szCs w:val="24"/>
                <w:highlight w:val="none"/>
              </w:rPr>
              <w:t>年</w:t>
            </w:r>
            <w:r>
              <w:rPr>
                <w:rFonts w:hint="eastAsia"/>
                <w:smallCaps w:val="0"/>
                <w:color w:val="auto"/>
                <w:spacing w:val="6"/>
                <w:sz w:val="24"/>
                <w:szCs w:val="24"/>
                <w:highlight w:val="none"/>
                <w:lang w:val="en-US" w:eastAsia="zh-CN"/>
              </w:rPr>
              <w:t>5</w:t>
            </w:r>
            <w:r>
              <w:rPr>
                <w:rFonts w:hint="eastAsia" w:ascii="Times New Roman" w:hAnsi="Times New Roman" w:eastAsia="宋体"/>
                <w:smallCaps w:val="0"/>
                <w:color w:val="auto"/>
                <w:spacing w:val="6"/>
                <w:sz w:val="24"/>
                <w:szCs w:val="24"/>
                <w:highlight w:val="none"/>
              </w:rPr>
              <w:t>月</w:t>
            </w:r>
            <w:r>
              <w:rPr>
                <w:rFonts w:hint="eastAsia"/>
                <w:smallCaps w:val="0"/>
                <w:color w:val="auto"/>
                <w:spacing w:val="6"/>
                <w:sz w:val="24"/>
                <w:szCs w:val="24"/>
                <w:highlight w:val="none"/>
                <w:lang w:val="en-US" w:eastAsia="zh-CN"/>
              </w:rPr>
              <w:t>31</w:t>
            </w:r>
            <w:r>
              <w:rPr>
                <w:rFonts w:hint="eastAsia" w:ascii="Times New Roman" w:hAnsi="Times New Roman" w:eastAsia="宋体"/>
                <w:smallCaps w:val="0"/>
                <w:color w:val="auto"/>
                <w:spacing w:val="6"/>
                <w:sz w:val="24"/>
                <w:szCs w:val="24"/>
                <w:highlight w:val="none"/>
              </w:rPr>
              <w:t>日</w:t>
            </w:r>
            <w:r>
              <w:rPr>
                <w:rFonts w:hint="eastAsia" w:ascii="Times New Roman" w:hAnsi="Times New Roman" w:eastAsia="宋体"/>
                <w:smallCaps w:val="0"/>
                <w:color w:val="auto"/>
                <w:spacing w:val="6"/>
                <w:sz w:val="24"/>
                <w:szCs w:val="24"/>
                <w:highlight w:val="none"/>
                <w:lang w:eastAsia="zh-CN"/>
              </w:rPr>
              <w:t>~</w:t>
            </w:r>
            <w:r>
              <w:rPr>
                <w:rFonts w:hint="eastAsia" w:ascii="Times New Roman" w:hAnsi="Times New Roman" w:eastAsia="宋体"/>
                <w:smallCaps w:val="0"/>
                <w:color w:val="auto"/>
                <w:spacing w:val="6"/>
                <w:sz w:val="24"/>
                <w:szCs w:val="24"/>
                <w:highlight w:val="none"/>
              </w:rPr>
              <w:t>202</w:t>
            </w:r>
            <w:r>
              <w:rPr>
                <w:rFonts w:hint="eastAsia"/>
                <w:smallCaps w:val="0"/>
                <w:color w:val="auto"/>
                <w:spacing w:val="6"/>
                <w:sz w:val="24"/>
                <w:szCs w:val="24"/>
                <w:highlight w:val="none"/>
                <w:lang w:val="en-US" w:eastAsia="zh-CN"/>
              </w:rPr>
              <w:t>4</w:t>
            </w:r>
            <w:r>
              <w:rPr>
                <w:rFonts w:hint="eastAsia" w:ascii="Times New Roman" w:hAnsi="Times New Roman" w:eastAsia="宋体"/>
                <w:smallCaps w:val="0"/>
                <w:color w:val="auto"/>
                <w:spacing w:val="6"/>
                <w:sz w:val="24"/>
                <w:szCs w:val="24"/>
                <w:highlight w:val="none"/>
              </w:rPr>
              <w:t>年</w:t>
            </w:r>
            <w:r>
              <w:rPr>
                <w:rFonts w:hint="eastAsia"/>
                <w:smallCaps w:val="0"/>
                <w:color w:val="auto"/>
                <w:spacing w:val="6"/>
                <w:sz w:val="24"/>
                <w:szCs w:val="24"/>
                <w:highlight w:val="none"/>
                <w:lang w:val="en-US" w:eastAsia="zh-CN"/>
              </w:rPr>
              <w:t>6</w:t>
            </w:r>
            <w:r>
              <w:rPr>
                <w:rFonts w:hint="eastAsia" w:ascii="Times New Roman" w:hAnsi="Times New Roman" w:eastAsia="宋体"/>
                <w:smallCaps w:val="0"/>
                <w:color w:val="auto"/>
                <w:spacing w:val="6"/>
                <w:sz w:val="24"/>
                <w:szCs w:val="24"/>
                <w:highlight w:val="none"/>
              </w:rPr>
              <w:t>月</w:t>
            </w:r>
            <w:r>
              <w:rPr>
                <w:rFonts w:hint="eastAsia"/>
                <w:smallCaps w:val="0"/>
                <w:color w:val="auto"/>
                <w:spacing w:val="6"/>
                <w:sz w:val="24"/>
                <w:szCs w:val="24"/>
                <w:highlight w:val="none"/>
                <w:lang w:val="en-US" w:eastAsia="zh-CN"/>
              </w:rPr>
              <w:t>4</w:t>
            </w:r>
            <w:r>
              <w:rPr>
                <w:rFonts w:hint="eastAsia" w:ascii="Times New Roman" w:hAnsi="Times New Roman" w:eastAsia="宋体"/>
                <w:smallCaps w:val="0"/>
                <w:color w:val="auto"/>
                <w:spacing w:val="6"/>
                <w:sz w:val="24"/>
                <w:szCs w:val="24"/>
                <w:highlight w:val="none"/>
              </w:rPr>
              <w:t>日，引用可行性分析：监测数据距今尚在</w:t>
            </w:r>
            <w:r>
              <w:rPr>
                <w:rFonts w:ascii="Times New Roman" w:hAnsi="Times New Roman" w:eastAsia="宋体"/>
                <w:smallCaps w:val="0"/>
                <w:color w:val="auto"/>
                <w:spacing w:val="6"/>
                <w:sz w:val="24"/>
                <w:szCs w:val="24"/>
                <w:highlight w:val="none"/>
              </w:rPr>
              <w:t>3</w:t>
            </w:r>
            <w:r>
              <w:rPr>
                <w:rFonts w:hint="eastAsia" w:ascii="Times New Roman" w:hAnsi="Times New Roman" w:eastAsia="宋体"/>
                <w:smallCaps w:val="0"/>
                <w:color w:val="auto"/>
                <w:spacing w:val="6"/>
                <w:sz w:val="24"/>
                <w:szCs w:val="24"/>
                <w:highlight w:val="none"/>
              </w:rPr>
              <w:t>年有效期内，引用断面位于本项目地表水评价范围内</w:t>
            </w:r>
            <w:r>
              <w:rPr>
                <w:rFonts w:hint="eastAsia" w:ascii="Times New Roman" w:hAnsi="Times New Roman" w:eastAsia="宋体" w:cs="宋体"/>
                <w:color w:val="auto"/>
                <w:spacing w:val="6"/>
                <w:sz w:val="24"/>
                <w:highlight w:val="none"/>
              </w:rPr>
              <w:t>。</w:t>
            </w:r>
          </w:p>
          <w:p w14:paraId="7DE5DC5D">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表3</w:t>
            </w:r>
            <w:r>
              <w:rPr>
                <w:rFonts w:hint="eastAsia" w:ascii="Times New Roman" w:hAnsi="Times New Roman" w:eastAsia="宋体" w:cs="宋体"/>
                <w:b/>
                <w:bCs/>
                <w:color w:val="auto"/>
                <w:spacing w:val="-4"/>
                <w:szCs w:val="21"/>
                <w:highlight w:val="none"/>
              </w:rPr>
              <w:t xml:space="preserve">.1-3  </w:t>
            </w:r>
            <w:r>
              <w:rPr>
                <w:rFonts w:ascii="Times New Roman" w:hAnsi="Times New Roman" w:eastAsia="宋体" w:cs="宋体"/>
                <w:b/>
                <w:bCs/>
                <w:color w:val="auto"/>
                <w:spacing w:val="-4"/>
                <w:szCs w:val="21"/>
                <w:highlight w:val="none"/>
              </w:rPr>
              <w:t>地表水</w:t>
            </w:r>
            <w:r>
              <w:rPr>
                <w:rFonts w:hint="eastAsia" w:ascii="Times New Roman" w:hAnsi="Times New Roman" w:eastAsia="宋体" w:cs="宋体"/>
                <w:b/>
                <w:bCs/>
                <w:color w:val="auto"/>
                <w:spacing w:val="-4"/>
                <w:szCs w:val="21"/>
                <w:highlight w:val="none"/>
              </w:rPr>
              <w:t xml:space="preserve">环境质量现状  </w:t>
            </w:r>
            <w:r>
              <w:rPr>
                <w:rFonts w:ascii="Times New Roman" w:hAnsi="Times New Roman" w:eastAsia="宋体" w:cs="宋体"/>
                <w:b/>
                <w:bCs/>
                <w:color w:val="auto"/>
                <w:spacing w:val="-4"/>
                <w:szCs w:val="21"/>
                <w:highlight w:val="none"/>
              </w:rPr>
              <w:t>单位：mg/L，pH无量纲</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63"/>
              <w:gridCol w:w="2320"/>
              <w:gridCol w:w="1469"/>
              <w:gridCol w:w="1544"/>
              <w:gridCol w:w="611"/>
              <w:gridCol w:w="867"/>
            </w:tblGrid>
            <w:tr w14:paraId="1F79C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Align w:val="center"/>
                </w:tcPr>
                <w:p w14:paraId="0AD048CC">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测点编号</w:t>
                  </w:r>
                </w:p>
              </w:tc>
              <w:tc>
                <w:tcPr>
                  <w:tcW w:w="1454" w:type="pct"/>
                  <w:vAlign w:val="center"/>
                </w:tcPr>
                <w:p w14:paraId="7BB51C41">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测点名称</w:t>
                  </w:r>
                </w:p>
              </w:tc>
              <w:tc>
                <w:tcPr>
                  <w:tcW w:w="921" w:type="pct"/>
                  <w:vAlign w:val="center"/>
                </w:tcPr>
                <w:p w14:paraId="2C13E699">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污染物名称</w:t>
                  </w:r>
                </w:p>
              </w:tc>
              <w:tc>
                <w:tcPr>
                  <w:tcW w:w="968" w:type="pct"/>
                  <w:vAlign w:val="center"/>
                </w:tcPr>
                <w:p w14:paraId="5F64100E">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浓度范围</w:t>
                  </w:r>
                </w:p>
              </w:tc>
              <w:tc>
                <w:tcPr>
                  <w:tcW w:w="383" w:type="pct"/>
                  <w:vAlign w:val="center"/>
                </w:tcPr>
                <w:p w14:paraId="2B5EE6E3">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标准</w:t>
                  </w:r>
                </w:p>
              </w:tc>
              <w:tc>
                <w:tcPr>
                  <w:tcW w:w="543" w:type="pct"/>
                  <w:vAlign w:val="center"/>
                </w:tcPr>
                <w:p w14:paraId="7AF20E45">
                  <w:pPr>
                    <w:snapToGrid w:val="0"/>
                    <w:jc w:val="center"/>
                    <w:rPr>
                      <w:rFonts w:ascii="Times New Roman" w:hAnsi="Times New Roman" w:eastAsia="宋体"/>
                      <w:b/>
                      <w:bCs/>
                      <w:smallCaps w:val="0"/>
                      <w:color w:val="auto"/>
                      <w:szCs w:val="21"/>
                      <w:highlight w:val="none"/>
                    </w:rPr>
                  </w:pPr>
                  <w:r>
                    <w:rPr>
                      <w:rFonts w:ascii="Times New Roman" w:hAnsi="Times New Roman" w:eastAsia="宋体"/>
                      <w:b/>
                      <w:bCs/>
                      <w:smallCaps w:val="0"/>
                      <w:color w:val="auto"/>
                      <w:szCs w:val="21"/>
                      <w:highlight w:val="none"/>
                    </w:rPr>
                    <w:t>超标率</w:t>
                  </w:r>
                </w:p>
              </w:tc>
            </w:tr>
            <w:tr w14:paraId="2E6FD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restart"/>
                  <w:vAlign w:val="center"/>
                </w:tcPr>
                <w:p w14:paraId="7F88D116">
                  <w:pPr>
                    <w:snapToGrid w:val="0"/>
                    <w:jc w:val="center"/>
                    <w:rPr>
                      <w:rFonts w:ascii="Times New Roman" w:hAnsi="Times New Roman" w:eastAsia="宋体"/>
                      <w:smallCaps w:val="0"/>
                      <w:color w:val="auto"/>
                      <w:szCs w:val="21"/>
                      <w:highlight w:val="none"/>
                    </w:rPr>
                  </w:pPr>
                  <w:r>
                    <w:rPr>
                      <w:rFonts w:hint="eastAsia" w:ascii="Times New Roman" w:hAnsi="Times New Roman" w:eastAsia="宋体"/>
                      <w:smallCaps w:val="0"/>
                      <w:color w:val="auto"/>
                      <w:szCs w:val="21"/>
                      <w:highlight w:val="none"/>
                    </w:rPr>
                    <w:t>W1</w:t>
                  </w:r>
                </w:p>
              </w:tc>
              <w:tc>
                <w:tcPr>
                  <w:tcW w:w="1454" w:type="pct"/>
                  <w:vMerge w:val="restart"/>
                  <w:vAlign w:val="center"/>
                </w:tcPr>
                <w:p w14:paraId="2361EDEB">
                  <w:pPr>
                    <w:snapToGrid w:val="0"/>
                    <w:jc w:val="center"/>
                    <w:rPr>
                      <w:rFonts w:ascii="Times New Roman" w:hAnsi="Times New Roman" w:eastAsia="宋体"/>
                      <w:smallCaps w:val="0"/>
                      <w:color w:val="auto"/>
                      <w:szCs w:val="21"/>
                      <w:highlight w:val="none"/>
                    </w:rPr>
                  </w:pPr>
                  <w:r>
                    <w:rPr>
                      <w:rFonts w:hint="eastAsia"/>
                      <w:smallCaps w:val="0"/>
                      <w:color w:val="auto"/>
                      <w:spacing w:val="6"/>
                      <w:szCs w:val="21"/>
                      <w:highlight w:val="none"/>
                      <w:lang w:eastAsia="zh-CN"/>
                    </w:rPr>
                    <w:t>金坛第二污水处理厂</w:t>
                  </w:r>
                  <w:r>
                    <w:rPr>
                      <w:rFonts w:hint="eastAsia" w:ascii="Times New Roman" w:hAnsi="Times New Roman" w:eastAsia="宋体"/>
                      <w:smallCaps w:val="0"/>
                      <w:color w:val="auto"/>
                      <w:spacing w:val="6"/>
                      <w:szCs w:val="21"/>
                      <w:highlight w:val="none"/>
                    </w:rPr>
                    <w:t>排放口上游500m</w:t>
                  </w:r>
                </w:p>
              </w:tc>
              <w:tc>
                <w:tcPr>
                  <w:tcW w:w="921" w:type="pct"/>
                  <w:vAlign w:val="center"/>
                </w:tcPr>
                <w:p w14:paraId="35A4E473">
                  <w:pPr>
                    <w:snapToGrid w:val="0"/>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rPr>
                    <w:t>pH</w:t>
                  </w:r>
                  <w:r>
                    <w:rPr>
                      <w:rFonts w:hint="eastAsia" w:ascii="Times New Roman" w:hAnsi="Times New Roman" w:eastAsia="宋体"/>
                      <w:smallCaps w:val="0"/>
                      <w:color w:val="auto"/>
                      <w:szCs w:val="21"/>
                      <w:highlight w:val="none"/>
                      <w:lang w:val="en-US" w:eastAsia="zh-CN"/>
                    </w:rPr>
                    <w:t>值</w:t>
                  </w:r>
                </w:p>
              </w:tc>
              <w:tc>
                <w:tcPr>
                  <w:tcW w:w="968" w:type="pct"/>
                  <w:vAlign w:val="center"/>
                </w:tcPr>
                <w:p w14:paraId="3B902AD3">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7.</w:t>
                  </w:r>
                  <w:r>
                    <w:rPr>
                      <w:rFonts w:hint="eastAsia"/>
                      <w:smallCaps w:val="0"/>
                      <w:color w:val="auto"/>
                      <w:szCs w:val="21"/>
                      <w:highlight w:val="none"/>
                      <w:lang w:val="en-US" w:eastAsia="zh-CN"/>
                    </w:rPr>
                    <w:t>0</w:t>
                  </w:r>
                  <w:r>
                    <w:rPr>
                      <w:rFonts w:hint="eastAsia" w:ascii="Times New Roman" w:hAnsi="Times New Roman" w:eastAsia="宋体"/>
                      <w:smallCaps w:val="0"/>
                      <w:color w:val="auto"/>
                      <w:szCs w:val="21"/>
                      <w:highlight w:val="none"/>
                      <w:lang w:val="en-US" w:eastAsia="zh-CN"/>
                    </w:rPr>
                    <w:t>~7.</w:t>
                  </w:r>
                  <w:r>
                    <w:rPr>
                      <w:rFonts w:hint="eastAsia"/>
                      <w:smallCaps w:val="0"/>
                      <w:color w:val="auto"/>
                      <w:szCs w:val="21"/>
                      <w:highlight w:val="none"/>
                      <w:lang w:val="en-US" w:eastAsia="zh-CN"/>
                    </w:rPr>
                    <w:t>1</w:t>
                  </w:r>
                </w:p>
              </w:tc>
              <w:tc>
                <w:tcPr>
                  <w:tcW w:w="383" w:type="pct"/>
                  <w:vAlign w:val="center"/>
                </w:tcPr>
                <w:p w14:paraId="786D1C22">
                  <w:pPr>
                    <w:snapToGrid w:val="0"/>
                    <w:jc w:val="center"/>
                    <w:textAlignment w:val="center"/>
                    <w:rPr>
                      <w:rFonts w:ascii="Times New Roman" w:hAnsi="Times New Roman" w:eastAsia="宋体"/>
                      <w:smallCaps w:val="0"/>
                      <w:color w:val="auto"/>
                      <w:kern w:val="11"/>
                      <w:szCs w:val="21"/>
                      <w:highlight w:val="none"/>
                    </w:rPr>
                  </w:pPr>
                  <w:r>
                    <w:rPr>
                      <w:rFonts w:hint="eastAsia" w:ascii="Times New Roman" w:hAnsi="Times New Roman" w:eastAsia="宋体"/>
                      <w:smallCaps w:val="0"/>
                      <w:color w:val="auto"/>
                      <w:kern w:val="11"/>
                      <w:szCs w:val="21"/>
                      <w:highlight w:val="none"/>
                    </w:rPr>
                    <w:t>6~9</w:t>
                  </w:r>
                </w:p>
              </w:tc>
              <w:tc>
                <w:tcPr>
                  <w:tcW w:w="543" w:type="pct"/>
                  <w:vAlign w:val="center"/>
                </w:tcPr>
                <w:p w14:paraId="04F85233">
                  <w:pPr>
                    <w:snapToGrid w:val="0"/>
                    <w:jc w:val="center"/>
                    <w:textAlignment w:val="center"/>
                    <w:rPr>
                      <w:rFonts w:ascii="Times New Roman" w:hAnsi="Times New Roman" w:eastAsia="宋体"/>
                      <w:smallCaps w:val="0"/>
                      <w:color w:val="auto"/>
                      <w:kern w:val="11"/>
                      <w:szCs w:val="21"/>
                      <w:highlight w:val="none"/>
                    </w:rPr>
                  </w:pPr>
                  <w:r>
                    <w:rPr>
                      <w:rFonts w:hint="eastAsia" w:ascii="Times New Roman" w:hAnsi="Times New Roman" w:eastAsia="宋体"/>
                      <w:smallCaps w:val="0"/>
                      <w:color w:val="auto"/>
                      <w:kern w:val="11"/>
                      <w:szCs w:val="21"/>
                      <w:highlight w:val="none"/>
                    </w:rPr>
                    <w:t>0</w:t>
                  </w:r>
                </w:p>
              </w:tc>
            </w:tr>
            <w:tr w14:paraId="6E7DF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50C97A1D">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369FCDF3">
                  <w:pPr>
                    <w:snapToGrid w:val="0"/>
                    <w:jc w:val="center"/>
                    <w:rPr>
                      <w:rFonts w:ascii="Times New Roman" w:hAnsi="Times New Roman" w:eastAsia="宋体"/>
                      <w:smallCaps w:val="0"/>
                      <w:color w:val="auto"/>
                      <w:spacing w:val="6"/>
                      <w:szCs w:val="21"/>
                      <w:highlight w:val="none"/>
                    </w:rPr>
                  </w:pPr>
                </w:p>
              </w:tc>
              <w:tc>
                <w:tcPr>
                  <w:tcW w:w="921" w:type="pct"/>
                  <w:vAlign w:val="center"/>
                </w:tcPr>
                <w:p w14:paraId="79A59D03">
                  <w:pPr>
                    <w:snapToGrid w:val="0"/>
                    <w:jc w:val="center"/>
                    <w:rPr>
                      <w:rFonts w:ascii="Times New Roman" w:hAnsi="Times New Roman" w:eastAsia="宋体"/>
                      <w:smallCaps w:val="0"/>
                      <w:color w:val="auto"/>
                      <w:szCs w:val="21"/>
                      <w:highlight w:val="none"/>
                    </w:rPr>
                  </w:pPr>
                  <w:r>
                    <w:rPr>
                      <w:rFonts w:hint="eastAsia" w:ascii="Times New Roman" w:hAnsi="Times New Roman" w:eastAsia="宋体"/>
                      <w:smallCaps w:val="0"/>
                      <w:color w:val="auto"/>
                      <w:spacing w:val="6"/>
                      <w:szCs w:val="21"/>
                      <w:highlight w:val="none"/>
                    </w:rPr>
                    <w:t>COD</w:t>
                  </w:r>
                </w:p>
              </w:tc>
              <w:tc>
                <w:tcPr>
                  <w:tcW w:w="968" w:type="pct"/>
                  <w:vAlign w:val="center"/>
                </w:tcPr>
                <w:p w14:paraId="1FE4469D">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1</w:t>
                  </w:r>
                  <w:r>
                    <w:rPr>
                      <w:rFonts w:hint="eastAsia"/>
                      <w:smallCaps w:val="0"/>
                      <w:color w:val="auto"/>
                      <w:szCs w:val="21"/>
                      <w:highlight w:val="none"/>
                      <w:lang w:val="en-US" w:eastAsia="zh-CN"/>
                    </w:rPr>
                    <w:t>5</w:t>
                  </w:r>
                  <w:r>
                    <w:rPr>
                      <w:rFonts w:hint="eastAsia" w:ascii="Times New Roman" w:hAnsi="Times New Roman" w:eastAsia="宋体"/>
                      <w:smallCaps w:val="0"/>
                      <w:color w:val="auto"/>
                      <w:szCs w:val="21"/>
                      <w:highlight w:val="none"/>
                      <w:lang w:val="en-US" w:eastAsia="zh-CN"/>
                    </w:rPr>
                    <w:t>~1</w:t>
                  </w:r>
                  <w:r>
                    <w:rPr>
                      <w:rFonts w:hint="eastAsia"/>
                      <w:smallCaps w:val="0"/>
                      <w:color w:val="auto"/>
                      <w:szCs w:val="21"/>
                      <w:highlight w:val="none"/>
                      <w:lang w:val="en-US" w:eastAsia="zh-CN"/>
                    </w:rPr>
                    <w:t>7</w:t>
                  </w:r>
                </w:p>
              </w:tc>
              <w:tc>
                <w:tcPr>
                  <w:tcW w:w="383" w:type="pct"/>
                  <w:vAlign w:val="center"/>
                </w:tcPr>
                <w:p w14:paraId="298C16F5">
                  <w:pPr>
                    <w:snapToGrid w:val="0"/>
                    <w:jc w:val="center"/>
                    <w:textAlignment w:val="center"/>
                    <w:rPr>
                      <w:rFonts w:hint="default" w:ascii="Times New Roman" w:hAnsi="Times New Roman" w:eastAsia="宋体"/>
                      <w:smallCaps w:val="0"/>
                      <w:color w:val="auto"/>
                      <w:kern w:val="11"/>
                      <w:szCs w:val="21"/>
                      <w:highlight w:val="none"/>
                      <w:lang w:val="en-US" w:eastAsia="zh-CN"/>
                    </w:rPr>
                  </w:pPr>
                  <w:r>
                    <w:rPr>
                      <w:rFonts w:hint="eastAsia" w:ascii="Times New Roman" w:hAnsi="Times New Roman" w:eastAsia="宋体"/>
                      <w:smallCaps w:val="0"/>
                      <w:color w:val="auto"/>
                      <w:kern w:val="11"/>
                      <w:szCs w:val="21"/>
                      <w:highlight w:val="none"/>
                      <w:lang w:val="en-US" w:eastAsia="zh-CN"/>
                    </w:rPr>
                    <w:t>20</w:t>
                  </w:r>
                </w:p>
              </w:tc>
              <w:tc>
                <w:tcPr>
                  <w:tcW w:w="543" w:type="pct"/>
                  <w:vAlign w:val="center"/>
                </w:tcPr>
                <w:p w14:paraId="7F993F32">
                  <w:pPr>
                    <w:snapToGrid w:val="0"/>
                    <w:jc w:val="center"/>
                    <w:textAlignment w:val="center"/>
                    <w:rPr>
                      <w:rFonts w:ascii="Times New Roman" w:hAnsi="Times New Roman" w:eastAsia="宋体"/>
                      <w:smallCaps w:val="0"/>
                      <w:color w:val="auto"/>
                      <w:kern w:val="11"/>
                      <w:szCs w:val="21"/>
                      <w:highlight w:val="none"/>
                    </w:rPr>
                  </w:pPr>
                  <w:r>
                    <w:rPr>
                      <w:rFonts w:hint="eastAsia" w:ascii="Times New Roman" w:hAnsi="Times New Roman" w:eastAsia="宋体"/>
                      <w:smallCaps w:val="0"/>
                      <w:color w:val="auto"/>
                      <w:kern w:val="11"/>
                      <w:szCs w:val="21"/>
                      <w:highlight w:val="none"/>
                    </w:rPr>
                    <w:t>0</w:t>
                  </w:r>
                </w:p>
              </w:tc>
            </w:tr>
            <w:tr w14:paraId="76FEF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66F51D29">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1441B1D1">
                  <w:pPr>
                    <w:snapToGrid w:val="0"/>
                    <w:jc w:val="center"/>
                    <w:rPr>
                      <w:rFonts w:ascii="Times New Roman" w:hAnsi="Times New Roman" w:eastAsia="宋体"/>
                      <w:smallCaps w:val="0"/>
                      <w:color w:val="auto"/>
                      <w:spacing w:val="6"/>
                      <w:szCs w:val="21"/>
                      <w:highlight w:val="none"/>
                    </w:rPr>
                  </w:pPr>
                </w:p>
              </w:tc>
              <w:tc>
                <w:tcPr>
                  <w:tcW w:w="921" w:type="pct"/>
                  <w:vAlign w:val="center"/>
                </w:tcPr>
                <w:p w14:paraId="38D88CEB">
                  <w:pPr>
                    <w:snapToGrid w:val="0"/>
                    <w:jc w:val="center"/>
                    <w:rPr>
                      <w:rFonts w:ascii="Times New Roman" w:hAnsi="Times New Roman" w:eastAsia="宋体"/>
                      <w:smallCaps w:val="0"/>
                      <w:color w:val="auto"/>
                      <w:szCs w:val="21"/>
                      <w:highlight w:val="none"/>
                    </w:rPr>
                  </w:pPr>
                  <w:r>
                    <w:rPr>
                      <w:rFonts w:hint="eastAsia" w:ascii="Times New Roman" w:hAnsi="Times New Roman" w:eastAsia="宋体"/>
                      <w:smallCaps w:val="0"/>
                      <w:color w:val="auto"/>
                      <w:spacing w:val="6"/>
                      <w:szCs w:val="21"/>
                      <w:highlight w:val="none"/>
                    </w:rPr>
                    <w:t>NH</w:t>
                  </w:r>
                  <w:r>
                    <w:rPr>
                      <w:rFonts w:hint="eastAsia" w:ascii="Times New Roman" w:hAnsi="Times New Roman" w:eastAsia="宋体"/>
                      <w:smallCaps w:val="0"/>
                      <w:color w:val="auto"/>
                      <w:spacing w:val="6"/>
                      <w:szCs w:val="21"/>
                      <w:highlight w:val="none"/>
                      <w:vertAlign w:val="subscript"/>
                    </w:rPr>
                    <w:t>3</w:t>
                  </w:r>
                  <w:r>
                    <w:rPr>
                      <w:rFonts w:hint="eastAsia" w:ascii="Times New Roman" w:hAnsi="Times New Roman" w:eastAsia="宋体"/>
                      <w:smallCaps w:val="0"/>
                      <w:color w:val="auto"/>
                      <w:spacing w:val="6"/>
                      <w:szCs w:val="21"/>
                      <w:highlight w:val="none"/>
                    </w:rPr>
                    <w:t>-N</w:t>
                  </w:r>
                </w:p>
              </w:tc>
              <w:tc>
                <w:tcPr>
                  <w:tcW w:w="968" w:type="pct"/>
                  <w:vAlign w:val="center"/>
                </w:tcPr>
                <w:p w14:paraId="160B3D30">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0.</w:t>
                  </w:r>
                  <w:r>
                    <w:rPr>
                      <w:rFonts w:hint="eastAsia"/>
                      <w:smallCaps w:val="0"/>
                      <w:color w:val="auto"/>
                      <w:szCs w:val="21"/>
                      <w:highlight w:val="none"/>
                      <w:lang w:val="en-US" w:eastAsia="zh-CN"/>
                    </w:rPr>
                    <w:t>246</w:t>
                  </w:r>
                  <w:r>
                    <w:rPr>
                      <w:rFonts w:hint="eastAsia" w:ascii="Times New Roman" w:hAnsi="Times New Roman" w:eastAsia="宋体"/>
                      <w:smallCaps w:val="0"/>
                      <w:color w:val="auto"/>
                      <w:szCs w:val="21"/>
                      <w:highlight w:val="none"/>
                      <w:lang w:val="en-US" w:eastAsia="zh-CN"/>
                    </w:rPr>
                    <w:t>~0.</w:t>
                  </w:r>
                  <w:r>
                    <w:rPr>
                      <w:rFonts w:hint="eastAsia"/>
                      <w:smallCaps w:val="0"/>
                      <w:color w:val="auto"/>
                      <w:szCs w:val="21"/>
                      <w:highlight w:val="none"/>
                      <w:lang w:val="en-US" w:eastAsia="zh-CN"/>
                    </w:rPr>
                    <w:t>536</w:t>
                  </w:r>
                </w:p>
              </w:tc>
              <w:tc>
                <w:tcPr>
                  <w:tcW w:w="383" w:type="pct"/>
                  <w:vAlign w:val="center"/>
                </w:tcPr>
                <w:p w14:paraId="452181F8">
                  <w:pPr>
                    <w:snapToGrid w:val="0"/>
                    <w:jc w:val="center"/>
                    <w:textAlignment w:val="center"/>
                    <w:rPr>
                      <w:rFonts w:hint="default" w:ascii="Times New Roman" w:hAnsi="Times New Roman" w:eastAsia="宋体"/>
                      <w:smallCaps w:val="0"/>
                      <w:color w:val="auto"/>
                      <w:kern w:val="11"/>
                      <w:szCs w:val="21"/>
                      <w:highlight w:val="none"/>
                      <w:lang w:val="en-US" w:eastAsia="zh-CN"/>
                    </w:rPr>
                  </w:pPr>
                  <w:r>
                    <w:rPr>
                      <w:rFonts w:hint="eastAsia" w:ascii="Times New Roman" w:hAnsi="Times New Roman" w:eastAsia="宋体"/>
                      <w:smallCaps w:val="0"/>
                      <w:color w:val="auto"/>
                      <w:kern w:val="11"/>
                      <w:szCs w:val="21"/>
                      <w:highlight w:val="none"/>
                      <w:lang w:val="en-US" w:eastAsia="zh-CN"/>
                    </w:rPr>
                    <w:t>1</w:t>
                  </w:r>
                </w:p>
              </w:tc>
              <w:tc>
                <w:tcPr>
                  <w:tcW w:w="543" w:type="pct"/>
                  <w:vAlign w:val="center"/>
                </w:tcPr>
                <w:p w14:paraId="1EA4135D">
                  <w:pPr>
                    <w:snapToGrid w:val="0"/>
                    <w:jc w:val="center"/>
                    <w:textAlignment w:val="center"/>
                    <w:rPr>
                      <w:rFonts w:ascii="Times New Roman" w:hAnsi="Times New Roman" w:eastAsia="宋体"/>
                      <w:smallCaps w:val="0"/>
                      <w:color w:val="auto"/>
                      <w:kern w:val="11"/>
                      <w:szCs w:val="21"/>
                      <w:highlight w:val="none"/>
                    </w:rPr>
                  </w:pPr>
                  <w:r>
                    <w:rPr>
                      <w:rFonts w:hint="eastAsia" w:ascii="Times New Roman" w:hAnsi="Times New Roman" w:eastAsia="宋体"/>
                      <w:smallCaps w:val="0"/>
                      <w:color w:val="auto"/>
                      <w:kern w:val="11"/>
                      <w:szCs w:val="21"/>
                      <w:highlight w:val="none"/>
                    </w:rPr>
                    <w:t>0</w:t>
                  </w:r>
                </w:p>
              </w:tc>
            </w:tr>
            <w:tr w14:paraId="24948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779F13AF">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505067CA">
                  <w:pPr>
                    <w:snapToGrid w:val="0"/>
                    <w:jc w:val="center"/>
                    <w:rPr>
                      <w:rFonts w:ascii="Times New Roman" w:hAnsi="Times New Roman" w:eastAsia="宋体"/>
                      <w:smallCaps w:val="0"/>
                      <w:color w:val="auto"/>
                      <w:szCs w:val="21"/>
                      <w:highlight w:val="none"/>
                    </w:rPr>
                  </w:pPr>
                </w:p>
              </w:tc>
              <w:tc>
                <w:tcPr>
                  <w:tcW w:w="921" w:type="pct"/>
                  <w:vAlign w:val="center"/>
                </w:tcPr>
                <w:p w14:paraId="43F9A00B">
                  <w:pPr>
                    <w:snapToGrid w:val="0"/>
                    <w:jc w:val="center"/>
                    <w:rPr>
                      <w:rFonts w:ascii="Times New Roman" w:hAnsi="Times New Roman" w:eastAsia="宋体"/>
                      <w:smallCaps w:val="0"/>
                      <w:color w:val="auto"/>
                      <w:spacing w:val="6"/>
                      <w:szCs w:val="21"/>
                      <w:highlight w:val="none"/>
                    </w:rPr>
                  </w:pPr>
                  <w:r>
                    <w:rPr>
                      <w:rFonts w:hint="eastAsia" w:ascii="Times New Roman" w:hAnsi="Times New Roman" w:eastAsia="宋体"/>
                      <w:smallCaps w:val="0"/>
                      <w:color w:val="auto"/>
                      <w:spacing w:val="6"/>
                      <w:szCs w:val="21"/>
                      <w:highlight w:val="none"/>
                    </w:rPr>
                    <w:t>TP</w:t>
                  </w:r>
                </w:p>
              </w:tc>
              <w:tc>
                <w:tcPr>
                  <w:tcW w:w="968" w:type="pct"/>
                  <w:vAlign w:val="center"/>
                </w:tcPr>
                <w:p w14:paraId="104F73D7">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0.1</w:t>
                  </w:r>
                  <w:r>
                    <w:rPr>
                      <w:rFonts w:hint="eastAsia"/>
                      <w:smallCaps w:val="0"/>
                      <w:color w:val="auto"/>
                      <w:szCs w:val="21"/>
                      <w:highlight w:val="none"/>
                      <w:lang w:val="en-US" w:eastAsia="zh-CN"/>
                    </w:rPr>
                    <w:t>4</w:t>
                  </w:r>
                  <w:r>
                    <w:rPr>
                      <w:rFonts w:hint="eastAsia" w:ascii="Times New Roman" w:hAnsi="Times New Roman" w:eastAsia="宋体"/>
                      <w:smallCaps w:val="0"/>
                      <w:color w:val="auto"/>
                      <w:szCs w:val="21"/>
                      <w:highlight w:val="none"/>
                      <w:lang w:val="en-US" w:eastAsia="zh-CN"/>
                    </w:rPr>
                    <w:t>~0.19</w:t>
                  </w:r>
                </w:p>
              </w:tc>
              <w:tc>
                <w:tcPr>
                  <w:tcW w:w="383" w:type="pct"/>
                  <w:vAlign w:val="center"/>
                </w:tcPr>
                <w:p w14:paraId="648CEC92">
                  <w:pPr>
                    <w:snapToGrid w:val="0"/>
                    <w:jc w:val="center"/>
                    <w:textAlignment w:val="center"/>
                    <w:rPr>
                      <w:rFonts w:hint="default" w:ascii="Times New Roman" w:hAnsi="Times New Roman" w:eastAsia="宋体"/>
                      <w:smallCaps w:val="0"/>
                      <w:color w:val="auto"/>
                      <w:kern w:val="11"/>
                      <w:szCs w:val="21"/>
                      <w:highlight w:val="none"/>
                      <w:lang w:val="en-US" w:eastAsia="zh-CN"/>
                    </w:rPr>
                  </w:pPr>
                  <w:r>
                    <w:rPr>
                      <w:rFonts w:hint="eastAsia" w:ascii="Times New Roman" w:hAnsi="Times New Roman" w:eastAsia="宋体"/>
                      <w:smallCaps w:val="0"/>
                      <w:color w:val="auto"/>
                      <w:kern w:val="11"/>
                      <w:szCs w:val="21"/>
                      <w:highlight w:val="none"/>
                      <w:lang w:val="en-US" w:eastAsia="zh-CN"/>
                    </w:rPr>
                    <w:t>0.2</w:t>
                  </w:r>
                </w:p>
              </w:tc>
              <w:tc>
                <w:tcPr>
                  <w:tcW w:w="543" w:type="pct"/>
                  <w:vAlign w:val="center"/>
                </w:tcPr>
                <w:p w14:paraId="510B53A4">
                  <w:pPr>
                    <w:snapToGrid w:val="0"/>
                    <w:jc w:val="center"/>
                    <w:textAlignment w:val="center"/>
                    <w:rPr>
                      <w:rFonts w:ascii="Times New Roman" w:hAnsi="Times New Roman" w:eastAsia="宋体"/>
                      <w:smallCaps w:val="0"/>
                      <w:color w:val="auto"/>
                      <w:kern w:val="11"/>
                      <w:szCs w:val="21"/>
                      <w:highlight w:val="none"/>
                    </w:rPr>
                  </w:pPr>
                  <w:r>
                    <w:rPr>
                      <w:rFonts w:hint="eastAsia" w:ascii="Times New Roman" w:hAnsi="Times New Roman" w:eastAsia="宋体"/>
                      <w:smallCaps w:val="0"/>
                      <w:color w:val="auto"/>
                      <w:kern w:val="11"/>
                      <w:szCs w:val="21"/>
                      <w:highlight w:val="none"/>
                    </w:rPr>
                    <w:t>0</w:t>
                  </w:r>
                </w:p>
              </w:tc>
            </w:tr>
            <w:tr w14:paraId="73629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29F3D267">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4033E5F1">
                  <w:pPr>
                    <w:snapToGrid w:val="0"/>
                    <w:jc w:val="center"/>
                    <w:rPr>
                      <w:rFonts w:ascii="Times New Roman" w:hAnsi="Times New Roman" w:eastAsia="宋体"/>
                      <w:smallCaps w:val="0"/>
                      <w:color w:val="auto"/>
                      <w:szCs w:val="21"/>
                      <w:highlight w:val="none"/>
                    </w:rPr>
                  </w:pPr>
                </w:p>
              </w:tc>
              <w:tc>
                <w:tcPr>
                  <w:tcW w:w="921" w:type="pct"/>
                  <w:vAlign w:val="center"/>
                </w:tcPr>
                <w:p w14:paraId="1566CD93">
                  <w:pPr>
                    <w:snapToGrid w:val="0"/>
                    <w:jc w:val="center"/>
                    <w:rPr>
                      <w:rFonts w:hint="eastAsia" w:ascii="Times New Roman" w:hAnsi="Times New Roman" w:eastAsia="宋体"/>
                      <w:smallCaps w:val="0"/>
                      <w:color w:val="auto"/>
                      <w:spacing w:val="6"/>
                      <w:szCs w:val="21"/>
                      <w:highlight w:val="none"/>
                      <w:lang w:val="en-US" w:eastAsia="zh-CN"/>
                    </w:rPr>
                  </w:pPr>
                  <w:r>
                    <w:rPr>
                      <w:rFonts w:hint="eastAsia"/>
                      <w:smallCaps w:val="0"/>
                      <w:color w:val="auto"/>
                      <w:spacing w:val="6"/>
                      <w:szCs w:val="21"/>
                      <w:highlight w:val="none"/>
                      <w:lang w:val="en-US" w:eastAsia="zh-CN"/>
                    </w:rPr>
                    <w:t>TN</w:t>
                  </w:r>
                </w:p>
              </w:tc>
              <w:tc>
                <w:tcPr>
                  <w:tcW w:w="968" w:type="pct"/>
                  <w:vAlign w:val="center"/>
                </w:tcPr>
                <w:p w14:paraId="5BE74F73">
                  <w:pPr>
                    <w:snapToGrid w:val="0"/>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0.88~0.95</w:t>
                  </w:r>
                </w:p>
              </w:tc>
              <w:tc>
                <w:tcPr>
                  <w:tcW w:w="383" w:type="pct"/>
                  <w:vAlign w:val="center"/>
                </w:tcPr>
                <w:p w14:paraId="38B62BF1">
                  <w:pPr>
                    <w:snapToGrid w:val="0"/>
                    <w:jc w:val="center"/>
                    <w:textAlignment w:val="center"/>
                    <w:rPr>
                      <w:rFonts w:hint="default" w:ascii="Times New Roman" w:hAnsi="Times New Roman" w:eastAsia="宋体"/>
                      <w:smallCaps w:val="0"/>
                      <w:color w:val="auto"/>
                      <w:kern w:val="11"/>
                      <w:szCs w:val="21"/>
                      <w:highlight w:val="none"/>
                      <w:lang w:val="en-US" w:eastAsia="zh-CN"/>
                    </w:rPr>
                  </w:pPr>
                  <w:r>
                    <w:rPr>
                      <w:rFonts w:hint="eastAsia"/>
                      <w:smallCaps w:val="0"/>
                      <w:color w:val="auto"/>
                      <w:kern w:val="11"/>
                      <w:szCs w:val="21"/>
                      <w:highlight w:val="none"/>
                      <w:lang w:val="en-US" w:eastAsia="zh-CN"/>
                    </w:rPr>
                    <w:t>1.0</w:t>
                  </w:r>
                </w:p>
              </w:tc>
              <w:tc>
                <w:tcPr>
                  <w:tcW w:w="543" w:type="pct"/>
                  <w:vAlign w:val="center"/>
                </w:tcPr>
                <w:p w14:paraId="0424C8D6">
                  <w:pPr>
                    <w:snapToGrid w:val="0"/>
                    <w:jc w:val="center"/>
                    <w:textAlignment w:val="center"/>
                    <w:rPr>
                      <w:rFonts w:hint="eastAsia" w:ascii="Times New Roman" w:hAnsi="Times New Roman" w:eastAsia="宋体"/>
                      <w:smallCaps w:val="0"/>
                      <w:color w:val="auto"/>
                      <w:kern w:val="11"/>
                      <w:szCs w:val="21"/>
                      <w:highlight w:val="none"/>
                      <w:lang w:val="en-US" w:eastAsia="zh-CN"/>
                    </w:rPr>
                  </w:pPr>
                  <w:r>
                    <w:rPr>
                      <w:rFonts w:hint="eastAsia"/>
                      <w:smallCaps w:val="0"/>
                      <w:color w:val="auto"/>
                      <w:kern w:val="11"/>
                      <w:szCs w:val="21"/>
                      <w:highlight w:val="none"/>
                      <w:lang w:val="en-US" w:eastAsia="zh-CN"/>
                    </w:rPr>
                    <w:t>0</w:t>
                  </w:r>
                </w:p>
              </w:tc>
            </w:tr>
            <w:tr w14:paraId="777D6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restart"/>
                  <w:vAlign w:val="center"/>
                </w:tcPr>
                <w:p w14:paraId="063963AA">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W</w:t>
                  </w:r>
                  <w:r>
                    <w:rPr>
                      <w:rFonts w:hint="eastAsia"/>
                      <w:smallCaps w:val="0"/>
                      <w:color w:val="auto"/>
                      <w:szCs w:val="21"/>
                      <w:highlight w:val="none"/>
                      <w:lang w:val="en-US" w:eastAsia="zh-CN"/>
                    </w:rPr>
                    <w:t>2</w:t>
                  </w:r>
                </w:p>
              </w:tc>
              <w:tc>
                <w:tcPr>
                  <w:tcW w:w="1454" w:type="pct"/>
                  <w:vMerge w:val="restart"/>
                  <w:vAlign w:val="center"/>
                </w:tcPr>
                <w:p w14:paraId="6F3FE10F">
                  <w:pPr>
                    <w:snapToGrid w:val="0"/>
                    <w:jc w:val="center"/>
                    <w:rPr>
                      <w:rFonts w:ascii="Times New Roman" w:hAnsi="Times New Roman" w:eastAsia="宋体"/>
                      <w:smallCaps w:val="0"/>
                      <w:color w:val="auto"/>
                      <w:szCs w:val="21"/>
                      <w:highlight w:val="none"/>
                    </w:rPr>
                  </w:pPr>
                  <w:r>
                    <w:rPr>
                      <w:rFonts w:hint="eastAsia"/>
                      <w:smallCaps w:val="0"/>
                      <w:color w:val="auto"/>
                      <w:spacing w:val="6"/>
                      <w:szCs w:val="21"/>
                      <w:highlight w:val="none"/>
                      <w:lang w:eastAsia="zh-CN"/>
                    </w:rPr>
                    <w:t>金坛第二污水处理厂</w:t>
                  </w:r>
                  <w:r>
                    <w:rPr>
                      <w:rFonts w:hint="eastAsia" w:ascii="Times New Roman" w:hAnsi="Times New Roman" w:eastAsia="宋体"/>
                      <w:smallCaps w:val="0"/>
                      <w:color w:val="auto"/>
                      <w:spacing w:val="6"/>
                      <w:szCs w:val="21"/>
                      <w:highlight w:val="none"/>
                    </w:rPr>
                    <w:t>排放口下游</w:t>
                  </w:r>
                  <w:r>
                    <w:rPr>
                      <w:rFonts w:hint="eastAsia"/>
                      <w:smallCaps w:val="0"/>
                      <w:color w:val="auto"/>
                      <w:spacing w:val="6"/>
                      <w:szCs w:val="21"/>
                      <w:highlight w:val="none"/>
                      <w:lang w:val="en-US" w:eastAsia="zh-CN"/>
                    </w:rPr>
                    <w:t>20</w:t>
                  </w:r>
                  <w:r>
                    <w:rPr>
                      <w:rFonts w:hint="eastAsia" w:ascii="Times New Roman" w:hAnsi="Times New Roman" w:eastAsia="宋体"/>
                      <w:smallCaps w:val="0"/>
                      <w:color w:val="auto"/>
                      <w:spacing w:val="6"/>
                      <w:szCs w:val="21"/>
                      <w:highlight w:val="none"/>
                    </w:rPr>
                    <w:t>00m</w:t>
                  </w:r>
                </w:p>
              </w:tc>
              <w:tc>
                <w:tcPr>
                  <w:tcW w:w="921" w:type="pct"/>
                  <w:vAlign w:val="center"/>
                </w:tcPr>
                <w:p w14:paraId="2B1D3273">
                  <w:pPr>
                    <w:snapToGrid w:val="0"/>
                    <w:jc w:val="center"/>
                    <w:rPr>
                      <w:rFonts w:hint="eastAsia" w:ascii="Times New Roman" w:hAnsi="Times New Roman" w:eastAsia="宋体"/>
                      <w:smallCaps w:val="0"/>
                      <w:color w:val="auto"/>
                      <w:spacing w:val="6"/>
                      <w:szCs w:val="21"/>
                      <w:highlight w:val="none"/>
                      <w:lang w:val="en-US" w:eastAsia="zh-CN"/>
                    </w:rPr>
                  </w:pPr>
                  <w:r>
                    <w:rPr>
                      <w:rFonts w:hint="eastAsia" w:ascii="Times New Roman" w:hAnsi="Times New Roman" w:eastAsia="宋体"/>
                      <w:smallCaps w:val="0"/>
                      <w:color w:val="auto"/>
                      <w:szCs w:val="21"/>
                      <w:highlight w:val="none"/>
                      <w:lang w:val="en-US" w:eastAsia="zh-CN"/>
                    </w:rPr>
                    <w:t>p</w:t>
                  </w:r>
                  <w:r>
                    <w:rPr>
                      <w:rFonts w:hint="eastAsia" w:ascii="Times New Roman" w:hAnsi="Times New Roman" w:eastAsia="宋体"/>
                      <w:smallCaps w:val="0"/>
                      <w:color w:val="auto"/>
                      <w:szCs w:val="21"/>
                      <w:highlight w:val="none"/>
                    </w:rPr>
                    <w:t>H</w:t>
                  </w:r>
                  <w:r>
                    <w:rPr>
                      <w:rFonts w:hint="eastAsia" w:ascii="Times New Roman" w:hAnsi="Times New Roman" w:eastAsia="宋体"/>
                      <w:smallCaps w:val="0"/>
                      <w:color w:val="auto"/>
                      <w:szCs w:val="21"/>
                      <w:highlight w:val="none"/>
                      <w:lang w:val="en-US" w:eastAsia="zh-CN"/>
                    </w:rPr>
                    <w:t>值</w:t>
                  </w:r>
                </w:p>
              </w:tc>
              <w:tc>
                <w:tcPr>
                  <w:tcW w:w="968" w:type="pct"/>
                  <w:vAlign w:val="center"/>
                </w:tcPr>
                <w:p w14:paraId="36193D6F">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7.</w:t>
                  </w:r>
                  <w:r>
                    <w:rPr>
                      <w:rFonts w:hint="eastAsia"/>
                      <w:smallCaps w:val="0"/>
                      <w:color w:val="auto"/>
                      <w:szCs w:val="21"/>
                      <w:highlight w:val="none"/>
                      <w:lang w:val="en-US" w:eastAsia="zh-CN"/>
                    </w:rPr>
                    <w:t>0</w:t>
                  </w:r>
                  <w:r>
                    <w:rPr>
                      <w:rFonts w:hint="eastAsia" w:ascii="Times New Roman" w:hAnsi="Times New Roman" w:eastAsia="宋体"/>
                      <w:smallCaps w:val="0"/>
                      <w:color w:val="auto"/>
                      <w:szCs w:val="21"/>
                      <w:highlight w:val="none"/>
                      <w:lang w:val="en-US" w:eastAsia="zh-CN"/>
                    </w:rPr>
                    <w:t>~7.</w:t>
                  </w:r>
                  <w:r>
                    <w:rPr>
                      <w:rFonts w:hint="eastAsia"/>
                      <w:smallCaps w:val="0"/>
                      <w:color w:val="auto"/>
                      <w:szCs w:val="21"/>
                      <w:highlight w:val="none"/>
                      <w:lang w:val="en-US" w:eastAsia="zh-CN"/>
                    </w:rPr>
                    <w:t>2</w:t>
                  </w:r>
                </w:p>
              </w:tc>
              <w:tc>
                <w:tcPr>
                  <w:tcW w:w="383" w:type="pct"/>
                  <w:vAlign w:val="center"/>
                </w:tcPr>
                <w:p w14:paraId="0C79A731">
                  <w:pPr>
                    <w:snapToGrid w:val="0"/>
                    <w:jc w:val="center"/>
                    <w:textAlignment w:val="center"/>
                    <w:rPr>
                      <w:rFonts w:hint="eastAsia"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rPr>
                    <w:t>6~9</w:t>
                  </w:r>
                </w:p>
              </w:tc>
              <w:tc>
                <w:tcPr>
                  <w:tcW w:w="543" w:type="pct"/>
                  <w:vAlign w:val="center"/>
                </w:tcPr>
                <w:p w14:paraId="3DD9710C">
                  <w:pPr>
                    <w:snapToGrid w:val="0"/>
                    <w:jc w:val="center"/>
                    <w:textAlignment w:val="center"/>
                    <w:rPr>
                      <w:rFonts w:hint="eastAsia"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rPr>
                    <w:t>0</w:t>
                  </w:r>
                </w:p>
              </w:tc>
            </w:tr>
            <w:tr w14:paraId="759E0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4BCE4B17">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09272654">
                  <w:pPr>
                    <w:snapToGrid w:val="0"/>
                    <w:jc w:val="center"/>
                    <w:rPr>
                      <w:rFonts w:ascii="Times New Roman" w:hAnsi="Times New Roman" w:eastAsia="宋体"/>
                      <w:smallCaps w:val="0"/>
                      <w:color w:val="auto"/>
                      <w:szCs w:val="21"/>
                      <w:highlight w:val="none"/>
                    </w:rPr>
                  </w:pPr>
                </w:p>
              </w:tc>
              <w:tc>
                <w:tcPr>
                  <w:tcW w:w="921" w:type="pct"/>
                  <w:vAlign w:val="center"/>
                </w:tcPr>
                <w:p w14:paraId="78BAD2F0">
                  <w:pPr>
                    <w:snapToGrid w:val="0"/>
                    <w:jc w:val="center"/>
                    <w:rPr>
                      <w:rFonts w:hint="eastAsia" w:ascii="Times New Roman" w:hAnsi="Times New Roman" w:eastAsia="宋体"/>
                      <w:smallCaps w:val="0"/>
                      <w:color w:val="auto"/>
                      <w:spacing w:val="6"/>
                      <w:szCs w:val="21"/>
                      <w:highlight w:val="none"/>
                    </w:rPr>
                  </w:pPr>
                  <w:r>
                    <w:rPr>
                      <w:rFonts w:hint="eastAsia" w:ascii="Times New Roman" w:hAnsi="Times New Roman" w:eastAsia="宋体"/>
                      <w:smallCaps w:val="0"/>
                      <w:color w:val="auto"/>
                      <w:spacing w:val="6"/>
                      <w:szCs w:val="21"/>
                      <w:highlight w:val="none"/>
                    </w:rPr>
                    <w:t>COD</w:t>
                  </w:r>
                </w:p>
              </w:tc>
              <w:tc>
                <w:tcPr>
                  <w:tcW w:w="968" w:type="pct"/>
                  <w:vAlign w:val="center"/>
                </w:tcPr>
                <w:p w14:paraId="764699C4">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1</w:t>
                  </w:r>
                  <w:r>
                    <w:rPr>
                      <w:rFonts w:hint="eastAsia"/>
                      <w:smallCaps w:val="0"/>
                      <w:color w:val="auto"/>
                      <w:szCs w:val="21"/>
                      <w:highlight w:val="none"/>
                      <w:lang w:val="en-US" w:eastAsia="zh-CN"/>
                    </w:rPr>
                    <w:t>7</w:t>
                  </w:r>
                  <w:r>
                    <w:rPr>
                      <w:rFonts w:hint="eastAsia" w:ascii="Times New Roman" w:hAnsi="Times New Roman" w:eastAsia="宋体"/>
                      <w:smallCaps w:val="0"/>
                      <w:color w:val="auto"/>
                      <w:szCs w:val="21"/>
                      <w:highlight w:val="none"/>
                      <w:lang w:val="en-US" w:eastAsia="zh-CN"/>
                    </w:rPr>
                    <w:t>~19</w:t>
                  </w:r>
                </w:p>
              </w:tc>
              <w:tc>
                <w:tcPr>
                  <w:tcW w:w="383" w:type="pct"/>
                  <w:vAlign w:val="center"/>
                </w:tcPr>
                <w:p w14:paraId="633FB6DB">
                  <w:pPr>
                    <w:snapToGrid w:val="0"/>
                    <w:jc w:val="center"/>
                    <w:textAlignment w:val="center"/>
                    <w:rPr>
                      <w:rFonts w:hint="default"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lang w:val="en-US" w:eastAsia="zh-CN"/>
                    </w:rPr>
                    <w:t>20</w:t>
                  </w:r>
                </w:p>
              </w:tc>
              <w:tc>
                <w:tcPr>
                  <w:tcW w:w="543" w:type="pct"/>
                  <w:vAlign w:val="center"/>
                </w:tcPr>
                <w:p w14:paraId="416E3D9E">
                  <w:pPr>
                    <w:snapToGrid w:val="0"/>
                    <w:jc w:val="center"/>
                    <w:textAlignment w:val="center"/>
                    <w:rPr>
                      <w:rFonts w:hint="eastAsia"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rPr>
                    <w:t>0</w:t>
                  </w:r>
                </w:p>
              </w:tc>
            </w:tr>
            <w:tr w14:paraId="2DE4E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00FB6502">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0AD61969">
                  <w:pPr>
                    <w:snapToGrid w:val="0"/>
                    <w:jc w:val="center"/>
                    <w:rPr>
                      <w:rFonts w:ascii="Times New Roman" w:hAnsi="Times New Roman" w:eastAsia="宋体"/>
                      <w:smallCaps w:val="0"/>
                      <w:color w:val="auto"/>
                      <w:szCs w:val="21"/>
                      <w:highlight w:val="none"/>
                    </w:rPr>
                  </w:pPr>
                </w:p>
              </w:tc>
              <w:tc>
                <w:tcPr>
                  <w:tcW w:w="921" w:type="pct"/>
                  <w:vAlign w:val="center"/>
                </w:tcPr>
                <w:p w14:paraId="466482D5">
                  <w:pPr>
                    <w:snapToGrid w:val="0"/>
                    <w:jc w:val="center"/>
                    <w:rPr>
                      <w:rFonts w:hint="eastAsia" w:ascii="Times New Roman" w:hAnsi="Times New Roman" w:eastAsia="宋体"/>
                      <w:smallCaps w:val="0"/>
                      <w:color w:val="auto"/>
                      <w:spacing w:val="6"/>
                      <w:szCs w:val="21"/>
                      <w:highlight w:val="none"/>
                    </w:rPr>
                  </w:pPr>
                  <w:r>
                    <w:rPr>
                      <w:rFonts w:hint="eastAsia" w:ascii="Times New Roman" w:hAnsi="Times New Roman" w:eastAsia="宋体"/>
                      <w:smallCaps w:val="0"/>
                      <w:color w:val="auto"/>
                      <w:spacing w:val="6"/>
                      <w:szCs w:val="21"/>
                      <w:highlight w:val="none"/>
                    </w:rPr>
                    <w:t>NH</w:t>
                  </w:r>
                  <w:r>
                    <w:rPr>
                      <w:rFonts w:hint="eastAsia" w:ascii="Times New Roman" w:hAnsi="Times New Roman" w:eastAsia="宋体"/>
                      <w:smallCaps w:val="0"/>
                      <w:color w:val="auto"/>
                      <w:spacing w:val="6"/>
                      <w:szCs w:val="21"/>
                      <w:highlight w:val="none"/>
                      <w:vertAlign w:val="subscript"/>
                    </w:rPr>
                    <w:t>3</w:t>
                  </w:r>
                  <w:r>
                    <w:rPr>
                      <w:rFonts w:hint="eastAsia" w:ascii="Times New Roman" w:hAnsi="Times New Roman" w:eastAsia="宋体"/>
                      <w:smallCaps w:val="0"/>
                      <w:color w:val="auto"/>
                      <w:spacing w:val="6"/>
                      <w:szCs w:val="21"/>
                      <w:highlight w:val="none"/>
                    </w:rPr>
                    <w:t>-N</w:t>
                  </w:r>
                </w:p>
              </w:tc>
              <w:tc>
                <w:tcPr>
                  <w:tcW w:w="968" w:type="pct"/>
                  <w:vAlign w:val="center"/>
                </w:tcPr>
                <w:p w14:paraId="7AA98467">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0.</w:t>
                  </w:r>
                  <w:r>
                    <w:rPr>
                      <w:rFonts w:hint="eastAsia"/>
                      <w:smallCaps w:val="0"/>
                      <w:color w:val="auto"/>
                      <w:szCs w:val="21"/>
                      <w:highlight w:val="none"/>
                      <w:lang w:val="en-US" w:eastAsia="zh-CN"/>
                    </w:rPr>
                    <w:t>27</w:t>
                  </w:r>
                  <w:r>
                    <w:rPr>
                      <w:rFonts w:hint="eastAsia" w:ascii="Times New Roman" w:hAnsi="Times New Roman" w:eastAsia="宋体"/>
                      <w:smallCaps w:val="0"/>
                      <w:color w:val="auto"/>
                      <w:szCs w:val="21"/>
                      <w:highlight w:val="none"/>
                      <w:lang w:val="en-US" w:eastAsia="zh-CN"/>
                    </w:rPr>
                    <w:t>4~0.</w:t>
                  </w:r>
                  <w:r>
                    <w:rPr>
                      <w:rFonts w:hint="eastAsia"/>
                      <w:smallCaps w:val="0"/>
                      <w:color w:val="auto"/>
                      <w:szCs w:val="21"/>
                      <w:highlight w:val="none"/>
                      <w:lang w:val="en-US" w:eastAsia="zh-CN"/>
                    </w:rPr>
                    <w:t>48</w:t>
                  </w:r>
                </w:p>
              </w:tc>
              <w:tc>
                <w:tcPr>
                  <w:tcW w:w="383" w:type="pct"/>
                  <w:vAlign w:val="center"/>
                </w:tcPr>
                <w:p w14:paraId="0531631E">
                  <w:pPr>
                    <w:snapToGrid w:val="0"/>
                    <w:jc w:val="center"/>
                    <w:textAlignment w:val="center"/>
                    <w:rPr>
                      <w:rFonts w:hint="default"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lang w:val="en-US" w:eastAsia="zh-CN"/>
                    </w:rPr>
                    <w:t>1</w:t>
                  </w:r>
                </w:p>
              </w:tc>
              <w:tc>
                <w:tcPr>
                  <w:tcW w:w="543" w:type="pct"/>
                  <w:vAlign w:val="center"/>
                </w:tcPr>
                <w:p w14:paraId="1574C08A">
                  <w:pPr>
                    <w:snapToGrid w:val="0"/>
                    <w:jc w:val="center"/>
                    <w:textAlignment w:val="center"/>
                    <w:rPr>
                      <w:rFonts w:hint="eastAsia"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rPr>
                    <w:t>0</w:t>
                  </w:r>
                </w:p>
              </w:tc>
            </w:tr>
            <w:tr w14:paraId="5F847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2375269E">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50E3CD11">
                  <w:pPr>
                    <w:snapToGrid w:val="0"/>
                    <w:jc w:val="center"/>
                    <w:rPr>
                      <w:rFonts w:ascii="Times New Roman" w:hAnsi="Times New Roman" w:eastAsia="宋体"/>
                      <w:smallCaps w:val="0"/>
                      <w:color w:val="auto"/>
                      <w:szCs w:val="21"/>
                      <w:highlight w:val="none"/>
                    </w:rPr>
                  </w:pPr>
                </w:p>
              </w:tc>
              <w:tc>
                <w:tcPr>
                  <w:tcW w:w="921" w:type="pct"/>
                  <w:vAlign w:val="center"/>
                </w:tcPr>
                <w:p w14:paraId="222A27B6">
                  <w:pPr>
                    <w:snapToGrid w:val="0"/>
                    <w:jc w:val="center"/>
                    <w:rPr>
                      <w:rFonts w:hint="eastAsia" w:ascii="Times New Roman" w:hAnsi="Times New Roman" w:eastAsia="宋体"/>
                      <w:smallCaps w:val="0"/>
                      <w:color w:val="auto"/>
                      <w:spacing w:val="6"/>
                      <w:szCs w:val="21"/>
                      <w:highlight w:val="none"/>
                    </w:rPr>
                  </w:pPr>
                  <w:r>
                    <w:rPr>
                      <w:rFonts w:hint="eastAsia" w:ascii="Times New Roman" w:hAnsi="Times New Roman" w:eastAsia="宋体"/>
                      <w:smallCaps w:val="0"/>
                      <w:color w:val="auto"/>
                      <w:spacing w:val="6"/>
                      <w:szCs w:val="21"/>
                      <w:highlight w:val="none"/>
                    </w:rPr>
                    <w:t>TP</w:t>
                  </w:r>
                </w:p>
              </w:tc>
              <w:tc>
                <w:tcPr>
                  <w:tcW w:w="968" w:type="pct"/>
                  <w:vAlign w:val="center"/>
                </w:tcPr>
                <w:p w14:paraId="665C2586">
                  <w:pPr>
                    <w:snapToGrid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eastAsia="宋体"/>
                      <w:smallCaps w:val="0"/>
                      <w:color w:val="auto"/>
                      <w:szCs w:val="21"/>
                      <w:highlight w:val="none"/>
                      <w:lang w:val="en-US" w:eastAsia="zh-CN"/>
                    </w:rPr>
                    <w:t>0.1</w:t>
                  </w:r>
                  <w:r>
                    <w:rPr>
                      <w:rFonts w:hint="eastAsia"/>
                      <w:smallCaps w:val="0"/>
                      <w:color w:val="auto"/>
                      <w:szCs w:val="21"/>
                      <w:highlight w:val="none"/>
                      <w:lang w:val="en-US" w:eastAsia="zh-CN"/>
                    </w:rPr>
                    <w:t>2</w:t>
                  </w:r>
                  <w:r>
                    <w:rPr>
                      <w:rFonts w:hint="eastAsia" w:ascii="Times New Roman" w:hAnsi="Times New Roman" w:eastAsia="宋体"/>
                      <w:smallCaps w:val="0"/>
                      <w:color w:val="auto"/>
                      <w:szCs w:val="21"/>
                      <w:highlight w:val="none"/>
                      <w:lang w:val="en-US" w:eastAsia="zh-CN"/>
                    </w:rPr>
                    <w:t>~0.19</w:t>
                  </w:r>
                </w:p>
              </w:tc>
              <w:tc>
                <w:tcPr>
                  <w:tcW w:w="383" w:type="pct"/>
                  <w:vAlign w:val="center"/>
                </w:tcPr>
                <w:p w14:paraId="7653EF5A">
                  <w:pPr>
                    <w:snapToGrid w:val="0"/>
                    <w:jc w:val="center"/>
                    <w:textAlignment w:val="center"/>
                    <w:rPr>
                      <w:rFonts w:hint="default"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lang w:val="en-US" w:eastAsia="zh-CN"/>
                    </w:rPr>
                    <w:t>0.2</w:t>
                  </w:r>
                </w:p>
              </w:tc>
              <w:tc>
                <w:tcPr>
                  <w:tcW w:w="543" w:type="pct"/>
                  <w:vAlign w:val="center"/>
                </w:tcPr>
                <w:p w14:paraId="18165031">
                  <w:pPr>
                    <w:snapToGrid w:val="0"/>
                    <w:jc w:val="center"/>
                    <w:textAlignment w:val="center"/>
                    <w:rPr>
                      <w:rFonts w:hint="eastAsia" w:ascii="Times New Roman" w:hAnsi="Times New Roman" w:eastAsia="宋体" w:cs="Times New Roman"/>
                      <w:smallCaps w:val="0"/>
                      <w:color w:val="auto"/>
                      <w:kern w:val="11"/>
                      <w:sz w:val="21"/>
                      <w:szCs w:val="21"/>
                      <w:highlight w:val="none"/>
                      <w:lang w:val="en-US" w:eastAsia="zh-CN" w:bidi="ar-SA"/>
                    </w:rPr>
                  </w:pPr>
                  <w:r>
                    <w:rPr>
                      <w:rFonts w:hint="eastAsia" w:ascii="Times New Roman" w:hAnsi="Times New Roman" w:eastAsia="宋体"/>
                      <w:smallCaps w:val="0"/>
                      <w:color w:val="auto"/>
                      <w:kern w:val="11"/>
                      <w:szCs w:val="21"/>
                      <w:highlight w:val="none"/>
                    </w:rPr>
                    <w:t>0</w:t>
                  </w:r>
                </w:p>
              </w:tc>
            </w:tr>
            <w:tr w14:paraId="1AB21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9" w:type="pct"/>
                  <w:vMerge w:val="continue"/>
                  <w:vAlign w:val="center"/>
                </w:tcPr>
                <w:p w14:paraId="0B59404E">
                  <w:pPr>
                    <w:snapToGrid w:val="0"/>
                    <w:jc w:val="center"/>
                    <w:rPr>
                      <w:rFonts w:ascii="Times New Roman" w:hAnsi="Times New Roman" w:eastAsia="宋体"/>
                      <w:smallCaps w:val="0"/>
                      <w:color w:val="auto"/>
                      <w:szCs w:val="21"/>
                      <w:highlight w:val="none"/>
                    </w:rPr>
                  </w:pPr>
                </w:p>
              </w:tc>
              <w:tc>
                <w:tcPr>
                  <w:tcW w:w="1454" w:type="pct"/>
                  <w:vMerge w:val="continue"/>
                  <w:vAlign w:val="center"/>
                </w:tcPr>
                <w:p w14:paraId="301340F8">
                  <w:pPr>
                    <w:snapToGrid w:val="0"/>
                    <w:jc w:val="center"/>
                    <w:rPr>
                      <w:rFonts w:ascii="Times New Roman" w:hAnsi="Times New Roman" w:eastAsia="宋体"/>
                      <w:smallCaps w:val="0"/>
                      <w:color w:val="auto"/>
                      <w:szCs w:val="21"/>
                      <w:highlight w:val="none"/>
                    </w:rPr>
                  </w:pPr>
                </w:p>
              </w:tc>
              <w:tc>
                <w:tcPr>
                  <w:tcW w:w="921" w:type="pct"/>
                  <w:vAlign w:val="center"/>
                </w:tcPr>
                <w:p w14:paraId="4B260BB4">
                  <w:pPr>
                    <w:snapToGrid w:val="0"/>
                    <w:jc w:val="center"/>
                    <w:rPr>
                      <w:rFonts w:hint="eastAsia" w:ascii="Times New Roman" w:hAnsi="Times New Roman" w:eastAsia="宋体"/>
                      <w:smallCaps w:val="0"/>
                      <w:color w:val="auto"/>
                      <w:spacing w:val="6"/>
                      <w:szCs w:val="21"/>
                      <w:highlight w:val="none"/>
                      <w:lang w:val="en-US" w:eastAsia="zh-CN"/>
                    </w:rPr>
                  </w:pPr>
                  <w:r>
                    <w:rPr>
                      <w:rFonts w:hint="eastAsia"/>
                      <w:smallCaps w:val="0"/>
                      <w:color w:val="auto"/>
                      <w:spacing w:val="6"/>
                      <w:szCs w:val="21"/>
                      <w:highlight w:val="none"/>
                      <w:lang w:val="en-US" w:eastAsia="zh-CN"/>
                    </w:rPr>
                    <w:t>TN</w:t>
                  </w:r>
                </w:p>
              </w:tc>
              <w:tc>
                <w:tcPr>
                  <w:tcW w:w="968" w:type="pct"/>
                  <w:vAlign w:val="center"/>
                </w:tcPr>
                <w:p w14:paraId="71980C6F">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0.87~0.94</w:t>
                  </w:r>
                </w:p>
              </w:tc>
              <w:tc>
                <w:tcPr>
                  <w:tcW w:w="383" w:type="pct"/>
                  <w:vAlign w:val="center"/>
                </w:tcPr>
                <w:p w14:paraId="7512F08A">
                  <w:pPr>
                    <w:snapToGrid w:val="0"/>
                    <w:jc w:val="center"/>
                    <w:textAlignment w:val="center"/>
                    <w:rPr>
                      <w:rFonts w:hint="default" w:ascii="Times New Roman" w:hAnsi="Times New Roman" w:eastAsia="宋体"/>
                      <w:smallCaps w:val="0"/>
                      <w:color w:val="auto"/>
                      <w:kern w:val="11"/>
                      <w:szCs w:val="21"/>
                      <w:highlight w:val="none"/>
                      <w:lang w:val="en-US" w:eastAsia="zh-CN"/>
                    </w:rPr>
                  </w:pPr>
                  <w:r>
                    <w:rPr>
                      <w:rFonts w:hint="eastAsia"/>
                      <w:smallCaps w:val="0"/>
                      <w:color w:val="auto"/>
                      <w:kern w:val="11"/>
                      <w:szCs w:val="21"/>
                      <w:highlight w:val="none"/>
                      <w:lang w:val="en-US" w:eastAsia="zh-CN"/>
                    </w:rPr>
                    <w:t>1.0</w:t>
                  </w:r>
                </w:p>
              </w:tc>
              <w:tc>
                <w:tcPr>
                  <w:tcW w:w="543" w:type="pct"/>
                  <w:vAlign w:val="center"/>
                </w:tcPr>
                <w:p w14:paraId="39463A8F">
                  <w:pPr>
                    <w:snapToGrid w:val="0"/>
                    <w:jc w:val="center"/>
                    <w:textAlignment w:val="center"/>
                    <w:rPr>
                      <w:rFonts w:hint="eastAsia" w:ascii="Times New Roman" w:hAnsi="Times New Roman" w:eastAsia="宋体"/>
                      <w:smallCaps w:val="0"/>
                      <w:color w:val="auto"/>
                      <w:kern w:val="11"/>
                      <w:szCs w:val="21"/>
                      <w:highlight w:val="none"/>
                      <w:lang w:val="en-US" w:eastAsia="zh-CN"/>
                    </w:rPr>
                  </w:pPr>
                  <w:r>
                    <w:rPr>
                      <w:rFonts w:hint="eastAsia"/>
                      <w:smallCaps w:val="0"/>
                      <w:color w:val="auto"/>
                      <w:kern w:val="11"/>
                      <w:szCs w:val="21"/>
                      <w:highlight w:val="none"/>
                      <w:lang w:val="en-US" w:eastAsia="zh-CN"/>
                    </w:rPr>
                    <w:t>0</w:t>
                  </w:r>
                </w:p>
              </w:tc>
            </w:tr>
          </w:tbl>
          <w:p w14:paraId="622677E2">
            <w:pPr>
              <w:spacing w:line="360" w:lineRule="auto"/>
              <w:ind w:firstLine="504" w:firstLineChars="200"/>
              <w:rPr>
                <w:rFonts w:ascii="Times New Roman" w:hAnsi="Times New Roman" w:eastAsia="宋体" w:cs="宋体"/>
                <w:color w:val="auto"/>
                <w:spacing w:val="6"/>
                <w:sz w:val="24"/>
                <w:highlight w:val="none"/>
              </w:rPr>
            </w:pPr>
            <w:r>
              <w:rPr>
                <w:rFonts w:ascii="Times New Roman" w:hAnsi="Times New Roman" w:eastAsia="宋体" w:cs="宋体"/>
                <w:color w:val="auto"/>
                <w:spacing w:val="6"/>
                <w:sz w:val="24"/>
                <w:highlight w:val="none"/>
              </w:rPr>
              <w:t>监测</w:t>
            </w:r>
            <w:r>
              <w:rPr>
                <w:rFonts w:hint="eastAsia" w:ascii="Times New Roman" w:hAnsi="Times New Roman" w:eastAsia="宋体" w:cs="宋体"/>
                <w:color w:val="auto"/>
                <w:spacing w:val="6"/>
                <w:sz w:val="24"/>
                <w:highlight w:val="none"/>
              </w:rPr>
              <w:t>结果</w:t>
            </w:r>
            <w:r>
              <w:rPr>
                <w:rFonts w:ascii="Times New Roman" w:hAnsi="Times New Roman" w:eastAsia="宋体" w:cs="宋体"/>
                <w:color w:val="auto"/>
                <w:spacing w:val="6"/>
                <w:sz w:val="24"/>
                <w:highlight w:val="none"/>
              </w:rPr>
              <w:t>表明，监测时段内</w:t>
            </w:r>
            <w:r>
              <w:rPr>
                <w:rFonts w:hint="eastAsia" w:cs="宋体"/>
                <w:color w:val="auto"/>
                <w:spacing w:val="6"/>
                <w:sz w:val="24"/>
                <w:highlight w:val="none"/>
                <w:lang w:eastAsia="zh-CN"/>
              </w:rPr>
              <w:t>尧塘河</w:t>
            </w:r>
            <w:r>
              <w:rPr>
                <w:rFonts w:hint="eastAsia" w:ascii="Times New Roman" w:hAnsi="Times New Roman" w:eastAsia="宋体" w:cs="宋体"/>
                <w:color w:val="auto"/>
                <w:spacing w:val="6"/>
                <w:sz w:val="24"/>
                <w:highlight w:val="none"/>
              </w:rPr>
              <w:t>各</w:t>
            </w:r>
            <w:r>
              <w:rPr>
                <w:rFonts w:ascii="Times New Roman" w:hAnsi="Times New Roman" w:eastAsia="宋体" w:cs="宋体"/>
                <w:color w:val="auto"/>
                <w:spacing w:val="6"/>
                <w:sz w:val="24"/>
                <w:highlight w:val="none"/>
              </w:rPr>
              <w:t>监测断面</w:t>
            </w:r>
            <w:r>
              <w:rPr>
                <w:rFonts w:hint="eastAsia" w:ascii="Times New Roman" w:hAnsi="Times New Roman" w:eastAsia="宋体" w:cs="宋体"/>
                <w:color w:val="auto"/>
                <w:kern w:val="0"/>
                <w:sz w:val="24"/>
                <w:highlight w:val="none"/>
              </w:rPr>
              <w:t>pH值</w:t>
            </w:r>
            <w:r>
              <w:rPr>
                <w:rFonts w:ascii="Times New Roman" w:hAnsi="Times New Roman" w:eastAsia="宋体" w:cs="宋体"/>
                <w:color w:val="auto"/>
                <w:kern w:val="0"/>
                <w:sz w:val="24"/>
                <w:highlight w:val="none"/>
              </w:rPr>
              <w:t>、</w:t>
            </w:r>
            <w:r>
              <w:rPr>
                <w:rFonts w:ascii="Times New Roman" w:hAnsi="Times New Roman" w:eastAsia="宋体" w:cs="宋体"/>
                <w:color w:val="auto"/>
                <w:spacing w:val="6"/>
                <w:sz w:val="24"/>
                <w:highlight w:val="none"/>
              </w:rPr>
              <w:t>COD、NH</w:t>
            </w:r>
            <w:r>
              <w:rPr>
                <w:rFonts w:ascii="Times New Roman" w:hAnsi="Times New Roman" w:eastAsia="宋体" w:cs="宋体"/>
                <w:color w:val="auto"/>
                <w:spacing w:val="6"/>
                <w:sz w:val="24"/>
                <w:highlight w:val="none"/>
                <w:vertAlign w:val="subscript"/>
              </w:rPr>
              <w:t>3</w:t>
            </w:r>
            <w:r>
              <w:rPr>
                <w:rFonts w:ascii="Times New Roman" w:hAnsi="Times New Roman" w:eastAsia="宋体" w:cs="宋体"/>
                <w:color w:val="auto"/>
                <w:spacing w:val="6"/>
                <w:sz w:val="24"/>
                <w:highlight w:val="none"/>
              </w:rPr>
              <w:t>-N、TP</w:t>
            </w:r>
            <w:r>
              <w:rPr>
                <w:rFonts w:hint="eastAsia" w:cs="宋体"/>
                <w:color w:val="auto"/>
                <w:spacing w:val="6"/>
                <w:sz w:val="24"/>
                <w:highlight w:val="none"/>
                <w:lang w:eastAsia="zh-CN"/>
              </w:rPr>
              <w:t>、</w:t>
            </w:r>
            <w:r>
              <w:rPr>
                <w:rFonts w:hint="eastAsia" w:cs="宋体"/>
                <w:color w:val="auto"/>
                <w:spacing w:val="6"/>
                <w:sz w:val="24"/>
                <w:highlight w:val="none"/>
                <w:lang w:val="en-US" w:eastAsia="zh-CN"/>
              </w:rPr>
              <w:t>TN</w:t>
            </w:r>
            <w:r>
              <w:rPr>
                <w:rFonts w:ascii="Times New Roman" w:hAnsi="Times New Roman" w:eastAsia="宋体" w:cs="宋体"/>
                <w:color w:val="auto"/>
                <w:spacing w:val="6"/>
                <w:sz w:val="24"/>
                <w:highlight w:val="none"/>
              </w:rPr>
              <w:t>均达到《地表水环境质量标准》（GB3838-2002）中的</w:t>
            </w:r>
            <w:r>
              <w:rPr>
                <w:rFonts w:hint="eastAsia" w:ascii="Times New Roman" w:hAnsi="Times New Roman" w:eastAsia="宋体" w:cs="宋体"/>
                <w:color w:val="auto"/>
                <w:spacing w:val="6"/>
                <w:sz w:val="24"/>
                <w:highlight w:val="none"/>
              </w:rPr>
              <w:t>Ⅲ类</w:t>
            </w:r>
            <w:r>
              <w:rPr>
                <w:rFonts w:ascii="Times New Roman" w:hAnsi="Times New Roman" w:eastAsia="宋体" w:cs="宋体"/>
                <w:color w:val="auto"/>
                <w:spacing w:val="6"/>
                <w:sz w:val="24"/>
                <w:highlight w:val="none"/>
              </w:rPr>
              <w:t>水质标准限值</w:t>
            </w:r>
            <w:r>
              <w:rPr>
                <w:rFonts w:hint="eastAsia" w:ascii="Times New Roman" w:hAnsi="Times New Roman" w:eastAsia="宋体" w:cs="宋体"/>
                <w:color w:val="auto"/>
                <w:spacing w:val="6"/>
                <w:sz w:val="24"/>
                <w:highlight w:val="none"/>
              </w:rPr>
              <w:t>。</w:t>
            </w:r>
          </w:p>
          <w:p w14:paraId="65D1AB48">
            <w:pPr>
              <w:spacing w:line="360" w:lineRule="auto"/>
              <w:ind w:firstLine="482" w:firstLineChars="200"/>
              <w:rPr>
                <w:rFonts w:ascii="Times New Roman" w:hAnsi="Times New Roman" w:eastAsia="宋体" w:cs="宋体"/>
                <w:b/>
                <w:bCs/>
                <w:color w:val="auto"/>
                <w:sz w:val="24"/>
                <w:highlight w:val="none"/>
              </w:rPr>
            </w:pPr>
            <w:r>
              <w:rPr>
                <w:rFonts w:ascii="Times New Roman" w:hAnsi="Times New Roman" w:eastAsia="宋体" w:cs="宋体"/>
                <w:b/>
                <w:bCs/>
                <w:color w:val="auto"/>
                <w:sz w:val="24"/>
                <w:highlight w:val="none"/>
              </w:rPr>
              <w:t>3、</w:t>
            </w:r>
            <w:r>
              <w:rPr>
                <w:rFonts w:hint="eastAsia" w:ascii="Times New Roman" w:hAnsi="Times New Roman" w:eastAsia="宋体" w:cs="宋体"/>
                <w:b/>
                <w:bCs/>
                <w:color w:val="auto"/>
                <w:sz w:val="24"/>
                <w:highlight w:val="none"/>
              </w:rPr>
              <w:t>声环境</w:t>
            </w:r>
            <w:r>
              <w:rPr>
                <w:rFonts w:ascii="Times New Roman" w:hAnsi="Times New Roman" w:eastAsia="宋体" w:cs="宋体"/>
                <w:b/>
                <w:bCs/>
                <w:color w:val="auto"/>
                <w:sz w:val="24"/>
                <w:highlight w:val="none"/>
              </w:rPr>
              <w:t>质量现状</w:t>
            </w:r>
          </w:p>
          <w:p w14:paraId="05F0365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smallCaps w:val="0"/>
                <w:color w:val="auto"/>
                <w:kern w:val="0"/>
                <w:sz w:val="24"/>
                <w:szCs w:val="24"/>
                <w:highlight w:val="none"/>
              </w:rPr>
              <w:t>本项目</w:t>
            </w:r>
            <w:r>
              <w:rPr>
                <w:rFonts w:hint="eastAsia" w:ascii="Times New Roman" w:hAnsi="Times New Roman" w:eastAsia="宋体"/>
                <w:smallCaps w:val="0"/>
                <w:color w:val="auto"/>
                <w:spacing w:val="-4"/>
                <w:sz w:val="24"/>
                <w:szCs w:val="24"/>
                <w:highlight w:val="none"/>
              </w:rPr>
              <w:t>厂界外50米范围内无声环境保护目标</w:t>
            </w:r>
            <w:r>
              <w:rPr>
                <w:rFonts w:hint="eastAsia" w:ascii="Times New Roman" w:hAnsi="Times New Roman" w:eastAsia="宋体" w:cs="宋体"/>
                <w:smallCaps w:val="0"/>
                <w:color w:val="auto"/>
                <w:kern w:val="0"/>
                <w:sz w:val="24"/>
                <w:szCs w:val="24"/>
                <w:highlight w:val="none"/>
              </w:rPr>
              <w:t>，</w:t>
            </w:r>
            <w:r>
              <w:rPr>
                <w:rFonts w:hint="eastAsia" w:ascii="Times New Roman" w:hAnsi="Times New Roman" w:eastAsia="宋体" w:cs="宋体"/>
                <w:smallCaps w:val="0"/>
                <w:color w:val="auto"/>
                <w:kern w:val="0"/>
                <w:sz w:val="24"/>
                <w:szCs w:val="24"/>
                <w:highlight w:val="none"/>
                <w:lang w:val="en-US" w:eastAsia="zh-CN"/>
              </w:rPr>
              <w:t>故无需</w:t>
            </w:r>
            <w:r>
              <w:rPr>
                <w:rFonts w:hint="eastAsia" w:ascii="Times New Roman" w:hAnsi="Times New Roman" w:eastAsia="宋体" w:cs="宋体"/>
                <w:smallCaps w:val="0"/>
                <w:color w:val="auto"/>
                <w:kern w:val="0"/>
                <w:sz w:val="24"/>
                <w:szCs w:val="24"/>
                <w:highlight w:val="none"/>
              </w:rPr>
              <w:t>开展声环境质量现状调查</w:t>
            </w:r>
            <w:r>
              <w:rPr>
                <w:rFonts w:ascii="Times New Roman" w:hAnsi="Times New Roman" w:eastAsia="宋体" w:cs="宋体"/>
                <w:color w:val="auto"/>
                <w:sz w:val="24"/>
                <w:highlight w:val="none"/>
              </w:rPr>
              <w:t>。</w:t>
            </w:r>
          </w:p>
          <w:p w14:paraId="6D2639BF">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4、生态环境</w:t>
            </w:r>
          </w:p>
          <w:p w14:paraId="2BF8860A">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本项目用地范围内不涉及生态环境保护目标，故无需开展生态现状调查。</w:t>
            </w:r>
          </w:p>
          <w:p w14:paraId="0651B05C">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5、电磁辐射</w:t>
            </w:r>
          </w:p>
          <w:p w14:paraId="515E02FB">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本项目涉及</w:t>
            </w:r>
            <w:r>
              <w:rPr>
                <w:rFonts w:hint="eastAsia" w:ascii="Times New Roman" w:hAnsi="Times New Roman" w:eastAsia="宋体" w:cs="宋体"/>
                <w:color w:val="auto"/>
                <w:kern w:val="0"/>
                <w:sz w:val="24"/>
                <w:highlight w:val="none"/>
                <w:lang w:val="en-US" w:eastAsia="zh-CN"/>
              </w:rPr>
              <w:t>使用X-Ray探伤仪，</w:t>
            </w:r>
            <w:r>
              <w:rPr>
                <w:rFonts w:hint="eastAsia" w:cs="宋体"/>
                <w:color w:val="auto"/>
                <w:kern w:val="0"/>
                <w:sz w:val="24"/>
                <w:highlight w:val="none"/>
                <w:lang w:val="en-US" w:eastAsia="zh-CN"/>
              </w:rPr>
              <w:t>涉及电磁辐射，需</w:t>
            </w:r>
            <w:r>
              <w:rPr>
                <w:rFonts w:hint="eastAsia" w:ascii="Times New Roman" w:hAnsi="Times New Roman" w:eastAsia="宋体" w:cs="宋体"/>
                <w:color w:val="auto"/>
                <w:kern w:val="0"/>
                <w:sz w:val="24"/>
                <w:highlight w:val="none"/>
                <w:lang w:val="en-US" w:eastAsia="zh-CN"/>
              </w:rPr>
              <w:t>按照环境管理要求另行办理</w:t>
            </w:r>
            <w:r>
              <w:rPr>
                <w:rFonts w:hint="eastAsia" w:cs="宋体"/>
                <w:color w:val="auto"/>
                <w:kern w:val="0"/>
                <w:sz w:val="24"/>
                <w:highlight w:val="none"/>
                <w:lang w:val="en-US" w:eastAsia="zh-CN"/>
              </w:rPr>
              <w:t>相关环保手续</w:t>
            </w:r>
            <w:r>
              <w:rPr>
                <w:rFonts w:hint="eastAsia" w:ascii="Times New Roman" w:hAnsi="Times New Roman" w:eastAsia="宋体" w:cs="宋体"/>
                <w:color w:val="auto"/>
                <w:kern w:val="0"/>
                <w:sz w:val="24"/>
                <w:highlight w:val="none"/>
              </w:rPr>
              <w:t>。</w:t>
            </w:r>
          </w:p>
          <w:p w14:paraId="085E2BC3">
            <w:pPr>
              <w:spacing w:line="360" w:lineRule="auto"/>
              <w:ind w:firstLine="482" w:firstLineChars="200"/>
              <w:rPr>
                <w:rFonts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6</w:t>
            </w:r>
            <w:r>
              <w:rPr>
                <w:rFonts w:ascii="Times New Roman" w:hAnsi="Times New Roman" w:eastAsia="宋体" w:cs="宋体"/>
                <w:b/>
                <w:bCs/>
                <w:color w:val="auto"/>
                <w:kern w:val="0"/>
                <w:sz w:val="24"/>
                <w:highlight w:val="none"/>
              </w:rPr>
              <w:t>、</w:t>
            </w:r>
            <w:r>
              <w:rPr>
                <w:rFonts w:hint="eastAsia" w:ascii="Times New Roman" w:hAnsi="Times New Roman" w:eastAsia="宋体" w:cs="宋体"/>
                <w:b/>
                <w:bCs/>
                <w:color w:val="auto"/>
                <w:kern w:val="0"/>
                <w:sz w:val="24"/>
                <w:highlight w:val="none"/>
              </w:rPr>
              <w:t>土壤环境</w:t>
            </w:r>
            <w:r>
              <w:rPr>
                <w:rFonts w:ascii="Times New Roman" w:hAnsi="Times New Roman" w:eastAsia="宋体" w:cs="宋体"/>
                <w:b/>
                <w:bCs/>
                <w:color w:val="auto"/>
                <w:kern w:val="0"/>
                <w:sz w:val="24"/>
                <w:highlight w:val="none"/>
              </w:rPr>
              <w:t>质量现状</w:t>
            </w:r>
          </w:p>
          <w:p w14:paraId="56EBFF94">
            <w:pPr>
              <w:spacing w:line="360" w:lineRule="auto"/>
              <w:ind w:firstLine="480" w:firstLineChars="200"/>
              <w:rPr>
                <w:rFonts w:hint="eastAsia"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 w:val="24"/>
                <w:highlight w:val="none"/>
              </w:rPr>
              <w:t>本项目厂区地面已做水泥硬化处理，且各仓库均已做好防风、防雨、防渗措施，正常工况下不会对地下水、土壤造成环境影响，因此无需开展地下水、土壤现状调查</w:t>
            </w:r>
            <w:r>
              <w:rPr>
                <w:rFonts w:ascii="Times New Roman" w:hAnsi="Times New Roman" w:eastAsia="宋体" w:cs="宋体"/>
                <w:color w:val="auto"/>
                <w:kern w:val="0"/>
                <w:sz w:val="24"/>
                <w:highlight w:val="none"/>
              </w:rPr>
              <w:t>。</w:t>
            </w:r>
          </w:p>
        </w:tc>
      </w:tr>
      <w:tr w14:paraId="7074C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0" w:hRule="atLeast"/>
          <w:jc w:val="center"/>
        </w:trPr>
        <w:tc>
          <w:tcPr>
            <w:tcW w:w="800" w:type="dxa"/>
            <w:vAlign w:val="center"/>
          </w:tcPr>
          <w:p w14:paraId="22A295F7">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环境</w:t>
            </w:r>
          </w:p>
          <w:p w14:paraId="311842A1">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保护</w:t>
            </w:r>
          </w:p>
          <w:p w14:paraId="5C838F0A">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目标</w:t>
            </w:r>
          </w:p>
        </w:tc>
        <w:tc>
          <w:tcPr>
            <w:tcW w:w="8190" w:type="dxa"/>
            <w:vAlign w:val="center"/>
          </w:tcPr>
          <w:p w14:paraId="7601BF30">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表3</w:t>
            </w:r>
            <w:r>
              <w:rPr>
                <w:rFonts w:hint="eastAsia" w:ascii="Times New Roman" w:hAnsi="Times New Roman" w:eastAsia="宋体" w:cs="宋体"/>
                <w:b/>
                <w:bCs/>
                <w:color w:val="auto"/>
                <w:spacing w:val="-4"/>
                <w:szCs w:val="21"/>
                <w:highlight w:val="none"/>
              </w:rPr>
              <w:t>.2</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1  建设项目主要环境保护目标、环境功能区划情况一览表</w:t>
            </w:r>
          </w:p>
          <w:tbl>
            <w:tblPr>
              <w:tblStyle w:val="2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4"/>
              <w:gridCol w:w="790"/>
              <w:gridCol w:w="875"/>
              <w:gridCol w:w="1013"/>
              <w:gridCol w:w="850"/>
              <w:gridCol w:w="562"/>
              <w:gridCol w:w="763"/>
              <w:gridCol w:w="800"/>
              <w:gridCol w:w="562"/>
              <w:gridCol w:w="699"/>
            </w:tblGrid>
            <w:tr w14:paraId="3FBC4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Merge w:val="restart"/>
                  <w:vAlign w:val="center"/>
                </w:tcPr>
                <w:p w14:paraId="28954AB9">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环境要素</w:t>
                  </w:r>
                </w:p>
              </w:tc>
              <w:tc>
                <w:tcPr>
                  <w:tcW w:w="495" w:type="pct"/>
                  <w:vMerge w:val="restart"/>
                  <w:vAlign w:val="center"/>
                </w:tcPr>
                <w:p w14:paraId="5A78AD36">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名称</w:t>
                  </w:r>
                </w:p>
              </w:tc>
              <w:tc>
                <w:tcPr>
                  <w:tcW w:w="1184" w:type="pct"/>
                  <w:gridSpan w:val="2"/>
                  <w:vAlign w:val="center"/>
                </w:tcPr>
                <w:p w14:paraId="5891E13C">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经纬度</w:t>
                  </w:r>
                </w:p>
              </w:tc>
              <w:tc>
                <w:tcPr>
                  <w:tcW w:w="533" w:type="pct"/>
                  <w:vMerge w:val="restart"/>
                  <w:vAlign w:val="center"/>
                </w:tcPr>
                <w:p w14:paraId="58F3ADE0">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保护</w:t>
                  </w:r>
                </w:p>
                <w:p w14:paraId="2E0F53CC">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对象</w:t>
                  </w:r>
                </w:p>
              </w:tc>
              <w:tc>
                <w:tcPr>
                  <w:tcW w:w="352" w:type="pct"/>
                  <w:vMerge w:val="restart"/>
                  <w:vAlign w:val="center"/>
                </w:tcPr>
                <w:p w14:paraId="5335BB63">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保护内容</w:t>
                  </w:r>
                </w:p>
              </w:tc>
              <w:tc>
                <w:tcPr>
                  <w:tcW w:w="478" w:type="pct"/>
                  <w:vMerge w:val="restart"/>
                  <w:vAlign w:val="center"/>
                </w:tcPr>
                <w:p w14:paraId="5DFE5B57">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环境</w:t>
                  </w:r>
                </w:p>
                <w:p w14:paraId="332C3277">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功能区</w:t>
                  </w:r>
                </w:p>
              </w:tc>
              <w:tc>
                <w:tcPr>
                  <w:tcW w:w="502" w:type="pct"/>
                  <w:vMerge w:val="restart"/>
                  <w:vAlign w:val="center"/>
                </w:tcPr>
                <w:p w14:paraId="7FC6B690">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规模</w:t>
                  </w:r>
                </w:p>
              </w:tc>
              <w:tc>
                <w:tcPr>
                  <w:tcW w:w="352" w:type="pct"/>
                  <w:vMerge w:val="restart"/>
                  <w:vAlign w:val="center"/>
                </w:tcPr>
                <w:p w14:paraId="75D68860">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相对厂址方位</w:t>
                  </w:r>
                </w:p>
              </w:tc>
              <w:tc>
                <w:tcPr>
                  <w:tcW w:w="438" w:type="pct"/>
                  <w:vMerge w:val="restart"/>
                  <w:vAlign w:val="center"/>
                </w:tcPr>
                <w:p w14:paraId="34C74EC1">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相对厂界距离</w:t>
                  </w:r>
                  <w:r>
                    <w:rPr>
                      <w:rFonts w:ascii="Times New Roman" w:hAnsi="Times New Roman" w:eastAsia="宋体" w:cs="宋体"/>
                      <w:b/>
                      <w:bCs/>
                      <w:color w:val="auto"/>
                      <w:szCs w:val="21"/>
                      <w:highlight w:val="none"/>
                    </w:rPr>
                    <w:t>/m</w:t>
                  </w:r>
                </w:p>
              </w:tc>
            </w:tr>
            <w:tr w14:paraId="072E6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Merge w:val="continue"/>
                  <w:vAlign w:val="center"/>
                </w:tcPr>
                <w:p w14:paraId="19652029">
                  <w:pPr>
                    <w:snapToGrid w:val="0"/>
                    <w:jc w:val="center"/>
                    <w:rPr>
                      <w:rFonts w:ascii="Times New Roman" w:hAnsi="Times New Roman" w:eastAsia="宋体" w:cs="宋体"/>
                      <w:color w:val="auto"/>
                      <w:szCs w:val="21"/>
                      <w:highlight w:val="none"/>
                    </w:rPr>
                  </w:pPr>
                </w:p>
              </w:tc>
              <w:tc>
                <w:tcPr>
                  <w:tcW w:w="495" w:type="pct"/>
                  <w:vMerge w:val="continue"/>
                  <w:vAlign w:val="center"/>
                </w:tcPr>
                <w:p w14:paraId="48A653AA">
                  <w:pPr>
                    <w:snapToGrid w:val="0"/>
                    <w:jc w:val="center"/>
                    <w:rPr>
                      <w:rFonts w:ascii="Times New Roman" w:hAnsi="Times New Roman" w:eastAsia="宋体" w:cs="宋体"/>
                      <w:color w:val="auto"/>
                      <w:szCs w:val="21"/>
                      <w:highlight w:val="none"/>
                    </w:rPr>
                  </w:pPr>
                </w:p>
              </w:tc>
              <w:tc>
                <w:tcPr>
                  <w:tcW w:w="549" w:type="pct"/>
                  <w:vAlign w:val="center"/>
                </w:tcPr>
                <w:p w14:paraId="3D424FEE">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东经</w:t>
                  </w:r>
                </w:p>
              </w:tc>
              <w:tc>
                <w:tcPr>
                  <w:tcW w:w="635" w:type="pct"/>
                  <w:vAlign w:val="center"/>
                </w:tcPr>
                <w:p w14:paraId="05A641CF">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北纬</w:t>
                  </w:r>
                </w:p>
              </w:tc>
              <w:tc>
                <w:tcPr>
                  <w:tcW w:w="533" w:type="pct"/>
                  <w:vMerge w:val="continue"/>
                  <w:vAlign w:val="center"/>
                </w:tcPr>
                <w:p w14:paraId="789D904F">
                  <w:pPr>
                    <w:snapToGrid w:val="0"/>
                    <w:jc w:val="center"/>
                    <w:rPr>
                      <w:rFonts w:ascii="Times New Roman" w:hAnsi="Times New Roman" w:eastAsia="宋体" w:cs="宋体"/>
                      <w:color w:val="auto"/>
                      <w:szCs w:val="21"/>
                      <w:highlight w:val="none"/>
                    </w:rPr>
                  </w:pPr>
                </w:p>
              </w:tc>
              <w:tc>
                <w:tcPr>
                  <w:tcW w:w="352" w:type="pct"/>
                  <w:vMerge w:val="continue"/>
                  <w:vAlign w:val="center"/>
                </w:tcPr>
                <w:p w14:paraId="3BE8F6AD">
                  <w:pPr>
                    <w:snapToGrid w:val="0"/>
                    <w:jc w:val="center"/>
                    <w:rPr>
                      <w:rFonts w:ascii="Times New Roman" w:hAnsi="Times New Roman" w:eastAsia="宋体" w:cs="宋体"/>
                      <w:color w:val="auto"/>
                      <w:szCs w:val="21"/>
                      <w:highlight w:val="none"/>
                    </w:rPr>
                  </w:pPr>
                </w:p>
              </w:tc>
              <w:tc>
                <w:tcPr>
                  <w:tcW w:w="478" w:type="pct"/>
                  <w:vMerge w:val="continue"/>
                  <w:vAlign w:val="center"/>
                </w:tcPr>
                <w:p w14:paraId="19B77A0F">
                  <w:pPr>
                    <w:snapToGrid w:val="0"/>
                    <w:jc w:val="center"/>
                    <w:rPr>
                      <w:rFonts w:ascii="Times New Roman" w:hAnsi="Times New Roman" w:eastAsia="宋体" w:cs="宋体"/>
                      <w:color w:val="auto"/>
                      <w:szCs w:val="21"/>
                      <w:highlight w:val="none"/>
                    </w:rPr>
                  </w:pPr>
                </w:p>
              </w:tc>
              <w:tc>
                <w:tcPr>
                  <w:tcW w:w="502" w:type="pct"/>
                  <w:vMerge w:val="continue"/>
                  <w:vAlign w:val="center"/>
                </w:tcPr>
                <w:p w14:paraId="1E03BC2F">
                  <w:pPr>
                    <w:snapToGrid w:val="0"/>
                    <w:jc w:val="center"/>
                    <w:rPr>
                      <w:rFonts w:ascii="Times New Roman" w:hAnsi="Times New Roman" w:eastAsia="宋体" w:cs="宋体"/>
                      <w:color w:val="auto"/>
                      <w:szCs w:val="21"/>
                      <w:highlight w:val="none"/>
                    </w:rPr>
                  </w:pPr>
                </w:p>
              </w:tc>
              <w:tc>
                <w:tcPr>
                  <w:tcW w:w="352" w:type="pct"/>
                  <w:vMerge w:val="continue"/>
                  <w:vAlign w:val="center"/>
                </w:tcPr>
                <w:p w14:paraId="7B1A20FB">
                  <w:pPr>
                    <w:snapToGrid w:val="0"/>
                    <w:jc w:val="center"/>
                    <w:rPr>
                      <w:rFonts w:ascii="Times New Roman" w:hAnsi="Times New Roman" w:eastAsia="宋体" w:cs="宋体"/>
                      <w:color w:val="auto"/>
                      <w:szCs w:val="21"/>
                      <w:highlight w:val="none"/>
                    </w:rPr>
                  </w:pPr>
                </w:p>
              </w:tc>
              <w:tc>
                <w:tcPr>
                  <w:tcW w:w="438" w:type="pct"/>
                  <w:vMerge w:val="continue"/>
                  <w:vAlign w:val="center"/>
                </w:tcPr>
                <w:p w14:paraId="34363CD3">
                  <w:pPr>
                    <w:snapToGrid w:val="0"/>
                    <w:jc w:val="center"/>
                    <w:rPr>
                      <w:rFonts w:ascii="Times New Roman" w:hAnsi="Times New Roman" w:eastAsia="宋体" w:cs="宋体"/>
                      <w:color w:val="auto"/>
                      <w:szCs w:val="21"/>
                      <w:highlight w:val="none"/>
                    </w:rPr>
                  </w:pPr>
                </w:p>
              </w:tc>
            </w:tr>
            <w:tr w14:paraId="4AEFE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55048342">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大气环境</w:t>
                  </w:r>
                </w:p>
              </w:tc>
              <w:tc>
                <w:tcPr>
                  <w:tcW w:w="495" w:type="pct"/>
                  <w:vAlign w:val="center"/>
                </w:tcPr>
                <w:p w14:paraId="0FB94CA3">
                  <w:pPr>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蓝岭公寓</w:t>
                  </w:r>
                </w:p>
              </w:tc>
              <w:tc>
                <w:tcPr>
                  <w:tcW w:w="549" w:type="pct"/>
                  <w:vAlign w:val="center"/>
                </w:tcPr>
                <w:p w14:paraId="13669C22">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119</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39'29.463"</w:t>
                  </w:r>
                </w:p>
              </w:tc>
              <w:tc>
                <w:tcPr>
                  <w:tcW w:w="635" w:type="pct"/>
                  <w:vAlign w:val="center"/>
                </w:tcPr>
                <w:p w14:paraId="2384DAD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31</w:t>
                  </w:r>
                  <w:r>
                    <w:rPr>
                      <w:rFonts w:ascii="Times New Roman" w:hAnsi="Times New Roman" w:eastAsia="宋体" w:cs="宋体"/>
                      <w:color w:val="auto"/>
                      <w:szCs w:val="21"/>
                      <w:highlight w:val="none"/>
                    </w:rPr>
                    <w:t>°</w:t>
                  </w:r>
                  <w:r>
                    <w:rPr>
                      <w:rFonts w:hint="eastAsia" w:ascii="Times New Roman" w:hAnsi="Times New Roman" w:eastAsia="宋体" w:cs="宋体"/>
                      <w:color w:val="auto"/>
                      <w:szCs w:val="21"/>
                      <w:highlight w:val="none"/>
                    </w:rPr>
                    <w:t>45'37.789"</w:t>
                  </w:r>
                </w:p>
              </w:tc>
              <w:tc>
                <w:tcPr>
                  <w:tcW w:w="533" w:type="pct"/>
                  <w:vAlign w:val="center"/>
                </w:tcPr>
                <w:p w14:paraId="699456C4">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居住区</w:t>
                  </w:r>
                </w:p>
              </w:tc>
              <w:tc>
                <w:tcPr>
                  <w:tcW w:w="352" w:type="pct"/>
                  <w:vAlign w:val="center"/>
                </w:tcPr>
                <w:p w14:paraId="178B6FC8">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人群健康</w:t>
                  </w:r>
                </w:p>
              </w:tc>
              <w:tc>
                <w:tcPr>
                  <w:tcW w:w="478" w:type="pct"/>
                  <w:vAlign w:val="center"/>
                </w:tcPr>
                <w:p w14:paraId="1C45682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二级</w:t>
                  </w:r>
                </w:p>
              </w:tc>
              <w:tc>
                <w:tcPr>
                  <w:tcW w:w="502" w:type="pct"/>
                  <w:vAlign w:val="center"/>
                </w:tcPr>
                <w:p w14:paraId="5A7703C2">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pacing w:val="-23"/>
                      <w:sz w:val="21"/>
                      <w:szCs w:val="21"/>
                      <w:highlight w:val="none"/>
                    </w:rPr>
                    <w:t>约</w:t>
                  </w:r>
                  <w:r>
                    <w:rPr>
                      <w:rFonts w:hint="eastAsia" w:cs="宋体"/>
                      <w:color w:val="auto"/>
                      <w:spacing w:val="-23"/>
                      <w:sz w:val="21"/>
                      <w:szCs w:val="21"/>
                      <w:highlight w:val="none"/>
                      <w:lang w:val="en-US" w:eastAsia="zh-CN"/>
                    </w:rPr>
                    <w:t>10</w:t>
                  </w:r>
                  <w:r>
                    <w:rPr>
                      <w:rFonts w:hint="eastAsia" w:ascii="Times New Roman" w:hAnsi="Times New Roman" w:eastAsia="宋体" w:cs="宋体"/>
                      <w:color w:val="auto"/>
                      <w:spacing w:val="-23"/>
                      <w:sz w:val="21"/>
                      <w:szCs w:val="21"/>
                      <w:highlight w:val="none"/>
                    </w:rPr>
                    <w:t>00人</w:t>
                  </w:r>
                </w:p>
              </w:tc>
              <w:tc>
                <w:tcPr>
                  <w:tcW w:w="352" w:type="pct"/>
                  <w:vAlign w:val="center"/>
                </w:tcPr>
                <w:p w14:paraId="1605942F">
                  <w:pPr>
                    <w:jc w:val="center"/>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W</w:t>
                  </w:r>
                </w:p>
              </w:tc>
              <w:tc>
                <w:tcPr>
                  <w:tcW w:w="438" w:type="pct"/>
                  <w:vAlign w:val="center"/>
                </w:tcPr>
                <w:p w14:paraId="6164957F">
                  <w:pPr>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450</w:t>
                  </w:r>
                </w:p>
              </w:tc>
            </w:tr>
            <w:tr w14:paraId="15666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68C225F7">
                  <w:pPr>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环境要素</w:t>
                  </w:r>
                </w:p>
              </w:tc>
              <w:tc>
                <w:tcPr>
                  <w:tcW w:w="1680" w:type="pct"/>
                  <w:gridSpan w:val="3"/>
                  <w:vAlign w:val="center"/>
                </w:tcPr>
                <w:p w14:paraId="32DC145E">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保护对象名称</w:t>
                  </w:r>
                </w:p>
              </w:tc>
              <w:tc>
                <w:tcPr>
                  <w:tcW w:w="1364" w:type="pct"/>
                  <w:gridSpan w:val="3"/>
                  <w:vAlign w:val="center"/>
                </w:tcPr>
                <w:p w14:paraId="148BC474">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环境功能区划</w:t>
                  </w:r>
                </w:p>
              </w:tc>
              <w:tc>
                <w:tcPr>
                  <w:tcW w:w="502" w:type="pct"/>
                  <w:vAlign w:val="center"/>
                </w:tcPr>
                <w:p w14:paraId="1B338A75">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规模</w:t>
                  </w:r>
                </w:p>
              </w:tc>
              <w:tc>
                <w:tcPr>
                  <w:tcW w:w="352" w:type="pct"/>
                  <w:vAlign w:val="center"/>
                </w:tcPr>
                <w:p w14:paraId="5DF124D5">
                  <w:pPr>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方位</w:t>
                  </w:r>
                </w:p>
              </w:tc>
              <w:tc>
                <w:tcPr>
                  <w:tcW w:w="438" w:type="pct"/>
                  <w:vAlign w:val="center"/>
                </w:tcPr>
                <w:p w14:paraId="7650909F">
                  <w:pPr>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距离/km</w:t>
                  </w:r>
                </w:p>
              </w:tc>
            </w:tr>
            <w:tr w14:paraId="16DA4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76CFD9A6">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地表水环境</w:t>
                  </w:r>
                </w:p>
              </w:tc>
              <w:tc>
                <w:tcPr>
                  <w:tcW w:w="1680" w:type="pct"/>
                  <w:gridSpan w:val="3"/>
                  <w:vAlign w:val="center"/>
                </w:tcPr>
                <w:p w14:paraId="4FDC89D0">
                  <w:pPr>
                    <w:snapToGrid w:val="0"/>
                    <w:jc w:val="center"/>
                    <w:rPr>
                      <w:rFonts w:hint="eastAsia" w:ascii="Times New Roman" w:hAnsi="Times New Roman" w:eastAsia="宋体" w:cs="宋体"/>
                      <w:color w:val="auto"/>
                      <w:szCs w:val="21"/>
                      <w:highlight w:val="none"/>
                      <w:lang w:eastAsia="zh-CN"/>
                    </w:rPr>
                  </w:pPr>
                  <w:r>
                    <w:rPr>
                      <w:rFonts w:hint="eastAsia" w:cs="宋体"/>
                      <w:color w:val="auto"/>
                      <w:szCs w:val="21"/>
                      <w:highlight w:val="none"/>
                      <w:lang w:eastAsia="zh-CN"/>
                    </w:rPr>
                    <w:t>尧塘河</w:t>
                  </w:r>
                </w:p>
              </w:tc>
              <w:tc>
                <w:tcPr>
                  <w:tcW w:w="1364" w:type="pct"/>
                  <w:gridSpan w:val="3"/>
                  <w:vAlign w:val="center"/>
                </w:tcPr>
                <w:p w14:paraId="01461B10">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《江苏省地表水（环境）功能区划（2021~2030年）》（苏政复〔2022〕13号）中的Ⅲ类水质</w:t>
                  </w:r>
                </w:p>
              </w:tc>
              <w:tc>
                <w:tcPr>
                  <w:tcW w:w="502" w:type="pct"/>
                  <w:vAlign w:val="center"/>
                </w:tcPr>
                <w:p w14:paraId="525E432C">
                  <w:pPr>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小</w:t>
                  </w:r>
                  <w:r>
                    <w:rPr>
                      <w:rFonts w:hint="eastAsia" w:ascii="Times New Roman" w:hAnsi="Times New Roman" w:eastAsia="宋体" w:cs="宋体"/>
                      <w:color w:val="auto"/>
                      <w:szCs w:val="21"/>
                      <w:highlight w:val="none"/>
                    </w:rPr>
                    <w:t>河</w:t>
                  </w:r>
                </w:p>
              </w:tc>
              <w:tc>
                <w:tcPr>
                  <w:tcW w:w="352" w:type="pct"/>
                  <w:vAlign w:val="center"/>
                </w:tcPr>
                <w:p w14:paraId="2698DDCD">
                  <w:pPr>
                    <w:jc w:val="center"/>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S</w:t>
                  </w:r>
                </w:p>
              </w:tc>
              <w:tc>
                <w:tcPr>
                  <w:tcW w:w="438" w:type="pct"/>
                  <w:vAlign w:val="center"/>
                </w:tcPr>
                <w:p w14:paraId="1999AE38">
                  <w:pPr>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0.25</w:t>
                  </w:r>
                </w:p>
              </w:tc>
            </w:tr>
            <w:tr w14:paraId="2DA60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2D6823FA">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声环境</w:t>
                  </w:r>
                </w:p>
              </w:tc>
              <w:tc>
                <w:tcPr>
                  <w:tcW w:w="4338" w:type="pct"/>
                  <w:gridSpan w:val="9"/>
                  <w:vAlign w:val="center"/>
                </w:tcPr>
                <w:p w14:paraId="53079F11">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pacing w:val="-4"/>
                      <w:szCs w:val="21"/>
                      <w:highlight w:val="none"/>
                    </w:rPr>
                    <w:t>厂界外50米范围内无声环境保护目标</w:t>
                  </w:r>
                </w:p>
              </w:tc>
            </w:tr>
            <w:tr w14:paraId="38142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100447DF">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地下水环境</w:t>
                  </w:r>
                </w:p>
              </w:tc>
              <w:tc>
                <w:tcPr>
                  <w:tcW w:w="4338" w:type="pct"/>
                  <w:gridSpan w:val="9"/>
                  <w:vAlign w:val="center"/>
                </w:tcPr>
                <w:p w14:paraId="12DC30AC">
                  <w:pPr>
                    <w:jc w:val="center"/>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厂界外500米范围内无地下水集中式饮用水水源和热水、矿泉水、温泉等特殊地下水资源</w:t>
                  </w:r>
                </w:p>
              </w:tc>
            </w:tr>
            <w:tr w14:paraId="4BDB2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1" w:type="pct"/>
                  <w:vAlign w:val="center"/>
                </w:tcPr>
                <w:p w14:paraId="23B6BE0D">
                  <w:pPr>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生态环境</w:t>
                  </w:r>
                </w:p>
              </w:tc>
              <w:tc>
                <w:tcPr>
                  <w:tcW w:w="1680" w:type="pct"/>
                  <w:gridSpan w:val="3"/>
                  <w:vAlign w:val="center"/>
                </w:tcPr>
                <w:p w14:paraId="1BA511AB">
                  <w:pPr>
                    <w:jc w:val="center"/>
                    <w:rPr>
                      <w:rFonts w:ascii="Times New Roman" w:hAnsi="Times New Roman" w:eastAsia="宋体" w:cs="宋体"/>
                      <w:color w:val="auto"/>
                      <w:spacing w:val="-4"/>
                      <w:szCs w:val="21"/>
                      <w:highlight w:val="none"/>
                    </w:rPr>
                  </w:pPr>
                  <w:r>
                    <w:rPr>
                      <w:rFonts w:hint="eastAsia" w:ascii="Times New Roman" w:hAnsi="Times New Roman" w:eastAsia="宋体" w:cs="宋体"/>
                      <w:bCs/>
                      <w:color w:val="auto"/>
                      <w:szCs w:val="21"/>
                      <w:highlight w:val="none"/>
                    </w:rPr>
                    <w:t>钱资荡重要湿地</w:t>
                  </w:r>
                </w:p>
              </w:tc>
              <w:tc>
                <w:tcPr>
                  <w:tcW w:w="1364" w:type="pct"/>
                  <w:gridSpan w:val="3"/>
                  <w:vAlign w:val="center"/>
                </w:tcPr>
                <w:p w14:paraId="05569B1A">
                  <w:pPr>
                    <w:jc w:val="center"/>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《江苏省生态空间管控区域规划》及《江苏省国家级生态保护红线规划》</w:t>
                  </w:r>
                </w:p>
              </w:tc>
              <w:tc>
                <w:tcPr>
                  <w:tcW w:w="502" w:type="pct"/>
                  <w:vAlign w:val="center"/>
                </w:tcPr>
                <w:p w14:paraId="4C3F1F65">
                  <w:pPr>
                    <w:jc w:val="center"/>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《规划》中划定的水域和陆域范围</w:t>
                  </w:r>
                </w:p>
              </w:tc>
              <w:tc>
                <w:tcPr>
                  <w:tcW w:w="352" w:type="pct"/>
                  <w:vAlign w:val="center"/>
                </w:tcPr>
                <w:p w14:paraId="2136FB4E">
                  <w:pPr>
                    <w:jc w:val="center"/>
                    <w:rPr>
                      <w:rFonts w:hint="eastAsia" w:ascii="Times New Roman" w:hAnsi="Times New Roman" w:eastAsia="宋体" w:cs="宋体"/>
                      <w:color w:val="auto"/>
                      <w:spacing w:val="-4"/>
                      <w:szCs w:val="21"/>
                      <w:highlight w:val="none"/>
                      <w:lang w:eastAsia="zh-CN"/>
                    </w:rPr>
                  </w:pPr>
                  <w:r>
                    <w:rPr>
                      <w:rFonts w:hint="eastAsia" w:ascii="Times New Roman" w:hAnsi="Times New Roman" w:eastAsia="宋体" w:cs="宋体"/>
                      <w:color w:val="auto"/>
                      <w:spacing w:val="-4"/>
                      <w:szCs w:val="21"/>
                      <w:highlight w:val="none"/>
                    </w:rPr>
                    <w:t>S</w:t>
                  </w:r>
                  <w:r>
                    <w:rPr>
                      <w:rFonts w:hint="eastAsia" w:cs="宋体"/>
                      <w:color w:val="auto"/>
                      <w:spacing w:val="-4"/>
                      <w:szCs w:val="21"/>
                      <w:highlight w:val="none"/>
                      <w:lang w:val="en-US" w:eastAsia="zh-CN"/>
                    </w:rPr>
                    <w:t>W</w:t>
                  </w:r>
                </w:p>
              </w:tc>
              <w:tc>
                <w:tcPr>
                  <w:tcW w:w="438" w:type="pct"/>
                  <w:vAlign w:val="center"/>
                </w:tcPr>
                <w:p w14:paraId="3B91F0D3">
                  <w:pPr>
                    <w:jc w:val="center"/>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6.5</w:t>
                  </w:r>
                </w:p>
              </w:tc>
            </w:tr>
          </w:tbl>
          <w:p w14:paraId="68C68C84">
            <w:pPr>
              <w:spacing w:line="360" w:lineRule="auto"/>
              <w:ind w:firstLine="420" w:firstLineChars="200"/>
              <w:rPr>
                <w:rFonts w:hint="eastAsia" w:cs="宋体"/>
                <w:color w:val="auto"/>
                <w:szCs w:val="21"/>
                <w:highlight w:val="none"/>
                <w:lang w:val="en-US" w:eastAsia="zh-CN"/>
              </w:rPr>
            </w:pPr>
          </w:p>
          <w:p w14:paraId="4B250EEA">
            <w:pPr>
              <w:spacing w:line="360" w:lineRule="auto"/>
              <w:ind w:firstLine="420" w:firstLineChars="200"/>
              <w:rPr>
                <w:rFonts w:hint="eastAsia" w:cs="宋体"/>
                <w:color w:val="auto"/>
                <w:szCs w:val="21"/>
                <w:highlight w:val="none"/>
                <w:lang w:val="en-US" w:eastAsia="zh-CN"/>
              </w:rPr>
            </w:pPr>
          </w:p>
          <w:p w14:paraId="4B52A62A">
            <w:pPr>
              <w:spacing w:line="360" w:lineRule="auto"/>
              <w:ind w:firstLine="420" w:firstLineChars="200"/>
              <w:rPr>
                <w:rFonts w:hint="eastAsia" w:cs="宋体"/>
                <w:color w:val="auto"/>
                <w:szCs w:val="21"/>
                <w:highlight w:val="none"/>
                <w:lang w:val="en-US" w:eastAsia="zh-CN"/>
              </w:rPr>
            </w:pPr>
          </w:p>
          <w:p w14:paraId="1119CBD9">
            <w:pPr>
              <w:spacing w:line="360" w:lineRule="auto"/>
              <w:ind w:firstLine="420" w:firstLineChars="200"/>
              <w:rPr>
                <w:rFonts w:hint="eastAsia" w:cs="宋体"/>
                <w:color w:val="auto"/>
                <w:szCs w:val="21"/>
                <w:highlight w:val="none"/>
                <w:lang w:val="en-US" w:eastAsia="zh-CN"/>
              </w:rPr>
            </w:pPr>
          </w:p>
          <w:p w14:paraId="3E38C466">
            <w:pPr>
              <w:spacing w:line="360" w:lineRule="auto"/>
              <w:ind w:firstLine="420" w:firstLineChars="200"/>
              <w:rPr>
                <w:rFonts w:hint="eastAsia" w:cs="宋体"/>
                <w:color w:val="auto"/>
                <w:szCs w:val="21"/>
                <w:highlight w:val="none"/>
                <w:lang w:val="en-US" w:eastAsia="zh-CN"/>
              </w:rPr>
            </w:pPr>
          </w:p>
          <w:p w14:paraId="299ABC54">
            <w:pPr>
              <w:spacing w:line="360" w:lineRule="auto"/>
              <w:ind w:firstLine="420" w:firstLineChars="200"/>
              <w:rPr>
                <w:rFonts w:hint="eastAsia" w:cs="宋体"/>
                <w:color w:val="auto"/>
                <w:szCs w:val="21"/>
                <w:highlight w:val="none"/>
                <w:lang w:val="en-US" w:eastAsia="zh-CN"/>
              </w:rPr>
            </w:pPr>
          </w:p>
          <w:p w14:paraId="1DC87640">
            <w:pPr>
              <w:spacing w:line="360" w:lineRule="auto"/>
              <w:ind w:firstLine="420" w:firstLineChars="200"/>
              <w:rPr>
                <w:rFonts w:hint="eastAsia" w:cs="宋体"/>
                <w:color w:val="auto"/>
                <w:szCs w:val="21"/>
                <w:highlight w:val="none"/>
                <w:lang w:val="en-US" w:eastAsia="zh-CN"/>
              </w:rPr>
            </w:pPr>
          </w:p>
          <w:p w14:paraId="62242BAA">
            <w:pPr>
              <w:spacing w:line="360" w:lineRule="auto"/>
              <w:ind w:firstLine="420" w:firstLineChars="200"/>
              <w:rPr>
                <w:rFonts w:hint="eastAsia" w:cs="宋体"/>
                <w:color w:val="auto"/>
                <w:szCs w:val="21"/>
                <w:highlight w:val="none"/>
                <w:lang w:val="en-US" w:eastAsia="zh-CN"/>
              </w:rPr>
            </w:pPr>
          </w:p>
          <w:p w14:paraId="09DE2C54">
            <w:pPr>
              <w:spacing w:line="360" w:lineRule="auto"/>
              <w:ind w:firstLine="420" w:firstLineChars="200"/>
              <w:rPr>
                <w:rFonts w:hint="eastAsia" w:cs="宋体"/>
                <w:color w:val="auto"/>
                <w:szCs w:val="21"/>
                <w:highlight w:val="none"/>
                <w:lang w:val="en-US" w:eastAsia="zh-CN"/>
              </w:rPr>
            </w:pPr>
          </w:p>
          <w:p w14:paraId="7E12C618">
            <w:pPr>
              <w:spacing w:line="360" w:lineRule="auto"/>
              <w:ind w:firstLine="420" w:firstLineChars="200"/>
              <w:rPr>
                <w:rFonts w:hint="eastAsia" w:cs="宋体"/>
                <w:color w:val="auto"/>
                <w:szCs w:val="21"/>
                <w:highlight w:val="none"/>
                <w:lang w:val="en-US" w:eastAsia="zh-CN"/>
              </w:rPr>
            </w:pPr>
          </w:p>
          <w:p w14:paraId="5DDEC21C">
            <w:pPr>
              <w:spacing w:line="360" w:lineRule="auto"/>
              <w:ind w:firstLine="420" w:firstLineChars="200"/>
              <w:rPr>
                <w:rFonts w:hint="eastAsia" w:cs="宋体"/>
                <w:color w:val="auto"/>
                <w:szCs w:val="21"/>
                <w:highlight w:val="none"/>
                <w:lang w:val="en-US" w:eastAsia="zh-CN"/>
              </w:rPr>
            </w:pPr>
          </w:p>
          <w:p w14:paraId="45F9EB98">
            <w:pPr>
              <w:spacing w:line="360" w:lineRule="auto"/>
              <w:ind w:firstLine="420" w:firstLineChars="200"/>
              <w:rPr>
                <w:rFonts w:hint="eastAsia" w:cs="宋体"/>
                <w:color w:val="auto"/>
                <w:szCs w:val="21"/>
                <w:highlight w:val="none"/>
                <w:lang w:val="en-US" w:eastAsia="zh-CN"/>
              </w:rPr>
            </w:pPr>
          </w:p>
          <w:p w14:paraId="3AAB3276">
            <w:pPr>
              <w:spacing w:line="360" w:lineRule="auto"/>
              <w:ind w:firstLine="420" w:firstLineChars="200"/>
              <w:rPr>
                <w:rFonts w:hint="eastAsia" w:ascii="Times New Roman" w:hAnsi="Times New Roman" w:eastAsia="宋体" w:cs="宋体"/>
                <w:color w:val="auto"/>
                <w:szCs w:val="21"/>
                <w:highlight w:val="none"/>
                <w:lang w:val="en-US" w:eastAsia="zh-CN"/>
              </w:rPr>
            </w:pPr>
          </w:p>
        </w:tc>
      </w:tr>
      <w:tr w14:paraId="2ADC8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3" w:hRule="atLeast"/>
          <w:jc w:val="center"/>
        </w:trPr>
        <w:tc>
          <w:tcPr>
            <w:tcW w:w="800" w:type="dxa"/>
            <w:tcMar>
              <w:left w:w="28" w:type="dxa"/>
              <w:right w:w="28" w:type="dxa"/>
            </w:tcMar>
            <w:vAlign w:val="center"/>
          </w:tcPr>
          <w:p w14:paraId="015352C9">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污染</w:t>
            </w:r>
          </w:p>
          <w:p w14:paraId="5D2D6CEC">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物排</w:t>
            </w:r>
          </w:p>
          <w:p w14:paraId="75BF128F">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放控</w:t>
            </w:r>
          </w:p>
          <w:p w14:paraId="5E74759F">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制标</w:t>
            </w:r>
          </w:p>
          <w:p w14:paraId="774A634B">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准</w:t>
            </w:r>
          </w:p>
        </w:tc>
        <w:tc>
          <w:tcPr>
            <w:tcW w:w="8190" w:type="dxa"/>
            <w:vAlign w:val="center"/>
          </w:tcPr>
          <w:p w14:paraId="49696CDA">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1</w:t>
            </w:r>
            <w:r>
              <w:rPr>
                <w:rFonts w:ascii="Times New Roman" w:hAnsi="Times New Roman" w:eastAsia="宋体" w:cs="宋体"/>
                <w:b/>
                <w:color w:val="auto"/>
                <w:sz w:val="24"/>
                <w:highlight w:val="none"/>
              </w:rPr>
              <w:t>、大气污染物排放标准</w:t>
            </w:r>
          </w:p>
          <w:p w14:paraId="6CAC307A">
            <w:pPr>
              <w:spacing w:line="360" w:lineRule="auto"/>
              <w:ind w:firstLine="480" w:firstLineChars="200"/>
              <w:rPr>
                <w:rFonts w:hint="default" w:ascii="Times New Roman" w:hAnsi="Times New Roman" w:eastAsia="宋体" w:cs="宋体"/>
                <w:bCs/>
                <w:color w:val="auto"/>
                <w:sz w:val="24"/>
                <w:highlight w:val="none"/>
                <w:lang w:val="en-US" w:eastAsia="zh-CN"/>
              </w:rPr>
            </w:pPr>
            <w:r>
              <w:rPr>
                <w:rFonts w:hint="eastAsia"/>
                <w:color w:val="auto"/>
                <w:sz w:val="24"/>
                <w:szCs w:val="24"/>
                <w:lang w:val="en-US" w:eastAsia="zh-CN"/>
              </w:rPr>
              <w:t>本项目</w:t>
            </w:r>
            <w:r>
              <w:rPr>
                <w:rFonts w:hint="eastAsia" w:cs="宋体"/>
                <w:bCs/>
                <w:color w:val="auto"/>
                <w:sz w:val="24"/>
                <w:highlight w:val="none"/>
                <w:lang w:val="en-US" w:eastAsia="zh-CN"/>
              </w:rPr>
              <w:t>熔化工序产生的颗粒物、天然气燃烧过程中产生的颗粒物、二氧化硫、氮氧化物、压铸过程中产生的颗粒物、抛丸过程产生的颗粒物</w:t>
            </w:r>
            <w:r>
              <w:rPr>
                <w:rFonts w:hint="eastAsia" w:ascii="Times New Roman" w:hAnsi="Times New Roman" w:eastAsia="宋体" w:cs="宋体"/>
                <w:bCs/>
                <w:color w:val="auto"/>
                <w:sz w:val="24"/>
                <w:highlight w:val="none"/>
              </w:rPr>
              <w:t>，</w:t>
            </w:r>
            <w:r>
              <w:rPr>
                <w:rFonts w:hint="eastAsia" w:cs="宋体"/>
                <w:bCs/>
                <w:color w:val="auto"/>
                <w:sz w:val="24"/>
                <w:highlight w:val="none"/>
                <w:lang w:val="en-US" w:eastAsia="zh-CN"/>
              </w:rPr>
              <w:t>有组织</w:t>
            </w:r>
            <w:r>
              <w:rPr>
                <w:rFonts w:hint="eastAsia" w:ascii="Times New Roman" w:hAnsi="Times New Roman" w:eastAsia="宋体" w:cs="宋体"/>
                <w:bCs/>
                <w:color w:val="auto"/>
                <w:sz w:val="24"/>
                <w:highlight w:val="none"/>
                <w:lang w:val="en-US" w:eastAsia="zh-CN"/>
              </w:rPr>
              <w:t>排放执行《</w:t>
            </w:r>
            <w:r>
              <w:rPr>
                <w:rFonts w:hint="eastAsia" w:eastAsia="宋体" w:cs="宋体"/>
                <w:bCs/>
                <w:color w:val="auto"/>
                <w:sz w:val="24"/>
                <w:highlight w:val="none"/>
                <w:lang w:val="en-US" w:eastAsia="zh-CN"/>
              </w:rPr>
              <w:t>铸造工业大气污染物排放标准</w:t>
            </w:r>
            <w:r>
              <w:rPr>
                <w:rFonts w:hint="eastAsia" w:ascii="Times New Roman" w:hAnsi="Times New Roman" w:eastAsia="宋体" w:cs="宋体"/>
                <w:bCs/>
                <w:color w:val="auto"/>
                <w:sz w:val="24"/>
                <w:highlight w:val="none"/>
                <w:lang w:val="en-US" w:eastAsia="zh-CN"/>
              </w:rPr>
              <w:t>》（</w:t>
            </w:r>
            <w:r>
              <w:rPr>
                <w:rFonts w:hint="eastAsia" w:eastAsia="宋体" w:cs="宋体"/>
                <w:bCs/>
                <w:color w:val="auto"/>
                <w:sz w:val="24"/>
                <w:highlight w:val="none"/>
                <w:lang w:val="en-US" w:eastAsia="zh-CN"/>
              </w:rPr>
              <w:t>GB39726</w:t>
            </w:r>
            <w:r>
              <w:rPr>
                <w:rFonts w:hint="eastAsia" w:ascii="Times New Roman" w:hAnsi="Times New Roman" w:eastAsia="宋体" w:cs="宋体"/>
                <w:bCs/>
                <w:color w:val="auto"/>
                <w:sz w:val="24"/>
                <w:highlight w:val="none"/>
                <w:lang w:val="en-US" w:eastAsia="zh-CN"/>
              </w:rPr>
              <w:t>-2020）表1中的限值</w:t>
            </w:r>
            <w:r>
              <w:rPr>
                <w:rFonts w:hint="eastAsia" w:eastAsia="宋体" w:cs="宋体"/>
                <w:bCs/>
                <w:color w:val="auto"/>
                <w:sz w:val="24"/>
                <w:highlight w:val="none"/>
                <w:lang w:val="en-US" w:eastAsia="zh-CN"/>
              </w:rPr>
              <w:t>，压铸脱模过程中产生的非甲烷总烃</w:t>
            </w:r>
            <w:r>
              <w:rPr>
                <w:rFonts w:hint="eastAsia" w:cs="宋体"/>
                <w:bCs/>
                <w:color w:val="auto"/>
                <w:sz w:val="24"/>
                <w:highlight w:val="none"/>
                <w:lang w:val="en-US" w:eastAsia="zh-CN"/>
              </w:rPr>
              <w:t>有组织</w:t>
            </w:r>
            <w:r>
              <w:rPr>
                <w:rFonts w:hint="eastAsia" w:ascii="Times New Roman" w:hAnsi="Times New Roman" w:eastAsia="宋体" w:cs="宋体"/>
                <w:bCs/>
                <w:color w:val="auto"/>
                <w:sz w:val="24"/>
                <w:highlight w:val="none"/>
                <w:lang w:val="en-US" w:eastAsia="zh-CN"/>
              </w:rPr>
              <w:t>排放执行</w:t>
            </w:r>
            <w:r>
              <w:rPr>
                <w:rFonts w:hint="eastAsia"/>
                <w:bCs/>
                <w:color w:val="auto"/>
                <w:sz w:val="24"/>
                <w:szCs w:val="24"/>
              </w:rPr>
              <w:t>《</w:t>
            </w:r>
            <w:r>
              <w:rPr>
                <w:rFonts w:hint="eastAsia"/>
                <w:bCs/>
                <w:color w:val="auto"/>
                <w:sz w:val="24"/>
                <w:szCs w:val="24"/>
                <w:lang w:val="en-US" w:eastAsia="zh-CN"/>
              </w:rPr>
              <w:t>大气污染物综合排放</w:t>
            </w:r>
            <w:r>
              <w:rPr>
                <w:rFonts w:hint="eastAsia"/>
                <w:bCs/>
                <w:color w:val="auto"/>
                <w:sz w:val="24"/>
                <w:szCs w:val="24"/>
              </w:rPr>
              <w:t>标准》（</w:t>
            </w:r>
            <w:r>
              <w:rPr>
                <w:rFonts w:hint="eastAsia"/>
                <w:bCs/>
                <w:color w:val="auto"/>
                <w:sz w:val="24"/>
                <w:szCs w:val="24"/>
                <w:lang w:val="en-US" w:eastAsia="zh-CN"/>
              </w:rPr>
              <w:t>江苏省地方标准</w:t>
            </w:r>
            <w:r>
              <w:rPr>
                <w:rFonts w:hint="eastAsia"/>
                <w:bCs/>
                <w:color w:val="auto"/>
                <w:sz w:val="24"/>
                <w:szCs w:val="24"/>
              </w:rPr>
              <w:t>DB</w:t>
            </w:r>
            <w:r>
              <w:rPr>
                <w:rFonts w:hint="eastAsia"/>
                <w:bCs/>
                <w:color w:val="auto"/>
                <w:sz w:val="24"/>
                <w:szCs w:val="24"/>
                <w:lang w:val="en-US" w:eastAsia="zh-CN"/>
              </w:rPr>
              <w:t>3</w:t>
            </w:r>
            <w:r>
              <w:rPr>
                <w:rFonts w:hint="eastAsia"/>
                <w:bCs/>
                <w:color w:val="auto"/>
                <w:sz w:val="24"/>
                <w:szCs w:val="24"/>
              </w:rPr>
              <w:t>2/</w:t>
            </w:r>
            <w:r>
              <w:rPr>
                <w:rFonts w:hint="eastAsia"/>
                <w:bCs/>
                <w:color w:val="auto"/>
                <w:sz w:val="24"/>
                <w:szCs w:val="24"/>
                <w:lang w:val="en-US" w:eastAsia="zh-CN"/>
              </w:rPr>
              <w:t>4041</w:t>
            </w:r>
            <w:r>
              <w:rPr>
                <w:rFonts w:hint="eastAsia"/>
                <w:bCs/>
                <w:color w:val="auto"/>
                <w:sz w:val="24"/>
                <w:szCs w:val="24"/>
              </w:rPr>
              <w:t>-202</w:t>
            </w:r>
            <w:r>
              <w:rPr>
                <w:rFonts w:hint="eastAsia"/>
                <w:bCs/>
                <w:color w:val="auto"/>
                <w:sz w:val="24"/>
                <w:szCs w:val="24"/>
                <w:lang w:val="en-US" w:eastAsia="zh-CN"/>
              </w:rPr>
              <w:t>1</w:t>
            </w:r>
            <w:r>
              <w:rPr>
                <w:rFonts w:hint="eastAsia"/>
                <w:bCs/>
                <w:color w:val="auto"/>
                <w:sz w:val="24"/>
                <w:szCs w:val="24"/>
              </w:rPr>
              <w:t>）</w:t>
            </w:r>
            <w:r>
              <w:rPr>
                <w:rFonts w:hint="eastAsia"/>
                <w:bCs/>
                <w:color w:val="auto"/>
                <w:sz w:val="24"/>
                <w:szCs w:val="24"/>
                <w:lang w:val="en-US" w:eastAsia="zh-CN"/>
              </w:rPr>
              <w:t>表1</w:t>
            </w:r>
            <w:r>
              <w:rPr>
                <w:rFonts w:hint="eastAsia" w:ascii="Times New Roman" w:hAnsi="Times New Roman" w:eastAsia="宋体" w:cs="宋体"/>
                <w:bCs/>
                <w:color w:val="auto"/>
                <w:sz w:val="24"/>
                <w:highlight w:val="none"/>
                <w:lang w:val="en-US" w:eastAsia="zh-CN"/>
              </w:rPr>
              <w:t>中的限值</w:t>
            </w:r>
            <w:r>
              <w:rPr>
                <w:rFonts w:hint="eastAsia" w:eastAsia="宋体" w:cs="宋体"/>
                <w:bCs/>
                <w:color w:val="auto"/>
                <w:sz w:val="24"/>
                <w:highlight w:val="none"/>
                <w:lang w:val="en-US" w:eastAsia="zh-CN"/>
              </w:rPr>
              <w:t>，</w:t>
            </w:r>
            <w:r>
              <w:rPr>
                <w:rFonts w:hint="eastAsia" w:ascii="Times New Roman" w:hAnsi="Times New Roman" w:eastAsia="宋体" w:cs="宋体"/>
                <w:bCs/>
                <w:color w:val="auto"/>
                <w:sz w:val="24"/>
                <w:highlight w:val="none"/>
              </w:rPr>
              <w:t>单位边界</w:t>
            </w:r>
            <w:r>
              <w:rPr>
                <w:rFonts w:hint="eastAsia" w:cs="宋体"/>
                <w:bCs/>
                <w:color w:val="auto"/>
                <w:sz w:val="24"/>
                <w:highlight w:val="none"/>
                <w:lang w:val="en-US" w:eastAsia="zh-CN"/>
              </w:rPr>
              <w:t>颗粒物、非甲烷总烃</w:t>
            </w:r>
            <w:r>
              <w:rPr>
                <w:rFonts w:hint="eastAsia" w:ascii="Times New Roman" w:hAnsi="Times New Roman" w:eastAsia="宋体" w:cs="宋体"/>
                <w:bCs/>
                <w:color w:val="auto"/>
                <w:sz w:val="24"/>
                <w:highlight w:val="none"/>
              </w:rPr>
              <w:t>大气污染物排放监控浓度执行《大气污染物综合排放标准》（江苏省地方标准</w:t>
            </w:r>
            <w:r>
              <w:rPr>
                <w:rFonts w:ascii="Times New Roman" w:hAnsi="Times New Roman" w:eastAsia="宋体" w:cs="宋体"/>
                <w:bCs/>
                <w:color w:val="auto"/>
                <w:sz w:val="24"/>
                <w:highlight w:val="none"/>
              </w:rPr>
              <w:t>DB32/4041-2021</w:t>
            </w:r>
            <w:r>
              <w:rPr>
                <w:rFonts w:hint="eastAsia" w:ascii="Times New Roman" w:hAnsi="Times New Roman" w:eastAsia="宋体" w:cs="宋体"/>
                <w:bCs/>
                <w:color w:val="auto"/>
                <w:sz w:val="24"/>
                <w:highlight w:val="none"/>
              </w:rPr>
              <w:t>）表3中的限值</w:t>
            </w:r>
            <w:r>
              <w:rPr>
                <w:rFonts w:hint="eastAsia" w:cs="宋体"/>
                <w:bCs/>
                <w:color w:val="auto"/>
                <w:sz w:val="24"/>
                <w:highlight w:val="none"/>
                <w:lang w:eastAsia="zh-CN"/>
              </w:rPr>
              <w:t>，</w:t>
            </w:r>
            <w:r>
              <w:rPr>
                <w:rFonts w:hint="eastAsia"/>
                <w:bCs/>
                <w:color w:val="auto"/>
                <w:sz w:val="24"/>
                <w:szCs w:val="24"/>
                <w:lang w:val="en-US" w:eastAsia="zh-CN"/>
              </w:rPr>
              <w:t>厂区内</w:t>
            </w:r>
            <w:r>
              <w:rPr>
                <w:rFonts w:hint="eastAsia"/>
                <w:color w:val="auto"/>
                <w:sz w:val="24"/>
                <w:szCs w:val="24"/>
                <w:lang w:val="en-US" w:eastAsia="zh-CN"/>
              </w:rPr>
              <w:t>非甲烷总烃</w:t>
            </w:r>
            <w:r>
              <w:rPr>
                <w:color w:val="auto"/>
                <w:sz w:val="24"/>
                <w:szCs w:val="24"/>
              </w:rPr>
              <w:t>无组织排放监控点浓度应符合</w:t>
            </w:r>
            <w:r>
              <w:rPr>
                <w:rFonts w:hint="eastAsia" w:ascii="Times New Roman" w:hAnsi="Times New Roman" w:eastAsia="宋体" w:cs="宋体"/>
                <w:bCs/>
                <w:color w:val="auto"/>
                <w:sz w:val="24"/>
                <w:highlight w:val="none"/>
              </w:rPr>
              <w:t>《大气污染物综合排放标准》（江苏省地方标准</w:t>
            </w:r>
            <w:r>
              <w:rPr>
                <w:rFonts w:ascii="Times New Roman" w:hAnsi="Times New Roman" w:eastAsia="宋体" w:cs="宋体"/>
                <w:bCs/>
                <w:color w:val="auto"/>
                <w:sz w:val="24"/>
                <w:highlight w:val="none"/>
              </w:rPr>
              <w:t>DB32/4041-2021</w:t>
            </w:r>
            <w:r>
              <w:rPr>
                <w:rFonts w:hint="eastAsia" w:ascii="Times New Roman" w:hAnsi="Times New Roman" w:eastAsia="宋体" w:cs="宋体"/>
                <w:bCs/>
                <w:color w:val="auto"/>
                <w:sz w:val="24"/>
                <w:highlight w:val="none"/>
              </w:rPr>
              <w:t>）表</w:t>
            </w:r>
            <w:r>
              <w:rPr>
                <w:rFonts w:hint="eastAsia" w:eastAsia="宋体" w:cs="宋体"/>
                <w:bCs/>
                <w:color w:val="auto"/>
                <w:sz w:val="24"/>
                <w:highlight w:val="none"/>
                <w:lang w:val="en-US" w:eastAsia="zh-CN"/>
              </w:rPr>
              <w:t>2</w:t>
            </w:r>
            <w:r>
              <w:rPr>
                <w:color w:val="auto"/>
                <w:sz w:val="24"/>
                <w:szCs w:val="24"/>
              </w:rPr>
              <w:t>规定</w:t>
            </w:r>
            <w:r>
              <w:rPr>
                <w:rFonts w:hint="eastAsia"/>
                <w:color w:val="auto"/>
                <w:sz w:val="24"/>
                <w:szCs w:val="24"/>
                <w:lang w:val="en-US" w:eastAsia="zh-CN"/>
              </w:rPr>
              <w:t>的</w:t>
            </w:r>
            <w:r>
              <w:rPr>
                <w:color w:val="auto"/>
                <w:sz w:val="24"/>
                <w:szCs w:val="24"/>
              </w:rPr>
              <w:t>排放限值</w:t>
            </w:r>
            <w:r>
              <w:rPr>
                <w:rFonts w:hint="eastAsia" w:cs="宋体"/>
                <w:bCs/>
                <w:color w:val="auto"/>
                <w:sz w:val="24"/>
                <w:highlight w:val="none"/>
                <w:lang w:eastAsia="zh-CN"/>
              </w:rPr>
              <w:t>，</w:t>
            </w:r>
            <w:r>
              <w:rPr>
                <w:rFonts w:hint="eastAsia"/>
                <w:bCs/>
                <w:color w:val="auto"/>
                <w:sz w:val="24"/>
                <w:szCs w:val="24"/>
                <w:lang w:val="en-US" w:eastAsia="zh-CN"/>
              </w:rPr>
              <w:t>厂区内</w:t>
            </w:r>
            <w:r>
              <w:rPr>
                <w:rFonts w:hint="eastAsia"/>
                <w:color w:val="auto"/>
                <w:sz w:val="24"/>
                <w:szCs w:val="24"/>
                <w:lang w:val="en-US" w:eastAsia="zh-CN"/>
              </w:rPr>
              <w:t>颗粒物</w:t>
            </w:r>
            <w:r>
              <w:rPr>
                <w:color w:val="auto"/>
                <w:sz w:val="24"/>
                <w:szCs w:val="24"/>
              </w:rPr>
              <w:t>无组织排放监控点浓度应符合</w:t>
            </w:r>
            <w:r>
              <w:rPr>
                <w:rFonts w:hint="eastAsia" w:ascii="Times New Roman" w:hAnsi="Times New Roman" w:eastAsia="宋体" w:cs="宋体"/>
                <w:bCs/>
                <w:color w:val="auto"/>
                <w:sz w:val="24"/>
                <w:highlight w:val="none"/>
                <w:lang w:val="en-US" w:eastAsia="zh-CN"/>
              </w:rPr>
              <w:t>《</w:t>
            </w:r>
            <w:r>
              <w:rPr>
                <w:rFonts w:hint="eastAsia" w:eastAsia="宋体" w:cs="宋体"/>
                <w:bCs/>
                <w:color w:val="auto"/>
                <w:sz w:val="24"/>
                <w:highlight w:val="none"/>
                <w:lang w:val="en-US" w:eastAsia="zh-CN"/>
              </w:rPr>
              <w:t>铸造工业大气污染物排放标准</w:t>
            </w:r>
            <w:r>
              <w:rPr>
                <w:rFonts w:hint="eastAsia" w:ascii="Times New Roman" w:hAnsi="Times New Roman" w:eastAsia="宋体" w:cs="宋体"/>
                <w:bCs/>
                <w:color w:val="auto"/>
                <w:sz w:val="24"/>
                <w:highlight w:val="none"/>
                <w:lang w:val="en-US" w:eastAsia="zh-CN"/>
              </w:rPr>
              <w:t>》（</w:t>
            </w:r>
            <w:r>
              <w:rPr>
                <w:rFonts w:hint="eastAsia" w:eastAsia="宋体" w:cs="宋体"/>
                <w:bCs/>
                <w:color w:val="auto"/>
                <w:sz w:val="24"/>
                <w:highlight w:val="none"/>
                <w:lang w:val="en-US" w:eastAsia="zh-CN"/>
              </w:rPr>
              <w:t>GB39726</w:t>
            </w:r>
            <w:r>
              <w:rPr>
                <w:rFonts w:hint="eastAsia" w:ascii="Times New Roman" w:hAnsi="Times New Roman" w:eastAsia="宋体" w:cs="宋体"/>
                <w:bCs/>
                <w:color w:val="auto"/>
                <w:sz w:val="24"/>
                <w:highlight w:val="none"/>
                <w:lang w:val="en-US" w:eastAsia="zh-CN"/>
              </w:rPr>
              <w:t>-2020）</w:t>
            </w:r>
            <w:r>
              <w:rPr>
                <w:rFonts w:hint="eastAsia" w:ascii="Times New Roman" w:hAnsi="Times New Roman" w:eastAsia="宋体" w:cs="宋体"/>
                <w:bCs/>
                <w:color w:val="auto"/>
                <w:sz w:val="24"/>
                <w:highlight w:val="none"/>
              </w:rPr>
              <w:t>表</w:t>
            </w:r>
            <w:r>
              <w:rPr>
                <w:rFonts w:hint="eastAsia" w:eastAsia="宋体" w:cs="宋体"/>
                <w:bCs/>
                <w:color w:val="auto"/>
                <w:sz w:val="24"/>
                <w:highlight w:val="none"/>
                <w:lang w:val="en-US" w:eastAsia="zh-CN"/>
              </w:rPr>
              <w:t>A.1</w:t>
            </w:r>
            <w:r>
              <w:rPr>
                <w:color w:val="auto"/>
                <w:sz w:val="24"/>
                <w:szCs w:val="24"/>
              </w:rPr>
              <w:t>规定</w:t>
            </w:r>
            <w:r>
              <w:rPr>
                <w:rFonts w:hint="eastAsia"/>
                <w:color w:val="auto"/>
                <w:sz w:val="24"/>
                <w:szCs w:val="24"/>
                <w:lang w:val="en-US" w:eastAsia="zh-CN"/>
              </w:rPr>
              <w:t>的</w:t>
            </w:r>
            <w:r>
              <w:rPr>
                <w:color w:val="auto"/>
                <w:sz w:val="24"/>
                <w:szCs w:val="24"/>
              </w:rPr>
              <w:t>排放限值</w:t>
            </w:r>
            <w:r>
              <w:rPr>
                <w:rFonts w:hint="eastAsia" w:ascii="Times New Roman" w:hAnsi="Times New Roman" w:eastAsia="宋体" w:cs="宋体"/>
                <w:bCs/>
                <w:color w:val="auto"/>
                <w:sz w:val="24"/>
                <w:highlight w:val="none"/>
              </w:rPr>
              <w:t>。</w:t>
            </w:r>
          </w:p>
          <w:p w14:paraId="5E395708">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3.3-1  </w:t>
            </w:r>
            <w:r>
              <w:rPr>
                <w:rFonts w:hint="eastAsia" w:cs="宋体"/>
                <w:b/>
                <w:bCs/>
                <w:color w:val="auto"/>
                <w:spacing w:val="-4"/>
                <w:szCs w:val="21"/>
                <w:highlight w:val="none"/>
                <w:lang w:val="en-US" w:eastAsia="zh-CN"/>
              </w:rPr>
              <w:t>本项目</w:t>
            </w:r>
            <w:r>
              <w:rPr>
                <w:rFonts w:ascii="Times New Roman" w:hAnsi="Times New Roman" w:eastAsia="宋体" w:cs="宋体"/>
                <w:b/>
                <w:bCs/>
                <w:color w:val="auto"/>
                <w:spacing w:val="-4"/>
                <w:szCs w:val="21"/>
                <w:highlight w:val="none"/>
              </w:rPr>
              <w:t>大气污染物排放标准</w:t>
            </w:r>
          </w:p>
          <w:tbl>
            <w:tblPr>
              <w:tblStyle w:val="21"/>
              <w:tblW w:w="499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13"/>
              <w:gridCol w:w="945"/>
              <w:gridCol w:w="1122"/>
              <w:gridCol w:w="1050"/>
              <w:gridCol w:w="1037"/>
              <w:gridCol w:w="1066"/>
              <w:gridCol w:w="830"/>
            </w:tblGrid>
            <w:tr w14:paraId="13D42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tcBorders>
                    <w:tl2br w:val="nil"/>
                    <w:tr2bl w:val="nil"/>
                  </w:tcBorders>
                  <w:vAlign w:val="center"/>
                </w:tcPr>
                <w:p w14:paraId="1C562A3B">
                  <w:pPr>
                    <w:keepLine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执行标准</w:t>
                  </w:r>
                </w:p>
              </w:tc>
              <w:tc>
                <w:tcPr>
                  <w:tcW w:w="593" w:type="pct"/>
                  <w:tcBorders>
                    <w:tl2br w:val="nil"/>
                    <w:tr2bl w:val="nil"/>
                  </w:tcBorders>
                  <w:vAlign w:val="center"/>
                </w:tcPr>
                <w:p w14:paraId="4EF5E457">
                  <w:pPr>
                    <w:keepLine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表号级别</w:t>
                  </w:r>
                </w:p>
              </w:tc>
              <w:tc>
                <w:tcPr>
                  <w:tcW w:w="1363" w:type="pct"/>
                  <w:gridSpan w:val="2"/>
                  <w:tcBorders>
                    <w:tl2br w:val="nil"/>
                    <w:tr2bl w:val="nil"/>
                  </w:tcBorders>
                  <w:vAlign w:val="center"/>
                </w:tcPr>
                <w:p w14:paraId="64AAE695">
                  <w:pPr>
                    <w:keepLine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指标</w:t>
                  </w:r>
                </w:p>
              </w:tc>
              <w:tc>
                <w:tcPr>
                  <w:tcW w:w="651" w:type="pct"/>
                  <w:tcBorders>
                    <w:tl2br w:val="nil"/>
                    <w:tr2bl w:val="nil"/>
                  </w:tcBorders>
                  <w:vAlign w:val="center"/>
                </w:tcPr>
                <w:p w14:paraId="2FC483B9">
                  <w:pPr>
                    <w:keepLine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标准限值</w:t>
                  </w:r>
                </w:p>
              </w:tc>
              <w:tc>
                <w:tcPr>
                  <w:tcW w:w="1190" w:type="pct"/>
                  <w:gridSpan w:val="2"/>
                  <w:tcBorders>
                    <w:tl2br w:val="nil"/>
                    <w:tr2bl w:val="nil"/>
                  </w:tcBorders>
                  <w:vAlign w:val="center"/>
                </w:tcPr>
                <w:p w14:paraId="1BAAC0E5">
                  <w:pPr>
                    <w:keepLines/>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无组织监控浓度</w:t>
                  </w:r>
                </w:p>
              </w:tc>
            </w:tr>
            <w:tr w14:paraId="72D8B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restart"/>
                  <w:tcBorders>
                    <w:tl2br w:val="nil"/>
                    <w:tr2bl w:val="nil"/>
                  </w:tcBorders>
                  <w:vAlign w:val="center"/>
                </w:tcPr>
                <w:p w14:paraId="47FA4824">
                  <w:pPr>
                    <w:keepLines/>
                    <w:snapToGrid w:val="0"/>
                    <w:jc w:val="center"/>
                    <w:rPr>
                      <w:rFonts w:ascii="Times New Roman" w:hAnsi="Times New Roman" w:eastAsia="宋体" w:cs="宋体"/>
                      <w:color w:val="auto"/>
                      <w:szCs w:val="21"/>
                      <w:highlight w:val="none"/>
                    </w:rPr>
                  </w:pPr>
                  <w:r>
                    <w:rPr>
                      <w:rFonts w:hint="eastAsia" w:cs="宋体"/>
                      <w:color w:val="auto"/>
                      <w:szCs w:val="21"/>
                      <w:highlight w:val="none"/>
                      <w:lang w:eastAsia="zh-CN"/>
                    </w:rPr>
                    <w:t>《</w:t>
                  </w:r>
                  <w:r>
                    <w:rPr>
                      <w:rFonts w:hint="eastAsia" w:ascii="Times New Roman" w:hAnsi="Times New Roman" w:eastAsia="宋体" w:cs="宋体"/>
                      <w:color w:val="auto"/>
                      <w:szCs w:val="21"/>
                      <w:highlight w:val="none"/>
                    </w:rPr>
                    <w:t>铸造工业大气污染物排放标准》（GB39726-2020）</w:t>
                  </w:r>
                </w:p>
              </w:tc>
              <w:tc>
                <w:tcPr>
                  <w:tcW w:w="593" w:type="pct"/>
                  <w:vMerge w:val="restart"/>
                  <w:tcBorders>
                    <w:tl2br w:val="nil"/>
                    <w:tr2bl w:val="nil"/>
                  </w:tcBorders>
                  <w:vAlign w:val="center"/>
                </w:tcPr>
                <w:p w14:paraId="5703281F">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表</w:t>
                  </w:r>
                  <w:r>
                    <w:rPr>
                      <w:rFonts w:ascii="Times New Roman" w:hAnsi="Times New Roman" w:eastAsia="宋体" w:cs="宋体"/>
                      <w:color w:val="auto"/>
                      <w:szCs w:val="21"/>
                      <w:highlight w:val="none"/>
                    </w:rPr>
                    <w:t>1</w:t>
                  </w:r>
                </w:p>
              </w:tc>
              <w:tc>
                <w:tcPr>
                  <w:tcW w:w="704" w:type="pct"/>
                  <w:tcBorders>
                    <w:tl2br w:val="nil"/>
                    <w:tr2bl w:val="nil"/>
                  </w:tcBorders>
                  <w:vAlign w:val="center"/>
                </w:tcPr>
                <w:p w14:paraId="1BF23532">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w:t>
                  </w:r>
                </w:p>
              </w:tc>
              <w:tc>
                <w:tcPr>
                  <w:tcW w:w="659" w:type="pct"/>
                  <w:tcBorders>
                    <w:tl2br w:val="nil"/>
                    <w:tr2bl w:val="nil"/>
                  </w:tcBorders>
                  <w:vAlign w:val="center"/>
                </w:tcPr>
                <w:p w14:paraId="6C44CDAC">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最高允许排放浓度</w:t>
                  </w:r>
                </w:p>
              </w:tc>
              <w:tc>
                <w:tcPr>
                  <w:tcW w:w="651" w:type="pct"/>
                  <w:tcBorders>
                    <w:tl2br w:val="nil"/>
                    <w:tr2bl w:val="nil"/>
                  </w:tcBorders>
                  <w:vAlign w:val="center"/>
                </w:tcPr>
                <w:p w14:paraId="06511803">
                  <w:pPr>
                    <w:keepLine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3</w:t>
                  </w:r>
                  <w:r>
                    <w:rPr>
                      <w:rFonts w:hint="eastAsia" w:ascii="Times New Roman" w:hAnsi="Times New Roman" w:eastAsia="宋体" w:cs="宋体"/>
                      <w:color w:val="auto"/>
                      <w:szCs w:val="21"/>
                      <w:highlight w:val="none"/>
                    </w:rPr>
                    <w:t>0</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c>
                <w:tcPr>
                  <w:tcW w:w="669" w:type="pct"/>
                  <w:vMerge w:val="restart"/>
                  <w:tcBorders>
                    <w:tl2br w:val="nil"/>
                    <w:tr2bl w:val="nil"/>
                  </w:tcBorders>
                  <w:vAlign w:val="center"/>
                </w:tcPr>
                <w:p w14:paraId="3918D69F">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c>
                <w:tcPr>
                  <w:tcW w:w="521" w:type="pct"/>
                  <w:tcBorders>
                    <w:tl2br w:val="nil"/>
                    <w:tr2bl w:val="nil"/>
                  </w:tcBorders>
                  <w:vAlign w:val="center"/>
                </w:tcPr>
                <w:p w14:paraId="449E057F">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r>
            <w:tr w14:paraId="6A0CD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6735CC4C">
                  <w:pPr>
                    <w:widowControl/>
                    <w:jc w:val="center"/>
                    <w:rPr>
                      <w:rFonts w:ascii="Times New Roman" w:hAnsi="Times New Roman" w:eastAsia="宋体" w:cs="宋体"/>
                      <w:color w:val="auto"/>
                      <w:szCs w:val="21"/>
                      <w:highlight w:val="none"/>
                    </w:rPr>
                  </w:pPr>
                </w:p>
              </w:tc>
              <w:tc>
                <w:tcPr>
                  <w:tcW w:w="593" w:type="pct"/>
                  <w:vMerge w:val="continue"/>
                  <w:tcBorders>
                    <w:tl2br w:val="nil"/>
                    <w:tr2bl w:val="nil"/>
                  </w:tcBorders>
                  <w:vAlign w:val="center"/>
                </w:tcPr>
                <w:p w14:paraId="597076CC">
                  <w:pPr>
                    <w:widowControl/>
                    <w:jc w:val="center"/>
                    <w:rPr>
                      <w:rFonts w:ascii="Times New Roman" w:hAnsi="Times New Roman" w:eastAsia="宋体" w:cs="宋体"/>
                      <w:color w:val="auto"/>
                      <w:szCs w:val="21"/>
                      <w:highlight w:val="none"/>
                    </w:rPr>
                  </w:pPr>
                </w:p>
              </w:tc>
              <w:tc>
                <w:tcPr>
                  <w:tcW w:w="704" w:type="pct"/>
                  <w:tcBorders>
                    <w:tl2br w:val="nil"/>
                    <w:tr2bl w:val="nil"/>
                  </w:tcBorders>
                  <w:vAlign w:val="center"/>
                </w:tcPr>
                <w:p w14:paraId="08E96C21">
                  <w:pPr>
                    <w:widowControl/>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SO</w:t>
                  </w:r>
                  <w:r>
                    <w:rPr>
                      <w:rFonts w:hint="eastAsia" w:cs="宋体"/>
                      <w:color w:val="auto"/>
                      <w:szCs w:val="21"/>
                      <w:highlight w:val="none"/>
                      <w:vertAlign w:val="subscript"/>
                      <w:lang w:val="en-US" w:eastAsia="zh-CN"/>
                    </w:rPr>
                    <w:t>2</w:t>
                  </w:r>
                </w:p>
              </w:tc>
              <w:tc>
                <w:tcPr>
                  <w:tcW w:w="659" w:type="pct"/>
                  <w:tcBorders>
                    <w:tl2br w:val="nil"/>
                    <w:tr2bl w:val="nil"/>
                  </w:tcBorders>
                  <w:vAlign w:val="center"/>
                </w:tcPr>
                <w:p w14:paraId="6F228DF0">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最高允许排放浓度</w:t>
                  </w:r>
                </w:p>
              </w:tc>
              <w:tc>
                <w:tcPr>
                  <w:tcW w:w="651" w:type="pct"/>
                  <w:tcBorders>
                    <w:tl2br w:val="nil"/>
                    <w:tr2bl w:val="nil"/>
                  </w:tcBorders>
                  <w:vAlign w:val="center"/>
                </w:tcPr>
                <w:p w14:paraId="48CA8A7B">
                  <w:pPr>
                    <w:keepLine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10</w:t>
                  </w:r>
                  <w:r>
                    <w:rPr>
                      <w:rFonts w:hint="eastAsia" w:ascii="Times New Roman" w:hAnsi="Times New Roman" w:eastAsia="宋体" w:cs="宋体"/>
                      <w:color w:val="auto"/>
                      <w:szCs w:val="21"/>
                      <w:highlight w:val="none"/>
                    </w:rPr>
                    <w:t>0</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c>
                <w:tcPr>
                  <w:tcW w:w="669" w:type="pct"/>
                  <w:vMerge w:val="continue"/>
                  <w:tcBorders>
                    <w:tl2br w:val="nil"/>
                    <w:tr2bl w:val="nil"/>
                  </w:tcBorders>
                  <w:vAlign w:val="center"/>
                </w:tcPr>
                <w:p w14:paraId="4276F960">
                  <w:pPr>
                    <w:widowControl/>
                    <w:jc w:val="center"/>
                    <w:rPr>
                      <w:rFonts w:ascii="Times New Roman" w:hAnsi="Times New Roman" w:eastAsia="宋体" w:cs="宋体"/>
                      <w:color w:val="auto"/>
                      <w:szCs w:val="21"/>
                      <w:highlight w:val="none"/>
                    </w:rPr>
                  </w:pPr>
                </w:p>
              </w:tc>
              <w:tc>
                <w:tcPr>
                  <w:tcW w:w="521" w:type="pct"/>
                  <w:tcBorders>
                    <w:tl2br w:val="nil"/>
                    <w:tr2bl w:val="nil"/>
                  </w:tcBorders>
                  <w:vAlign w:val="center"/>
                </w:tcPr>
                <w:p w14:paraId="725D2899">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r>
            <w:tr w14:paraId="77A3D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3F5E5040">
                  <w:pPr>
                    <w:widowControl/>
                    <w:jc w:val="center"/>
                    <w:rPr>
                      <w:rFonts w:ascii="Times New Roman" w:hAnsi="Times New Roman" w:eastAsia="宋体" w:cs="宋体"/>
                      <w:color w:val="auto"/>
                      <w:szCs w:val="21"/>
                      <w:highlight w:val="none"/>
                    </w:rPr>
                  </w:pPr>
                </w:p>
              </w:tc>
              <w:tc>
                <w:tcPr>
                  <w:tcW w:w="593" w:type="pct"/>
                  <w:vMerge w:val="continue"/>
                  <w:tcBorders>
                    <w:tl2br w:val="nil"/>
                    <w:tr2bl w:val="nil"/>
                  </w:tcBorders>
                  <w:vAlign w:val="center"/>
                </w:tcPr>
                <w:p w14:paraId="587E8429">
                  <w:pPr>
                    <w:widowControl/>
                    <w:jc w:val="center"/>
                    <w:rPr>
                      <w:rFonts w:ascii="Times New Roman" w:hAnsi="Times New Roman" w:eastAsia="宋体" w:cs="宋体"/>
                      <w:color w:val="auto"/>
                      <w:szCs w:val="21"/>
                      <w:highlight w:val="none"/>
                    </w:rPr>
                  </w:pPr>
                </w:p>
              </w:tc>
              <w:tc>
                <w:tcPr>
                  <w:tcW w:w="704" w:type="pct"/>
                  <w:tcBorders>
                    <w:tl2br w:val="nil"/>
                    <w:tr2bl w:val="nil"/>
                  </w:tcBorders>
                  <w:vAlign w:val="center"/>
                </w:tcPr>
                <w:p w14:paraId="163B1A14">
                  <w:pPr>
                    <w:widowControl/>
                    <w:jc w:val="center"/>
                    <w:rPr>
                      <w:rFonts w:hint="default" w:cs="宋体"/>
                      <w:color w:val="auto"/>
                      <w:szCs w:val="21"/>
                      <w:highlight w:val="none"/>
                      <w:lang w:val="en-US" w:eastAsia="zh-CN"/>
                    </w:rPr>
                  </w:pPr>
                  <w:r>
                    <w:rPr>
                      <w:rFonts w:hint="eastAsia" w:cs="宋体"/>
                      <w:color w:val="auto"/>
                      <w:szCs w:val="21"/>
                      <w:highlight w:val="none"/>
                      <w:lang w:val="en-US" w:eastAsia="zh-CN"/>
                    </w:rPr>
                    <w:t>NOx</w:t>
                  </w:r>
                </w:p>
              </w:tc>
              <w:tc>
                <w:tcPr>
                  <w:tcW w:w="659" w:type="pct"/>
                  <w:tcBorders>
                    <w:tl2br w:val="nil"/>
                    <w:tr2bl w:val="nil"/>
                  </w:tcBorders>
                  <w:vAlign w:val="center"/>
                </w:tcPr>
                <w:p w14:paraId="78812FF4">
                  <w:pPr>
                    <w:keepLine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最高允许排放浓度</w:t>
                  </w:r>
                </w:p>
              </w:tc>
              <w:tc>
                <w:tcPr>
                  <w:tcW w:w="651" w:type="pct"/>
                  <w:tcBorders>
                    <w:tl2br w:val="nil"/>
                    <w:tr2bl w:val="nil"/>
                  </w:tcBorders>
                  <w:vAlign w:val="center"/>
                </w:tcPr>
                <w:p w14:paraId="3DECA722">
                  <w:pPr>
                    <w:keepLines/>
                    <w:snapToGrid w:val="0"/>
                    <w:jc w:val="center"/>
                    <w:rPr>
                      <w:rFonts w:hint="eastAsia" w:ascii="Times New Roman" w:hAnsi="Times New Roman" w:eastAsia="宋体" w:cs="宋体"/>
                      <w:color w:val="auto"/>
                      <w:szCs w:val="21"/>
                      <w:highlight w:val="none"/>
                    </w:rPr>
                  </w:pPr>
                  <w:r>
                    <w:rPr>
                      <w:rFonts w:hint="eastAsia" w:eastAsia="宋体" w:cs="宋体"/>
                      <w:color w:val="auto"/>
                      <w:szCs w:val="21"/>
                      <w:highlight w:val="none"/>
                      <w:lang w:val="en-US" w:eastAsia="zh-CN"/>
                    </w:rPr>
                    <w:t>40</w:t>
                  </w:r>
                  <w:r>
                    <w:rPr>
                      <w:rFonts w:hint="eastAsia" w:ascii="Times New Roman" w:hAnsi="Times New Roman" w:eastAsia="宋体" w:cs="宋体"/>
                      <w:color w:val="auto"/>
                      <w:szCs w:val="21"/>
                      <w:highlight w:val="none"/>
                    </w:rPr>
                    <w:t>0</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c>
                <w:tcPr>
                  <w:tcW w:w="669" w:type="pct"/>
                  <w:vMerge w:val="continue"/>
                  <w:tcBorders>
                    <w:tl2br w:val="nil"/>
                    <w:tr2bl w:val="nil"/>
                  </w:tcBorders>
                  <w:vAlign w:val="center"/>
                </w:tcPr>
                <w:p w14:paraId="1F61585C">
                  <w:pPr>
                    <w:widowControl/>
                    <w:jc w:val="center"/>
                    <w:rPr>
                      <w:rFonts w:ascii="Times New Roman" w:hAnsi="Times New Roman" w:eastAsia="宋体" w:cs="宋体"/>
                      <w:color w:val="auto"/>
                      <w:szCs w:val="21"/>
                      <w:highlight w:val="none"/>
                    </w:rPr>
                  </w:pPr>
                </w:p>
              </w:tc>
              <w:tc>
                <w:tcPr>
                  <w:tcW w:w="521" w:type="pct"/>
                  <w:tcBorders>
                    <w:tl2br w:val="nil"/>
                    <w:tr2bl w:val="nil"/>
                  </w:tcBorders>
                  <w:vAlign w:val="center"/>
                </w:tcPr>
                <w:p w14:paraId="56560D4C">
                  <w:pPr>
                    <w:widowControl/>
                    <w:jc w:val="center"/>
                    <w:rPr>
                      <w:rFonts w:hint="eastAsia" w:ascii="Times New Roman" w:hAnsi="Times New Roman" w:eastAsia="宋体" w:cs="宋体"/>
                      <w:color w:val="auto"/>
                      <w:szCs w:val="21"/>
                      <w:highlight w:val="none"/>
                    </w:rPr>
                  </w:pPr>
                </w:p>
              </w:tc>
            </w:tr>
            <w:tr w14:paraId="59FDF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restart"/>
                  <w:tcBorders>
                    <w:tl2br w:val="nil"/>
                    <w:tr2bl w:val="nil"/>
                  </w:tcBorders>
                  <w:vAlign w:val="center"/>
                </w:tcPr>
                <w:p w14:paraId="521CCE7F">
                  <w:pPr>
                    <w:widowControl/>
                    <w:jc w:val="center"/>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《大气污染物综合排放标准》（</w:t>
                  </w:r>
                  <w:r>
                    <w:rPr>
                      <w:rFonts w:ascii="Times New Roman" w:hAnsi="Times New Roman" w:eastAsia="宋体" w:cs="宋体"/>
                      <w:bCs/>
                      <w:color w:val="auto"/>
                      <w:szCs w:val="21"/>
                      <w:highlight w:val="none"/>
                    </w:rPr>
                    <w:t>DB32/4041-2021</w:t>
                  </w:r>
                  <w:r>
                    <w:rPr>
                      <w:rFonts w:hint="eastAsia" w:ascii="Times New Roman" w:hAnsi="Times New Roman" w:eastAsia="宋体" w:cs="宋体"/>
                      <w:bCs/>
                      <w:color w:val="auto"/>
                      <w:szCs w:val="21"/>
                      <w:highlight w:val="none"/>
                    </w:rPr>
                    <w:t>）</w:t>
                  </w:r>
                </w:p>
              </w:tc>
              <w:tc>
                <w:tcPr>
                  <w:tcW w:w="593" w:type="pct"/>
                  <w:vMerge w:val="restart"/>
                  <w:tcBorders>
                    <w:tl2br w:val="nil"/>
                    <w:tr2bl w:val="nil"/>
                  </w:tcBorders>
                  <w:vAlign w:val="center"/>
                </w:tcPr>
                <w:p w14:paraId="485F5710">
                  <w:pPr>
                    <w:widowControl/>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表</w:t>
                  </w:r>
                  <w:r>
                    <w:rPr>
                      <w:rFonts w:hint="eastAsia" w:cs="宋体"/>
                      <w:color w:val="auto"/>
                      <w:szCs w:val="21"/>
                      <w:highlight w:val="none"/>
                      <w:lang w:val="en-US" w:eastAsia="zh-CN"/>
                    </w:rPr>
                    <w:t>1</w:t>
                  </w:r>
                </w:p>
              </w:tc>
              <w:tc>
                <w:tcPr>
                  <w:tcW w:w="704" w:type="pct"/>
                  <w:vMerge w:val="restart"/>
                  <w:tcBorders>
                    <w:tl2br w:val="nil"/>
                    <w:tr2bl w:val="nil"/>
                  </w:tcBorders>
                  <w:vAlign w:val="center"/>
                </w:tcPr>
                <w:p w14:paraId="37426A8C">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非甲烷总烃</w:t>
                  </w:r>
                </w:p>
              </w:tc>
              <w:tc>
                <w:tcPr>
                  <w:tcW w:w="659" w:type="pct"/>
                  <w:tcBorders>
                    <w:tl2br w:val="nil"/>
                    <w:tr2bl w:val="nil"/>
                  </w:tcBorders>
                  <w:vAlign w:val="center"/>
                </w:tcPr>
                <w:p w14:paraId="6D9B74D3">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最高允许排放浓度</w:t>
                  </w:r>
                </w:p>
              </w:tc>
              <w:tc>
                <w:tcPr>
                  <w:tcW w:w="651" w:type="pct"/>
                  <w:tcBorders>
                    <w:tl2br w:val="nil"/>
                    <w:tr2bl w:val="nil"/>
                  </w:tcBorders>
                  <w:vAlign w:val="center"/>
                </w:tcPr>
                <w:p w14:paraId="1669B5B8">
                  <w:pPr>
                    <w:keepLine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6</w:t>
                  </w:r>
                  <w:r>
                    <w:rPr>
                      <w:rFonts w:hint="eastAsia" w:ascii="Times New Roman" w:hAnsi="Times New Roman" w:eastAsia="宋体" w:cs="宋体"/>
                      <w:color w:val="auto"/>
                      <w:szCs w:val="21"/>
                      <w:highlight w:val="none"/>
                    </w:rPr>
                    <w:t>0</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c>
                <w:tcPr>
                  <w:tcW w:w="669" w:type="pct"/>
                  <w:vMerge w:val="continue"/>
                  <w:tcBorders>
                    <w:tl2br w:val="nil"/>
                    <w:tr2bl w:val="nil"/>
                  </w:tcBorders>
                  <w:vAlign w:val="center"/>
                </w:tcPr>
                <w:p w14:paraId="08EDFCBB">
                  <w:pPr>
                    <w:widowControl/>
                    <w:jc w:val="center"/>
                    <w:rPr>
                      <w:rFonts w:ascii="Times New Roman" w:hAnsi="Times New Roman" w:eastAsia="宋体" w:cs="宋体"/>
                      <w:color w:val="auto"/>
                      <w:szCs w:val="21"/>
                      <w:highlight w:val="none"/>
                    </w:rPr>
                  </w:pPr>
                </w:p>
              </w:tc>
              <w:tc>
                <w:tcPr>
                  <w:tcW w:w="521" w:type="pct"/>
                  <w:vMerge w:val="restart"/>
                  <w:tcBorders>
                    <w:tl2br w:val="nil"/>
                    <w:tr2bl w:val="nil"/>
                  </w:tcBorders>
                  <w:vAlign w:val="center"/>
                </w:tcPr>
                <w:p w14:paraId="7F740F94">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r>
            <w:tr w14:paraId="7DB36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1E9A4C3A">
                  <w:pPr>
                    <w:widowControl/>
                    <w:jc w:val="center"/>
                    <w:rPr>
                      <w:rFonts w:ascii="Times New Roman" w:hAnsi="Times New Roman" w:eastAsia="宋体" w:cs="宋体"/>
                      <w:color w:val="auto"/>
                      <w:szCs w:val="21"/>
                      <w:highlight w:val="none"/>
                    </w:rPr>
                  </w:pPr>
                </w:p>
              </w:tc>
              <w:tc>
                <w:tcPr>
                  <w:tcW w:w="593" w:type="pct"/>
                  <w:vMerge w:val="continue"/>
                  <w:tcBorders>
                    <w:tl2br w:val="nil"/>
                    <w:tr2bl w:val="nil"/>
                  </w:tcBorders>
                  <w:vAlign w:val="center"/>
                </w:tcPr>
                <w:p w14:paraId="1D6F5025">
                  <w:pPr>
                    <w:widowControl/>
                    <w:jc w:val="center"/>
                    <w:rPr>
                      <w:rFonts w:ascii="Times New Roman" w:hAnsi="Times New Roman" w:eastAsia="宋体" w:cs="宋体"/>
                      <w:color w:val="auto"/>
                      <w:szCs w:val="21"/>
                      <w:highlight w:val="none"/>
                    </w:rPr>
                  </w:pPr>
                </w:p>
              </w:tc>
              <w:tc>
                <w:tcPr>
                  <w:tcW w:w="704" w:type="pct"/>
                  <w:vMerge w:val="continue"/>
                  <w:tcBorders>
                    <w:tl2br w:val="nil"/>
                    <w:tr2bl w:val="nil"/>
                  </w:tcBorders>
                  <w:vAlign w:val="center"/>
                </w:tcPr>
                <w:p w14:paraId="30946904">
                  <w:pPr>
                    <w:widowControl/>
                    <w:jc w:val="center"/>
                    <w:rPr>
                      <w:rFonts w:ascii="Times New Roman" w:hAnsi="Times New Roman" w:eastAsia="宋体" w:cs="宋体"/>
                      <w:color w:val="auto"/>
                      <w:szCs w:val="21"/>
                      <w:highlight w:val="none"/>
                    </w:rPr>
                  </w:pPr>
                </w:p>
              </w:tc>
              <w:tc>
                <w:tcPr>
                  <w:tcW w:w="659" w:type="pct"/>
                  <w:tcBorders>
                    <w:tl2br w:val="nil"/>
                    <w:tr2bl w:val="nil"/>
                  </w:tcBorders>
                  <w:vAlign w:val="center"/>
                </w:tcPr>
                <w:p w14:paraId="0C03DB4E">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最高允许排放速率</w:t>
                  </w:r>
                </w:p>
              </w:tc>
              <w:tc>
                <w:tcPr>
                  <w:tcW w:w="651" w:type="pct"/>
                  <w:tcBorders>
                    <w:tl2br w:val="nil"/>
                    <w:tr2bl w:val="nil"/>
                  </w:tcBorders>
                  <w:vAlign w:val="center"/>
                </w:tcPr>
                <w:p w14:paraId="62205344">
                  <w:pPr>
                    <w:keepLines/>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3</w:t>
                  </w:r>
                  <w:r>
                    <w:rPr>
                      <w:rFonts w:ascii="Times New Roman" w:hAnsi="Times New Roman" w:eastAsia="宋体" w:cs="宋体"/>
                      <w:color w:val="auto"/>
                      <w:szCs w:val="21"/>
                      <w:highlight w:val="none"/>
                    </w:rPr>
                    <w:t>kg/h</w:t>
                  </w:r>
                </w:p>
              </w:tc>
              <w:tc>
                <w:tcPr>
                  <w:tcW w:w="669" w:type="pct"/>
                  <w:vMerge w:val="continue"/>
                  <w:tcBorders>
                    <w:tl2br w:val="nil"/>
                    <w:tr2bl w:val="nil"/>
                  </w:tcBorders>
                  <w:vAlign w:val="center"/>
                </w:tcPr>
                <w:p w14:paraId="0786D756">
                  <w:pPr>
                    <w:widowControl/>
                    <w:jc w:val="center"/>
                    <w:rPr>
                      <w:rFonts w:ascii="Times New Roman" w:hAnsi="Times New Roman" w:eastAsia="宋体" w:cs="宋体"/>
                      <w:color w:val="auto"/>
                      <w:szCs w:val="21"/>
                      <w:highlight w:val="none"/>
                    </w:rPr>
                  </w:pPr>
                </w:p>
              </w:tc>
              <w:tc>
                <w:tcPr>
                  <w:tcW w:w="521" w:type="pct"/>
                  <w:vMerge w:val="continue"/>
                  <w:tcBorders>
                    <w:tl2br w:val="nil"/>
                    <w:tr2bl w:val="nil"/>
                  </w:tcBorders>
                  <w:vAlign w:val="center"/>
                </w:tcPr>
                <w:p w14:paraId="33DD27D1">
                  <w:pPr>
                    <w:widowControl/>
                    <w:jc w:val="center"/>
                    <w:rPr>
                      <w:rFonts w:ascii="Times New Roman" w:hAnsi="Times New Roman" w:eastAsia="宋体" w:cs="宋体"/>
                      <w:color w:val="auto"/>
                      <w:szCs w:val="21"/>
                      <w:highlight w:val="none"/>
                    </w:rPr>
                  </w:pPr>
                </w:p>
              </w:tc>
            </w:tr>
            <w:tr w14:paraId="27843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7D8FF941">
                  <w:pPr>
                    <w:widowControl/>
                    <w:jc w:val="center"/>
                    <w:rPr>
                      <w:rFonts w:ascii="Times New Roman" w:hAnsi="Times New Roman" w:eastAsia="宋体" w:cs="宋体"/>
                      <w:color w:val="auto"/>
                      <w:szCs w:val="21"/>
                      <w:highlight w:val="none"/>
                    </w:rPr>
                  </w:pPr>
                </w:p>
              </w:tc>
              <w:tc>
                <w:tcPr>
                  <w:tcW w:w="593" w:type="pct"/>
                  <w:vMerge w:val="restart"/>
                  <w:tcBorders>
                    <w:tl2br w:val="nil"/>
                    <w:tr2bl w:val="nil"/>
                  </w:tcBorders>
                  <w:vAlign w:val="center"/>
                </w:tcPr>
                <w:p w14:paraId="37236A74">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表3</w:t>
                  </w:r>
                </w:p>
              </w:tc>
              <w:tc>
                <w:tcPr>
                  <w:tcW w:w="704" w:type="pct"/>
                  <w:vMerge w:val="continue"/>
                  <w:tcBorders>
                    <w:tl2br w:val="nil"/>
                    <w:tr2bl w:val="nil"/>
                  </w:tcBorders>
                  <w:vAlign w:val="center"/>
                </w:tcPr>
                <w:p w14:paraId="622A3E01">
                  <w:pPr>
                    <w:widowControl/>
                    <w:jc w:val="center"/>
                    <w:rPr>
                      <w:rFonts w:ascii="Times New Roman" w:hAnsi="Times New Roman" w:eastAsia="宋体" w:cs="宋体"/>
                      <w:color w:val="auto"/>
                      <w:szCs w:val="21"/>
                      <w:highlight w:val="none"/>
                    </w:rPr>
                  </w:pPr>
                </w:p>
              </w:tc>
              <w:tc>
                <w:tcPr>
                  <w:tcW w:w="1310" w:type="pct"/>
                  <w:gridSpan w:val="2"/>
                  <w:tcBorders>
                    <w:tl2br w:val="nil"/>
                    <w:tr2bl w:val="nil"/>
                  </w:tcBorders>
                  <w:vAlign w:val="center"/>
                </w:tcPr>
                <w:p w14:paraId="3E01B871">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监控点处</w:t>
                  </w:r>
                </w:p>
                <w:p w14:paraId="72232E9F">
                  <w:pPr>
                    <w:keepLine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1h</w:t>
                  </w:r>
                  <w:r>
                    <w:rPr>
                      <w:rFonts w:hint="eastAsia" w:ascii="Times New Roman" w:hAnsi="Times New Roman" w:eastAsia="宋体" w:cs="宋体"/>
                      <w:color w:val="auto"/>
                      <w:szCs w:val="21"/>
                      <w:highlight w:val="none"/>
                    </w:rPr>
                    <w:t>平均浓度值</w:t>
                  </w:r>
                </w:p>
              </w:tc>
              <w:tc>
                <w:tcPr>
                  <w:tcW w:w="669" w:type="pct"/>
                  <w:vMerge w:val="restart"/>
                  <w:tcBorders>
                    <w:tl2br w:val="nil"/>
                    <w:tr2bl w:val="nil"/>
                  </w:tcBorders>
                  <w:vAlign w:val="center"/>
                </w:tcPr>
                <w:p w14:paraId="7CA1D786">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在厂房外</w:t>
                  </w:r>
                </w:p>
                <w:p w14:paraId="23071571">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设置监控点</w:t>
                  </w:r>
                </w:p>
              </w:tc>
              <w:tc>
                <w:tcPr>
                  <w:tcW w:w="521" w:type="pct"/>
                  <w:tcBorders>
                    <w:tl2br w:val="nil"/>
                    <w:tr2bl w:val="nil"/>
                  </w:tcBorders>
                  <w:vAlign w:val="center"/>
                </w:tcPr>
                <w:p w14:paraId="60E25DC6">
                  <w:pPr>
                    <w:keepLine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6mg/m</w:t>
                  </w:r>
                  <w:r>
                    <w:rPr>
                      <w:rFonts w:ascii="Times New Roman" w:hAnsi="Times New Roman" w:eastAsia="宋体" w:cs="宋体"/>
                      <w:color w:val="auto"/>
                      <w:szCs w:val="21"/>
                      <w:highlight w:val="none"/>
                      <w:vertAlign w:val="superscript"/>
                    </w:rPr>
                    <w:t>3</w:t>
                  </w:r>
                </w:p>
              </w:tc>
            </w:tr>
            <w:tr w14:paraId="36895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416A09D3">
                  <w:pPr>
                    <w:widowControl/>
                    <w:jc w:val="center"/>
                    <w:rPr>
                      <w:rFonts w:ascii="Times New Roman" w:hAnsi="Times New Roman" w:eastAsia="宋体" w:cs="宋体"/>
                      <w:color w:val="auto"/>
                      <w:szCs w:val="21"/>
                      <w:highlight w:val="none"/>
                    </w:rPr>
                  </w:pPr>
                </w:p>
              </w:tc>
              <w:tc>
                <w:tcPr>
                  <w:tcW w:w="593" w:type="pct"/>
                  <w:vMerge w:val="continue"/>
                  <w:tcBorders>
                    <w:tl2br w:val="nil"/>
                    <w:tr2bl w:val="nil"/>
                  </w:tcBorders>
                  <w:vAlign w:val="center"/>
                </w:tcPr>
                <w:p w14:paraId="24B117A4">
                  <w:pPr>
                    <w:widowControl/>
                    <w:jc w:val="center"/>
                    <w:rPr>
                      <w:rFonts w:ascii="Times New Roman" w:hAnsi="Times New Roman" w:eastAsia="宋体" w:cs="宋体"/>
                      <w:color w:val="auto"/>
                      <w:szCs w:val="21"/>
                      <w:highlight w:val="none"/>
                    </w:rPr>
                  </w:pPr>
                </w:p>
              </w:tc>
              <w:tc>
                <w:tcPr>
                  <w:tcW w:w="704" w:type="pct"/>
                  <w:vMerge w:val="continue"/>
                  <w:tcBorders>
                    <w:tl2br w:val="nil"/>
                    <w:tr2bl w:val="nil"/>
                  </w:tcBorders>
                  <w:vAlign w:val="center"/>
                </w:tcPr>
                <w:p w14:paraId="6ED63A4D">
                  <w:pPr>
                    <w:widowControl/>
                    <w:jc w:val="center"/>
                    <w:rPr>
                      <w:rFonts w:ascii="Times New Roman" w:hAnsi="Times New Roman" w:eastAsia="宋体" w:cs="宋体"/>
                      <w:color w:val="auto"/>
                      <w:szCs w:val="21"/>
                      <w:highlight w:val="none"/>
                    </w:rPr>
                  </w:pPr>
                </w:p>
              </w:tc>
              <w:tc>
                <w:tcPr>
                  <w:tcW w:w="1310" w:type="pct"/>
                  <w:gridSpan w:val="2"/>
                  <w:tcBorders>
                    <w:tl2br w:val="nil"/>
                    <w:tr2bl w:val="nil"/>
                  </w:tcBorders>
                  <w:vAlign w:val="center"/>
                </w:tcPr>
                <w:p w14:paraId="65BA5776">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监控点处</w:t>
                  </w:r>
                </w:p>
                <w:p w14:paraId="1A8D552C">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任意一次浓度值</w:t>
                  </w:r>
                </w:p>
              </w:tc>
              <w:tc>
                <w:tcPr>
                  <w:tcW w:w="669" w:type="pct"/>
                  <w:vMerge w:val="continue"/>
                  <w:tcBorders>
                    <w:tl2br w:val="nil"/>
                    <w:tr2bl w:val="nil"/>
                  </w:tcBorders>
                  <w:vAlign w:val="center"/>
                </w:tcPr>
                <w:p w14:paraId="5AB3E749">
                  <w:pPr>
                    <w:widowControl/>
                    <w:jc w:val="center"/>
                    <w:rPr>
                      <w:rFonts w:ascii="Times New Roman" w:hAnsi="Times New Roman" w:eastAsia="宋体" w:cs="宋体"/>
                      <w:color w:val="auto"/>
                      <w:szCs w:val="21"/>
                      <w:highlight w:val="none"/>
                    </w:rPr>
                  </w:pPr>
                </w:p>
              </w:tc>
              <w:tc>
                <w:tcPr>
                  <w:tcW w:w="521" w:type="pct"/>
                  <w:tcBorders>
                    <w:tl2br w:val="nil"/>
                    <w:tr2bl w:val="nil"/>
                  </w:tcBorders>
                  <w:vAlign w:val="center"/>
                </w:tcPr>
                <w:p w14:paraId="43920EA8">
                  <w:pPr>
                    <w:keepLines/>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20mg/m</w:t>
                  </w:r>
                  <w:r>
                    <w:rPr>
                      <w:rFonts w:ascii="Times New Roman" w:hAnsi="Times New Roman" w:eastAsia="宋体" w:cs="宋体"/>
                      <w:color w:val="auto"/>
                      <w:szCs w:val="21"/>
                      <w:highlight w:val="none"/>
                      <w:vertAlign w:val="superscript"/>
                    </w:rPr>
                    <w:t>3</w:t>
                  </w:r>
                </w:p>
              </w:tc>
            </w:tr>
            <w:tr w14:paraId="56984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restart"/>
                  <w:tcBorders>
                    <w:tl2br w:val="nil"/>
                    <w:tr2bl w:val="nil"/>
                  </w:tcBorders>
                  <w:vAlign w:val="center"/>
                </w:tcPr>
                <w:p w14:paraId="313B07C2">
                  <w:pPr>
                    <w:widowControl/>
                    <w:jc w:val="center"/>
                    <w:rPr>
                      <w:rFonts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《大气污染物综合排放标准》（</w:t>
                  </w:r>
                  <w:r>
                    <w:rPr>
                      <w:rFonts w:ascii="Times New Roman" w:hAnsi="Times New Roman" w:eastAsia="宋体" w:cs="宋体"/>
                      <w:bCs/>
                      <w:color w:val="auto"/>
                      <w:szCs w:val="21"/>
                      <w:highlight w:val="none"/>
                    </w:rPr>
                    <w:t>DB32/4041-2021</w:t>
                  </w:r>
                  <w:r>
                    <w:rPr>
                      <w:rFonts w:hint="eastAsia" w:ascii="Times New Roman" w:hAnsi="Times New Roman" w:eastAsia="宋体" w:cs="宋体"/>
                      <w:bCs/>
                      <w:color w:val="auto"/>
                      <w:szCs w:val="21"/>
                      <w:highlight w:val="none"/>
                    </w:rPr>
                    <w:t>）</w:t>
                  </w:r>
                </w:p>
              </w:tc>
              <w:tc>
                <w:tcPr>
                  <w:tcW w:w="593" w:type="pct"/>
                  <w:vMerge w:val="restart"/>
                  <w:tcBorders>
                    <w:tl2br w:val="nil"/>
                    <w:tr2bl w:val="nil"/>
                  </w:tcBorders>
                  <w:vAlign w:val="center"/>
                </w:tcPr>
                <w:p w14:paraId="15BC22DB">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表3</w:t>
                  </w:r>
                </w:p>
              </w:tc>
              <w:tc>
                <w:tcPr>
                  <w:tcW w:w="2014" w:type="pct"/>
                  <w:gridSpan w:val="3"/>
                  <w:tcBorders>
                    <w:tl2br w:val="nil"/>
                    <w:tr2bl w:val="nil"/>
                  </w:tcBorders>
                  <w:vAlign w:val="center"/>
                </w:tcPr>
                <w:p w14:paraId="501ACEC6">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w:t>
                  </w:r>
                </w:p>
              </w:tc>
              <w:tc>
                <w:tcPr>
                  <w:tcW w:w="669" w:type="pct"/>
                  <w:vMerge w:val="restart"/>
                  <w:tcBorders>
                    <w:tl2br w:val="nil"/>
                    <w:tr2bl w:val="nil"/>
                  </w:tcBorders>
                  <w:vAlign w:val="center"/>
                </w:tcPr>
                <w:p w14:paraId="2013B3C9">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周界外浓度最高点</w:t>
                  </w:r>
                </w:p>
              </w:tc>
              <w:tc>
                <w:tcPr>
                  <w:tcW w:w="521" w:type="pct"/>
                  <w:tcBorders>
                    <w:tl2br w:val="nil"/>
                    <w:tr2bl w:val="nil"/>
                  </w:tcBorders>
                  <w:vAlign w:val="center"/>
                </w:tcPr>
                <w:p w14:paraId="2E0E1993">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0.5</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r>
            <w:tr w14:paraId="7B50E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vMerge w:val="continue"/>
                  <w:tcBorders>
                    <w:tl2br w:val="nil"/>
                    <w:tr2bl w:val="nil"/>
                  </w:tcBorders>
                  <w:vAlign w:val="center"/>
                </w:tcPr>
                <w:p w14:paraId="3DD9F079">
                  <w:pPr>
                    <w:widowControl/>
                    <w:jc w:val="center"/>
                    <w:rPr>
                      <w:rFonts w:ascii="Times New Roman" w:hAnsi="Times New Roman" w:eastAsia="宋体" w:cs="宋体"/>
                      <w:color w:val="auto"/>
                      <w:szCs w:val="21"/>
                      <w:highlight w:val="none"/>
                    </w:rPr>
                  </w:pPr>
                </w:p>
              </w:tc>
              <w:tc>
                <w:tcPr>
                  <w:tcW w:w="593" w:type="pct"/>
                  <w:vMerge w:val="continue"/>
                  <w:tcBorders>
                    <w:tl2br w:val="nil"/>
                    <w:tr2bl w:val="nil"/>
                  </w:tcBorders>
                  <w:vAlign w:val="center"/>
                </w:tcPr>
                <w:p w14:paraId="1501C284">
                  <w:pPr>
                    <w:widowControl/>
                    <w:jc w:val="center"/>
                    <w:rPr>
                      <w:rFonts w:ascii="Times New Roman" w:hAnsi="Times New Roman" w:eastAsia="宋体" w:cs="宋体"/>
                      <w:color w:val="auto"/>
                      <w:szCs w:val="21"/>
                      <w:highlight w:val="none"/>
                    </w:rPr>
                  </w:pPr>
                </w:p>
              </w:tc>
              <w:tc>
                <w:tcPr>
                  <w:tcW w:w="2014" w:type="pct"/>
                  <w:gridSpan w:val="3"/>
                  <w:tcBorders>
                    <w:tl2br w:val="nil"/>
                    <w:tr2bl w:val="nil"/>
                  </w:tcBorders>
                  <w:vAlign w:val="center"/>
                </w:tcPr>
                <w:p w14:paraId="3D78DD0B">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非甲烷总烃</w:t>
                  </w:r>
                </w:p>
              </w:tc>
              <w:tc>
                <w:tcPr>
                  <w:tcW w:w="669" w:type="pct"/>
                  <w:vMerge w:val="continue"/>
                  <w:tcBorders>
                    <w:tl2br w:val="nil"/>
                    <w:tr2bl w:val="nil"/>
                  </w:tcBorders>
                  <w:vAlign w:val="center"/>
                </w:tcPr>
                <w:p w14:paraId="3A8E0929">
                  <w:pPr>
                    <w:widowControl/>
                    <w:jc w:val="center"/>
                    <w:rPr>
                      <w:rFonts w:ascii="Times New Roman" w:hAnsi="Times New Roman" w:eastAsia="宋体" w:cs="宋体"/>
                      <w:color w:val="auto"/>
                      <w:szCs w:val="21"/>
                      <w:highlight w:val="none"/>
                    </w:rPr>
                  </w:pPr>
                </w:p>
              </w:tc>
              <w:tc>
                <w:tcPr>
                  <w:tcW w:w="521" w:type="pct"/>
                  <w:tcBorders>
                    <w:tl2br w:val="nil"/>
                    <w:tr2bl w:val="nil"/>
                  </w:tcBorders>
                  <w:vAlign w:val="center"/>
                </w:tcPr>
                <w:p w14:paraId="03CD9E77">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r>
            <w:tr w14:paraId="1C109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01" w:type="pct"/>
                  <w:tcBorders>
                    <w:tl2br w:val="nil"/>
                    <w:tr2bl w:val="nil"/>
                  </w:tcBorders>
                  <w:vAlign w:val="center"/>
                </w:tcPr>
                <w:p w14:paraId="2715F7EC">
                  <w:pPr>
                    <w:widowControl/>
                    <w:jc w:val="center"/>
                    <w:rPr>
                      <w:rFonts w:ascii="Times New Roman" w:hAnsi="Times New Roman" w:eastAsia="宋体" w:cs="宋体"/>
                      <w:color w:val="auto"/>
                      <w:szCs w:val="21"/>
                      <w:highlight w:val="none"/>
                    </w:rPr>
                  </w:pPr>
                  <w:r>
                    <w:rPr>
                      <w:rFonts w:hint="eastAsia" w:cs="宋体"/>
                      <w:color w:val="auto"/>
                      <w:szCs w:val="21"/>
                      <w:highlight w:val="none"/>
                      <w:lang w:eastAsia="zh-CN"/>
                    </w:rPr>
                    <w:t>《</w:t>
                  </w:r>
                  <w:r>
                    <w:rPr>
                      <w:rFonts w:hint="eastAsia" w:ascii="Times New Roman" w:hAnsi="Times New Roman" w:eastAsia="宋体" w:cs="宋体"/>
                      <w:color w:val="auto"/>
                      <w:szCs w:val="21"/>
                      <w:highlight w:val="none"/>
                    </w:rPr>
                    <w:t>铸造工业大气污染物排放标准》（GB39726-2020）</w:t>
                  </w:r>
                </w:p>
              </w:tc>
              <w:tc>
                <w:tcPr>
                  <w:tcW w:w="593" w:type="pct"/>
                  <w:tcBorders>
                    <w:tl2br w:val="nil"/>
                    <w:tr2bl w:val="nil"/>
                  </w:tcBorders>
                  <w:vAlign w:val="center"/>
                </w:tcPr>
                <w:p w14:paraId="798017C7">
                  <w:pPr>
                    <w:widowControl/>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表A.1</w:t>
                  </w:r>
                </w:p>
              </w:tc>
              <w:tc>
                <w:tcPr>
                  <w:tcW w:w="704" w:type="pct"/>
                  <w:tcBorders>
                    <w:tl2br w:val="nil"/>
                    <w:tr2bl w:val="nil"/>
                  </w:tcBorders>
                  <w:vAlign w:val="center"/>
                </w:tcPr>
                <w:p w14:paraId="48D8F64C">
                  <w:pPr>
                    <w:keepLine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w:t>
                  </w:r>
                </w:p>
              </w:tc>
              <w:tc>
                <w:tcPr>
                  <w:tcW w:w="1310" w:type="pct"/>
                  <w:gridSpan w:val="2"/>
                  <w:tcBorders>
                    <w:tl2br w:val="nil"/>
                    <w:tr2bl w:val="nil"/>
                  </w:tcBorders>
                  <w:vAlign w:val="center"/>
                </w:tcPr>
                <w:p w14:paraId="209A6640">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监控点处</w:t>
                  </w:r>
                </w:p>
                <w:p w14:paraId="1C4C766E">
                  <w:pPr>
                    <w:keepLines/>
                    <w:snapToGrid w:val="0"/>
                    <w:jc w:val="center"/>
                    <w:rPr>
                      <w:rFonts w:hint="eastAsia" w:ascii="Times New Roman" w:hAnsi="Times New Roman" w:eastAsia="宋体" w:cs="宋体"/>
                      <w:color w:val="auto"/>
                      <w:szCs w:val="21"/>
                      <w:highlight w:val="none"/>
                    </w:rPr>
                  </w:pPr>
                  <w:r>
                    <w:rPr>
                      <w:rFonts w:ascii="Times New Roman" w:hAnsi="Times New Roman" w:eastAsia="宋体" w:cs="宋体"/>
                      <w:color w:val="auto"/>
                      <w:szCs w:val="21"/>
                      <w:highlight w:val="none"/>
                    </w:rPr>
                    <w:t>1h</w:t>
                  </w:r>
                  <w:r>
                    <w:rPr>
                      <w:rFonts w:hint="eastAsia" w:ascii="Times New Roman" w:hAnsi="Times New Roman" w:eastAsia="宋体" w:cs="宋体"/>
                      <w:color w:val="auto"/>
                      <w:szCs w:val="21"/>
                      <w:highlight w:val="none"/>
                    </w:rPr>
                    <w:t>平均浓度值</w:t>
                  </w:r>
                </w:p>
              </w:tc>
              <w:tc>
                <w:tcPr>
                  <w:tcW w:w="669" w:type="pct"/>
                  <w:tcBorders>
                    <w:tl2br w:val="nil"/>
                    <w:tr2bl w:val="nil"/>
                  </w:tcBorders>
                  <w:vAlign w:val="center"/>
                </w:tcPr>
                <w:p w14:paraId="5A55D6F7">
                  <w:pPr>
                    <w:keepLine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在厂房外</w:t>
                  </w:r>
                </w:p>
                <w:p w14:paraId="1FC26F33">
                  <w:pPr>
                    <w:widowControl/>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设置监控点</w:t>
                  </w:r>
                </w:p>
              </w:tc>
              <w:tc>
                <w:tcPr>
                  <w:tcW w:w="521" w:type="pct"/>
                  <w:tcBorders>
                    <w:tl2br w:val="nil"/>
                    <w:tr2bl w:val="nil"/>
                  </w:tcBorders>
                  <w:vAlign w:val="center"/>
                </w:tcPr>
                <w:p w14:paraId="40BAAC9E">
                  <w:pPr>
                    <w:keepLine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5</w:t>
                  </w:r>
                  <w:r>
                    <w:rPr>
                      <w:rFonts w:ascii="Times New Roman" w:hAnsi="Times New Roman" w:eastAsia="宋体" w:cs="宋体"/>
                      <w:color w:val="auto"/>
                      <w:szCs w:val="21"/>
                      <w:highlight w:val="none"/>
                    </w:rPr>
                    <w:t>mg/m</w:t>
                  </w:r>
                  <w:r>
                    <w:rPr>
                      <w:rFonts w:ascii="Times New Roman" w:hAnsi="Times New Roman" w:eastAsia="宋体" w:cs="宋体"/>
                      <w:color w:val="auto"/>
                      <w:szCs w:val="21"/>
                      <w:highlight w:val="none"/>
                      <w:vertAlign w:val="superscript"/>
                    </w:rPr>
                    <w:t>3</w:t>
                  </w:r>
                </w:p>
              </w:tc>
            </w:tr>
          </w:tbl>
          <w:p w14:paraId="297683CD">
            <w:pPr>
              <w:spacing w:line="360" w:lineRule="auto"/>
              <w:ind w:firstLine="480" w:firstLineChars="200"/>
              <w:rPr>
                <w:rFonts w:cs="宋体"/>
                <w:b/>
                <w:color w:val="auto"/>
                <w:sz w:val="24"/>
              </w:rPr>
            </w:pPr>
            <w:r>
              <w:rPr>
                <w:rFonts w:hint="eastAsia" w:cs="宋体"/>
                <w:bCs/>
                <w:color w:val="auto"/>
                <w:sz w:val="24"/>
                <w:lang w:val="en-US" w:eastAsia="zh-CN"/>
              </w:rPr>
              <w:t>现有</w:t>
            </w:r>
            <w:r>
              <w:rPr>
                <w:rFonts w:hint="eastAsia" w:cs="宋体"/>
                <w:bCs/>
                <w:color w:val="auto"/>
                <w:sz w:val="24"/>
              </w:rPr>
              <w:t>项目注塑过程中产生的非甲烷总烃、苯乙烯、丙烯腈排放执行《合成树脂工业污染物排放标准》（GB 31572-2015）表5、表9中的限值，</w:t>
            </w:r>
            <w:r>
              <w:rPr>
                <w:rFonts w:hint="eastAsia" w:cs="宋体"/>
                <w:bCs/>
                <w:color w:val="auto"/>
                <w:sz w:val="24"/>
                <w:lang w:val="en-US" w:eastAsia="zh-CN"/>
              </w:rPr>
              <w:t>氨气、苯乙烯、</w:t>
            </w:r>
            <w:r>
              <w:rPr>
                <w:rFonts w:hint="eastAsia" w:cs="宋体"/>
                <w:bCs/>
                <w:color w:val="auto"/>
                <w:sz w:val="24"/>
              </w:rPr>
              <w:t>臭气浓度执行《恶臭污染物排放标准》（GB14554-93）</w:t>
            </w:r>
            <w:r>
              <w:rPr>
                <w:rFonts w:hint="eastAsia" w:cs="宋体"/>
                <w:bCs/>
                <w:color w:val="auto"/>
                <w:sz w:val="24"/>
                <w:lang w:val="en-US" w:eastAsia="zh-CN"/>
              </w:rPr>
              <w:t>中表1、表2</w:t>
            </w:r>
            <w:r>
              <w:rPr>
                <w:rFonts w:hint="eastAsia" w:cs="宋体"/>
                <w:bCs/>
                <w:color w:val="auto"/>
                <w:sz w:val="24"/>
              </w:rPr>
              <w:t>标准</w:t>
            </w:r>
            <w:r>
              <w:rPr>
                <w:rFonts w:cs="宋体"/>
                <w:bCs/>
                <w:color w:val="auto"/>
                <w:sz w:val="24"/>
              </w:rPr>
              <w:t>。</w:t>
            </w:r>
          </w:p>
          <w:p w14:paraId="3509EC05">
            <w:pPr>
              <w:tabs>
                <w:tab w:val="left" w:pos="960"/>
              </w:tabs>
              <w:spacing w:before="120" w:beforeLines="50"/>
              <w:jc w:val="center"/>
              <w:rPr>
                <w:rFonts w:cs="宋体"/>
                <w:b/>
                <w:bCs/>
                <w:color w:val="auto"/>
                <w:spacing w:val="-4"/>
                <w:szCs w:val="21"/>
              </w:rPr>
            </w:pPr>
            <w:r>
              <w:rPr>
                <w:rFonts w:cs="宋体"/>
                <w:b/>
                <w:bCs/>
                <w:color w:val="auto"/>
                <w:spacing w:val="-4"/>
                <w:szCs w:val="21"/>
              </w:rPr>
              <w:t>表</w:t>
            </w:r>
            <w:r>
              <w:rPr>
                <w:rFonts w:hint="eastAsia" w:cs="宋体"/>
                <w:b/>
                <w:bCs/>
                <w:color w:val="auto"/>
                <w:spacing w:val="-4"/>
                <w:szCs w:val="21"/>
              </w:rPr>
              <w:t>3.3-</w:t>
            </w:r>
            <w:r>
              <w:rPr>
                <w:rFonts w:hint="eastAsia" w:cs="宋体"/>
                <w:b/>
                <w:bCs/>
                <w:color w:val="auto"/>
                <w:spacing w:val="-4"/>
                <w:szCs w:val="21"/>
                <w:lang w:val="en-US" w:eastAsia="zh-CN"/>
              </w:rPr>
              <w:t>2</w:t>
            </w:r>
            <w:r>
              <w:rPr>
                <w:rFonts w:hint="eastAsia" w:cs="宋体"/>
                <w:b/>
                <w:bCs/>
                <w:color w:val="auto"/>
                <w:spacing w:val="-4"/>
                <w:szCs w:val="21"/>
              </w:rPr>
              <w:t xml:space="preserve">  现有项目</w:t>
            </w:r>
            <w:r>
              <w:rPr>
                <w:rFonts w:cs="宋体"/>
                <w:b/>
                <w:bCs/>
                <w:color w:val="auto"/>
                <w:spacing w:val="-4"/>
                <w:szCs w:val="21"/>
              </w:rPr>
              <w:t>大气污染物排放标准</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38"/>
              <w:gridCol w:w="2598"/>
              <w:gridCol w:w="1042"/>
              <w:gridCol w:w="874"/>
              <w:gridCol w:w="926"/>
              <w:gridCol w:w="797"/>
            </w:tblGrid>
            <w:tr w14:paraId="77AE4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vMerge w:val="restart"/>
                  <w:noWrap w:val="0"/>
                  <w:vAlign w:val="center"/>
                </w:tcPr>
                <w:p w14:paraId="5B5025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2598" w:type="dxa"/>
                  <w:vMerge w:val="restart"/>
                  <w:noWrap w:val="0"/>
                  <w:vAlign w:val="center"/>
                </w:tcPr>
                <w:p w14:paraId="0AAF10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1042" w:type="dxa"/>
                  <w:vMerge w:val="restart"/>
                  <w:noWrap w:val="0"/>
                  <w:vAlign w:val="center"/>
                </w:tcPr>
                <w:p w14:paraId="5B17A3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最高允许排放浓度mg/m</w:t>
                  </w:r>
                  <w:r>
                    <w:rPr>
                      <w:rFonts w:hint="default" w:ascii="Times New Roman" w:hAnsi="Times New Roman" w:eastAsia="宋体" w:cs="Times New Roman"/>
                      <w:b/>
                      <w:color w:val="auto"/>
                      <w:sz w:val="21"/>
                      <w:szCs w:val="21"/>
                      <w:vertAlign w:val="superscript"/>
                    </w:rPr>
                    <w:t>3</w:t>
                  </w:r>
                </w:p>
              </w:tc>
              <w:tc>
                <w:tcPr>
                  <w:tcW w:w="874" w:type="dxa"/>
                  <w:vMerge w:val="restart"/>
                  <w:noWrap w:val="0"/>
                  <w:vAlign w:val="center"/>
                </w:tcPr>
                <w:p w14:paraId="3C5000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最高允许排放速率kg/h</w:t>
                  </w:r>
                </w:p>
              </w:tc>
              <w:tc>
                <w:tcPr>
                  <w:tcW w:w="1723" w:type="dxa"/>
                  <w:gridSpan w:val="2"/>
                  <w:noWrap w:val="0"/>
                  <w:tcMar>
                    <w:left w:w="0" w:type="dxa"/>
                    <w:right w:w="0" w:type="dxa"/>
                  </w:tcMar>
                  <w:vAlign w:val="center"/>
                </w:tcPr>
                <w:p w14:paraId="423390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无组织</w:t>
                  </w:r>
                  <w:r>
                    <w:rPr>
                      <w:rFonts w:hint="default" w:ascii="Times New Roman" w:hAnsi="Times New Roman" w:eastAsia="宋体" w:cs="Times New Roman"/>
                      <w:b/>
                      <w:color w:val="auto"/>
                      <w:sz w:val="21"/>
                      <w:szCs w:val="21"/>
                      <w:lang w:val="en-US" w:eastAsia="zh-CN"/>
                    </w:rPr>
                    <w:t>排</w:t>
                  </w:r>
                  <w:r>
                    <w:rPr>
                      <w:rFonts w:hint="default" w:ascii="Times New Roman" w:hAnsi="Times New Roman" w:eastAsia="宋体" w:cs="Times New Roman"/>
                      <w:b/>
                      <w:color w:val="auto"/>
                      <w:sz w:val="21"/>
                      <w:szCs w:val="21"/>
                    </w:rPr>
                    <w:t>放监控浓度限值</w:t>
                  </w:r>
                </w:p>
              </w:tc>
            </w:tr>
            <w:tr w14:paraId="02586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vMerge w:val="continue"/>
                  <w:noWrap w:val="0"/>
                  <w:vAlign w:val="center"/>
                </w:tcPr>
                <w:p w14:paraId="01CEBD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p>
              </w:tc>
              <w:tc>
                <w:tcPr>
                  <w:tcW w:w="2598" w:type="dxa"/>
                  <w:vMerge w:val="continue"/>
                  <w:noWrap w:val="0"/>
                  <w:vAlign w:val="center"/>
                </w:tcPr>
                <w:p w14:paraId="03FCFD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p>
              </w:tc>
              <w:tc>
                <w:tcPr>
                  <w:tcW w:w="1042" w:type="dxa"/>
                  <w:vMerge w:val="continue"/>
                  <w:noWrap w:val="0"/>
                  <w:vAlign w:val="center"/>
                </w:tcPr>
                <w:p w14:paraId="630E17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p>
              </w:tc>
              <w:tc>
                <w:tcPr>
                  <w:tcW w:w="874" w:type="dxa"/>
                  <w:vMerge w:val="continue"/>
                  <w:noWrap w:val="0"/>
                  <w:vAlign w:val="center"/>
                </w:tcPr>
                <w:p w14:paraId="57D2DC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p>
              </w:tc>
              <w:tc>
                <w:tcPr>
                  <w:tcW w:w="926" w:type="dxa"/>
                  <w:noWrap w:val="0"/>
                  <w:vAlign w:val="center"/>
                </w:tcPr>
                <w:p w14:paraId="2970D3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监控点</w:t>
                  </w:r>
                </w:p>
              </w:tc>
              <w:tc>
                <w:tcPr>
                  <w:tcW w:w="797" w:type="dxa"/>
                  <w:noWrap w:val="0"/>
                  <w:vAlign w:val="center"/>
                </w:tcPr>
                <w:p w14:paraId="1AC393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浓度mg/m</w:t>
                  </w:r>
                  <w:r>
                    <w:rPr>
                      <w:rFonts w:hint="default" w:ascii="Times New Roman" w:hAnsi="Times New Roman" w:eastAsia="宋体" w:cs="Times New Roman"/>
                      <w:b/>
                      <w:color w:val="auto"/>
                      <w:sz w:val="21"/>
                      <w:szCs w:val="21"/>
                      <w:vertAlign w:val="superscript"/>
                    </w:rPr>
                    <w:t>3</w:t>
                  </w:r>
                </w:p>
              </w:tc>
            </w:tr>
            <w:tr w14:paraId="7BC00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2F1D13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2598" w:type="dxa"/>
                  <w:vMerge w:val="restart"/>
                  <w:noWrap w:val="0"/>
                  <w:vAlign w:val="center"/>
                </w:tcPr>
                <w:p w14:paraId="0A039823">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《合成树脂工业污染物排放标准》（GB31572-2015）表5、表9标准</w:t>
                  </w:r>
                </w:p>
              </w:tc>
              <w:tc>
                <w:tcPr>
                  <w:tcW w:w="1042" w:type="dxa"/>
                  <w:noWrap w:val="0"/>
                  <w:vAlign w:val="center"/>
                </w:tcPr>
                <w:p w14:paraId="79DE18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874" w:type="dxa"/>
                  <w:noWrap w:val="0"/>
                  <w:vAlign w:val="center"/>
                </w:tcPr>
                <w:p w14:paraId="5B43B3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926" w:type="dxa"/>
                  <w:vMerge w:val="restart"/>
                  <w:noWrap w:val="0"/>
                  <w:vAlign w:val="center"/>
                </w:tcPr>
                <w:p w14:paraId="3CDA48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rPr>
                  </w:pPr>
                  <w:r>
                    <w:rPr>
                      <w:rFonts w:hint="eastAsia" w:ascii="Times New Roman" w:hAnsi="Times New Roman" w:eastAsia="宋体" w:cs="宋体"/>
                      <w:color w:val="auto"/>
                      <w:szCs w:val="21"/>
                      <w:highlight w:val="none"/>
                    </w:rPr>
                    <w:t>周界外浓度最高点</w:t>
                  </w:r>
                </w:p>
              </w:tc>
              <w:tc>
                <w:tcPr>
                  <w:tcW w:w="797" w:type="dxa"/>
                  <w:noWrap w:val="0"/>
                  <w:vAlign w:val="center"/>
                </w:tcPr>
                <w:p w14:paraId="35C379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14:paraId="728A8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447DC8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1,3-丁二烯</w:t>
                  </w:r>
                </w:p>
              </w:tc>
              <w:tc>
                <w:tcPr>
                  <w:tcW w:w="2598" w:type="dxa"/>
                  <w:vMerge w:val="continue"/>
                  <w:noWrap w:val="0"/>
                  <w:vAlign w:val="center"/>
                </w:tcPr>
                <w:p w14:paraId="30D04F51">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6ACE87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874" w:type="dxa"/>
                  <w:noWrap w:val="0"/>
                  <w:vAlign w:val="center"/>
                </w:tcPr>
                <w:p w14:paraId="14FB16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26" w:type="dxa"/>
                  <w:vMerge w:val="continue"/>
                  <w:noWrap w:val="0"/>
                  <w:vAlign w:val="center"/>
                </w:tcPr>
                <w:p w14:paraId="685F5D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0051E0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14:paraId="24563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66B7C4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苯乙烯</w:t>
                  </w:r>
                </w:p>
              </w:tc>
              <w:tc>
                <w:tcPr>
                  <w:tcW w:w="2598" w:type="dxa"/>
                  <w:vMerge w:val="continue"/>
                  <w:noWrap w:val="0"/>
                  <w:vAlign w:val="center"/>
                </w:tcPr>
                <w:p w14:paraId="05376886">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238887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874" w:type="dxa"/>
                  <w:noWrap w:val="0"/>
                  <w:vAlign w:val="center"/>
                </w:tcPr>
                <w:p w14:paraId="0C5319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26" w:type="dxa"/>
                  <w:vMerge w:val="continue"/>
                  <w:noWrap w:val="0"/>
                  <w:vAlign w:val="center"/>
                </w:tcPr>
                <w:p w14:paraId="68A2ED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683F59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14:paraId="5FACC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41C678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丙烯腈</w:t>
                  </w:r>
                </w:p>
              </w:tc>
              <w:tc>
                <w:tcPr>
                  <w:tcW w:w="2598" w:type="dxa"/>
                  <w:vMerge w:val="continue"/>
                  <w:noWrap w:val="0"/>
                  <w:vAlign w:val="center"/>
                </w:tcPr>
                <w:p w14:paraId="59074F06">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59003E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874" w:type="dxa"/>
                  <w:noWrap w:val="0"/>
                  <w:vAlign w:val="center"/>
                </w:tcPr>
                <w:p w14:paraId="23579C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26" w:type="dxa"/>
                  <w:vMerge w:val="continue"/>
                  <w:noWrap w:val="0"/>
                  <w:vAlign w:val="center"/>
                </w:tcPr>
                <w:p w14:paraId="6148CB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5A3B35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r>
            <w:tr w14:paraId="3858C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3D59E7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w:t>
                  </w:r>
                </w:p>
              </w:tc>
              <w:tc>
                <w:tcPr>
                  <w:tcW w:w="2598" w:type="dxa"/>
                  <w:vMerge w:val="continue"/>
                  <w:noWrap w:val="0"/>
                  <w:vAlign w:val="center"/>
                </w:tcPr>
                <w:p w14:paraId="5A6171E8">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112CA0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874" w:type="dxa"/>
                  <w:noWrap w:val="0"/>
                  <w:vAlign w:val="center"/>
                </w:tcPr>
                <w:p w14:paraId="58E9E1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26" w:type="dxa"/>
                  <w:vMerge w:val="continue"/>
                  <w:noWrap w:val="0"/>
                  <w:vAlign w:val="center"/>
                </w:tcPr>
                <w:p w14:paraId="2EC91B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234B2D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F24E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1F33A6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单位产品非甲烷总烃排放量</w:t>
                  </w:r>
                </w:p>
              </w:tc>
              <w:tc>
                <w:tcPr>
                  <w:tcW w:w="2598" w:type="dxa"/>
                  <w:vMerge w:val="continue"/>
                  <w:noWrap w:val="0"/>
                  <w:vAlign w:val="center"/>
                </w:tcPr>
                <w:p w14:paraId="0826A8B8">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3639" w:type="dxa"/>
                  <w:gridSpan w:val="4"/>
                  <w:noWrap w:val="0"/>
                  <w:vAlign w:val="center"/>
                </w:tcPr>
                <w:p w14:paraId="6A2F27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0.3kg/t产品</w:t>
                  </w:r>
                </w:p>
              </w:tc>
            </w:tr>
            <w:tr w14:paraId="5CA8E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43DEE6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臭气浓度</w:t>
                  </w:r>
                </w:p>
              </w:tc>
              <w:tc>
                <w:tcPr>
                  <w:tcW w:w="2598" w:type="dxa"/>
                  <w:vMerge w:val="restart"/>
                  <w:noWrap w:val="0"/>
                  <w:vAlign w:val="center"/>
                </w:tcPr>
                <w:p w14:paraId="11401F1B">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《恶臭污染物排放标准》（GB14554-93）表1、表2标准</w:t>
                  </w:r>
                </w:p>
              </w:tc>
              <w:tc>
                <w:tcPr>
                  <w:tcW w:w="1042" w:type="dxa"/>
                  <w:noWrap w:val="0"/>
                  <w:vAlign w:val="center"/>
                </w:tcPr>
                <w:p w14:paraId="78590C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74" w:type="dxa"/>
                  <w:noWrap w:val="0"/>
                  <w:vAlign w:val="center"/>
                </w:tcPr>
                <w:p w14:paraId="66F84F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2000</w:t>
                  </w:r>
                </w:p>
                <w:p w14:paraId="0E2143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838" w:type="dxa"/>
                  <w:vMerge w:val="restart"/>
                  <w:noWrap w:val="0"/>
                  <w:vAlign w:val="center"/>
                </w:tcPr>
                <w:p w14:paraId="33684F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宋体"/>
                      <w:color w:val="auto"/>
                      <w:szCs w:val="21"/>
                      <w:highlight w:val="none"/>
                    </w:rPr>
                    <w:t>周界外浓度最高点</w:t>
                  </w:r>
                </w:p>
              </w:tc>
              <w:tc>
                <w:tcPr>
                  <w:tcW w:w="797" w:type="dxa"/>
                  <w:noWrap w:val="0"/>
                  <w:vAlign w:val="center"/>
                </w:tcPr>
                <w:p w14:paraId="158783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无量纲</w:t>
                  </w:r>
                  <w:r>
                    <w:rPr>
                      <w:rFonts w:hint="default" w:ascii="Times New Roman" w:hAnsi="Times New Roman" w:eastAsia="宋体" w:cs="Times New Roman"/>
                      <w:color w:val="auto"/>
                      <w:sz w:val="21"/>
                      <w:szCs w:val="21"/>
                      <w:lang w:eastAsia="zh-CN"/>
                    </w:rPr>
                    <w:t>）</w:t>
                  </w:r>
                </w:p>
              </w:tc>
            </w:tr>
            <w:tr w14:paraId="3BEA0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17C057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w:t>
                  </w:r>
                </w:p>
              </w:tc>
              <w:tc>
                <w:tcPr>
                  <w:tcW w:w="2598" w:type="dxa"/>
                  <w:vMerge w:val="continue"/>
                  <w:noWrap w:val="0"/>
                  <w:vAlign w:val="center"/>
                </w:tcPr>
                <w:p w14:paraId="4E2D0530">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3D4365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74" w:type="dxa"/>
                  <w:noWrap w:val="0"/>
                  <w:vAlign w:val="center"/>
                </w:tcPr>
                <w:p w14:paraId="27305F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838" w:type="dxa"/>
                  <w:vMerge w:val="continue"/>
                  <w:noWrap w:val="0"/>
                  <w:vAlign w:val="center"/>
                </w:tcPr>
                <w:p w14:paraId="5A0B63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695F07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17A18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738" w:type="dxa"/>
                  <w:noWrap w:val="0"/>
                  <w:vAlign w:val="center"/>
                </w:tcPr>
                <w:p w14:paraId="4DD72D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苯乙烯</w:t>
                  </w:r>
                </w:p>
              </w:tc>
              <w:tc>
                <w:tcPr>
                  <w:tcW w:w="2598" w:type="dxa"/>
                  <w:vMerge w:val="continue"/>
                  <w:noWrap w:val="0"/>
                  <w:vAlign w:val="center"/>
                </w:tcPr>
                <w:p w14:paraId="0C08964E">
                  <w:pPr>
                    <w:keepNext w:val="0"/>
                    <w:keepLines w:val="0"/>
                    <w:pageBreakBefore w:val="0"/>
                    <w:widowControl w:val="0"/>
                    <w:tabs>
                      <w:tab w:val="left" w:pos="4500"/>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1042" w:type="dxa"/>
                  <w:noWrap w:val="0"/>
                  <w:vAlign w:val="center"/>
                </w:tcPr>
                <w:p w14:paraId="6336F5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74" w:type="dxa"/>
                  <w:noWrap w:val="0"/>
                  <w:vAlign w:val="center"/>
                </w:tcPr>
                <w:p w14:paraId="093FD2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838" w:type="dxa"/>
                  <w:vMerge w:val="continue"/>
                  <w:noWrap w:val="0"/>
                  <w:vAlign w:val="center"/>
                </w:tcPr>
                <w:p w14:paraId="184266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797" w:type="dxa"/>
                  <w:noWrap w:val="0"/>
                  <w:vAlign w:val="center"/>
                </w:tcPr>
                <w:p w14:paraId="529A1B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14:paraId="24E9F678">
            <w:pPr>
              <w:tabs>
                <w:tab w:val="left" w:pos="6725"/>
              </w:tabs>
              <w:spacing w:line="360" w:lineRule="auto"/>
              <w:ind w:firstLine="482" w:firstLineChars="200"/>
              <w:rPr>
                <w:rFonts w:hint="default" w:cs="宋体"/>
                <w:b/>
                <w:color w:val="auto"/>
                <w:sz w:val="24"/>
                <w:highlight w:val="none"/>
                <w:lang w:val="en-US" w:eastAsia="zh-CN"/>
              </w:rPr>
            </w:pPr>
            <w:r>
              <w:rPr>
                <w:rFonts w:hint="eastAsia" w:cs="宋体"/>
                <w:b/>
                <w:color w:val="auto"/>
                <w:sz w:val="24"/>
                <w:highlight w:val="none"/>
                <w:lang w:val="en-US" w:eastAsia="zh-CN"/>
              </w:rPr>
              <w:t>2、废水排放标准</w:t>
            </w:r>
          </w:p>
          <w:p w14:paraId="3032733C">
            <w:pPr>
              <w:tabs>
                <w:tab w:val="left" w:pos="6725"/>
              </w:tabs>
              <w:spacing w:line="360" w:lineRule="auto"/>
              <w:ind w:firstLine="480" w:firstLineChars="200"/>
              <w:rPr>
                <w:rFonts w:hint="default" w:cs="宋体"/>
                <w:b w:val="0"/>
                <w:bCs/>
                <w:color w:val="auto"/>
                <w:sz w:val="24"/>
                <w:highlight w:val="none"/>
                <w:lang w:val="en-US" w:eastAsia="zh-CN"/>
              </w:rPr>
            </w:pPr>
            <w:r>
              <w:rPr>
                <w:rFonts w:hint="eastAsia" w:cs="宋体"/>
                <w:b w:val="0"/>
                <w:bCs/>
                <w:color w:val="auto"/>
                <w:sz w:val="24"/>
                <w:highlight w:val="none"/>
                <w:lang w:val="en-US" w:eastAsia="zh-CN"/>
              </w:rPr>
              <w:t>本项目振光废水、清洗废水经厂区废水处理设施处理后回用于清洗工序，回用水标准执行《城市污水再生利用 工业用水水质》（GB/T19923-2024）中表1洗涤用水标准。</w:t>
            </w:r>
          </w:p>
          <w:p w14:paraId="4D96CC8A">
            <w:pPr>
              <w:tabs>
                <w:tab w:val="center" w:pos="4815"/>
              </w:tabs>
              <w:adjustRightInd w:val="0"/>
              <w:snapToGrid w:val="0"/>
              <w:ind w:firstLine="422" w:firstLineChars="200"/>
              <w:jc w:val="center"/>
              <w:rPr>
                <w:rFonts w:hint="default" w:ascii="Times New Roman" w:hAnsi="Times New Roman" w:cs="Times New Roman"/>
                <w:b/>
                <w:color w:val="auto"/>
                <w:sz w:val="24"/>
                <w:szCs w:val="24"/>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val="en-US" w:eastAsia="zh-CN"/>
              </w:rPr>
              <w:t>-</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 xml:space="preserve">  《城市污水再生利用 工业用水水质》（GB/T 19923-20</w:t>
            </w:r>
            <w:r>
              <w:rPr>
                <w:rFonts w:hint="eastAsia" w:ascii="Times New Roman" w:hAnsi="Times New Roman" w:cs="Times New Roman"/>
                <w:b/>
                <w:color w:val="auto"/>
                <w:sz w:val="21"/>
                <w:szCs w:val="21"/>
                <w:lang w:val="en-US" w:eastAsia="zh-CN"/>
              </w:rPr>
              <w:t>24</w:t>
            </w:r>
            <w:r>
              <w:rPr>
                <w:rFonts w:hint="default" w:ascii="Times New Roman" w:hAnsi="Times New Roman" w:cs="Times New Roman"/>
                <w:b/>
                <w:color w:val="auto"/>
                <w:sz w:val="21"/>
                <w:szCs w:val="21"/>
              </w:rPr>
              <w:t>）</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662"/>
              <w:gridCol w:w="2694"/>
            </w:tblGrid>
            <w:tr w14:paraId="7A477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0" w:type="pct"/>
                  <w:noWrap w:val="0"/>
                  <w:vAlign w:val="center"/>
                </w:tcPr>
                <w:p w14:paraId="60811351">
                  <w:pPr>
                    <w:tabs>
                      <w:tab w:val="center" w:pos="4815"/>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669" w:type="pct"/>
                  <w:noWrap w:val="0"/>
                  <w:vAlign w:val="center"/>
                </w:tcPr>
                <w:p w14:paraId="558EB720">
                  <w:pPr>
                    <w:tabs>
                      <w:tab w:val="center" w:pos="4815"/>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控制项目</w:t>
                  </w:r>
                </w:p>
              </w:tc>
              <w:tc>
                <w:tcPr>
                  <w:tcW w:w="1689" w:type="pct"/>
                  <w:noWrap w:val="0"/>
                  <w:vAlign w:val="center"/>
                </w:tcPr>
                <w:p w14:paraId="1ECF8C89">
                  <w:pPr>
                    <w:tabs>
                      <w:tab w:val="center" w:pos="4815"/>
                    </w:tabs>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洗涤用水</w:t>
                  </w:r>
                </w:p>
              </w:tc>
            </w:tr>
            <w:tr w14:paraId="2F71D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0" w:type="pct"/>
                  <w:noWrap w:val="0"/>
                  <w:vAlign w:val="center"/>
                </w:tcPr>
                <w:p w14:paraId="73C00FCE">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669" w:type="pct"/>
                  <w:noWrap w:val="0"/>
                  <w:vAlign w:val="center"/>
                </w:tcPr>
                <w:p w14:paraId="4B2B853C">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1689" w:type="pct"/>
                  <w:noWrap w:val="0"/>
                  <w:vAlign w:val="center"/>
                </w:tcPr>
                <w:p w14:paraId="3EA07827">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0</w:t>
                  </w:r>
                </w:p>
              </w:tc>
            </w:tr>
            <w:tr w14:paraId="70EDC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0" w:type="pct"/>
                  <w:noWrap w:val="0"/>
                  <w:vAlign w:val="center"/>
                </w:tcPr>
                <w:p w14:paraId="7EF712B8">
                  <w:pPr>
                    <w:tabs>
                      <w:tab w:val="center" w:pos="4815"/>
                    </w:tabs>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c>
                <w:tcPr>
                  <w:tcW w:w="1669" w:type="pct"/>
                  <w:noWrap w:val="0"/>
                  <w:vAlign w:val="center"/>
                </w:tcPr>
                <w:p w14:paraId="6DB988B4">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89" w:type="pct"/>
                  <w:noWrap w:val="0"/>
                  <w:vAlign w:val="center"/>
                </w:tcPr>
                <w:p w14:paraId="401F9F77">
                  <w:pPr>
                    <w:tabs>
                      <w:tab w:val="center" w:pos="4815"/>
                    </w:tabs>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1.0</w:t>
                  </w:r>
                </w:p>
              </w:tc>
            </w:tr>
            <w:tr w14:paraId="43504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0" w:type="pct"/>
                  <w:noWrap w:val="0"/>
                  <w:vAlign w:val="center"/>
                </w:tcPr>
                <w:p w14:paraId="516FF647">
                  <w:pPr>
                    <w:tabs>
                      <w:tab w:val="center" w:pos="4815"/>
                    </w:tabs>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3</w:t>
                  </w:r>
                </w:p>
              </w:tc>
              <w:tc>
                <w:tcPr>
                  <w:tcW w:w="1669" w:type="pct"/>
                  <w:noWrap w:val="0"/>
                  <w:vAlign w:val="center"/>
                </w:tcPr>
                <w:p w14:paraId="11A4F015">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689" w:type="pct"/>
                  <w:noWrap w:val="0"/>
                  <w:vAlign w:val="center"/>
                </w:tcPr>
                <w:p w14:paraId="37E132B1">
                  <w:pPr>
                    <w:tabs>
                      <w:tab w:val="center" w:pos="4815"/>
                    </w:tabs>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6.5-9.0</w:t>
                  </w:r>
                </w:p>
              </w:tc>
            </w:tr>
            <w:tr w14:paraId="39D7D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0" w:type="pct"/>
                  <w:noWrap w:val="0"/>
                  <w:vAlign w:val="center"/>
                </w:tcPr>
                <w:p w14:paraId="650F38DB">
                  <w:pPr>
                    <w:tabs>
                      <w:tab w:val="center" w:pos="4815"/>
                    </w:tabs>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1669" w:type="pct"/>
                  <w:noWrap w:val="0"/>
                  <w:vAlign w:val="center"/>
                </w:tcPr>
                <w:p w14:paraId="6D79119E">
                  <w:pPr>
                    <w:tabs>
                      <w:tab w:val="center" w:pos="4815"/>
                    </w:tabs>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LAS</w:t>
                  </w:r>
                </w:p>
              </w:tc>
              <w:tc>
                <w:tcPr>
                  <w:tcW w:w="1689" w:type="pct"/>
                  <w:noWrap w:val="0"/>
                  <w:vAlign w:val="center"/>
                </w:tcPr>
                <w:p w14:paraId="7947B7AC">
                  <w:pPr>
                    <w:tabs>
                      <w:tab w:val="center" w:pos="4815"/>
                    </w:tabs>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0.5</w:t>
                  </w:r>
                </w:p>
              </w:tc>
            </w:tr>
          </w:tbl>
          <w:p w14:paraId="51682610">
            <w:pPr>
              <w:spacing w:line="360" w:lineRule="auto"/>
              <w:ind w:firstLine="480" w:firstLineChars="200"/>
              <w:rPr>
                <w:rFonts w:cs="宋体"/>
                <w:color w:val="auto"/>
                <w:kern w:val="0"/>
                <w:sz w:val="24"/>
              </w:rPr>
            </w:pPr>
            <w:r>
              <w:rPr>
                <w:rFonts w:hint="eastAsia" w:cs="宋体"/>
                <w:color w:val="auto"/>
                <w:sz w:val="24"/>
                <w:lang w:val="en-US" w:eastAsia="zh-CN"/>
              </w:rPr>
              <w:t>现有项目生活污水</w:t>
            </w:r>
            <w:r>
              <w:rPr>
                <w:rFonts w:cs="宋体"/>
                <w:bCs/>
                <w:color w:val="auto"/>
                <w:sz w:val="24"/>
              </w:rPr>
              <w:t>接管至</w:t>
            </w:r>
            <w:r>
              <w:rPr>
                <w:rFonts w:hint="eastAsia" w:cs="宋体"/>
                <w:bCs/>
                <w:color w:val="auto"/>
                <w:sz w:val="24"/>
                <w:lang w:val="en-US" w:eastAsia="zh-CN"/>
              </w:rPr>
              <w:t>金坛第二</w:t>
            </w:r>
            <w:r>
              <w:rPr>
                <w:rFonts w:hint="eastAsia" w:cs="宋体"/>
                <w:bCs/>
                <w:color w:val="auto"/>
                <w:sz w:val="24"/>
              </w:rPr>
              <w:t>污水处理厂</w:t>
            </w:r>
            <w:r>
              <w:rPr>
                <w:rFonts w:cs="宋体"/>
                <w:color w:val="auto"/>
                <w:kern w:val="0"/>
                <w:sz w:val="24"/>
              </w:rPr>
              <w:t>集中处理，</w:t>
            </w:r>
            <w:r>
              <w:rPr>
                <w:rFonts w:cs="宋体"/>
                <w:bCs/>
                <w:color w:val="auto"/>
                <w:sz w:val="24"/>
              </w:rPr>
              <w:t>接管</w:t>
            </w:r>
            <w:r>
              <w:rPr>
                <w:rFonts w:cs="宋体"/>
                <w:color w:val="auto"/>
                <w:kern w:val="0"/>
                <w:sz w:val="24"/>
              </w:rPr>
              <w:t>标准执行</w:t>
            </w:r>
            <w:r>
              <w:rPr>
                <w:rFonts w:hint="eastAsia" w:cs="宋体"/>
                <w:bCs/>
                <w:color w:val="auto"/>
                <w:sz w:val="24"/>
                <w:lang w:val="en-US" w:eastAsia="zh-CN"/>
              </w:rPr>
              <w:t>金坛第二</w:t>
            </w:r>
            <w:r>
              <w:rPr>
                <w:rFonts w:hint="eastAsia" w:cs="宋体"/>
                <w:bCs/>
                <w:color w:val="auto"/>
                <w:sz w:val="24"/>
              </w:rPr>
              <w:t>污水污水处理厂</w:t>
            </w:r>
            <w:r>
              <w:rPr>
                <w:rFonts w:cs="宋体"/>
                <w:color w:val="auto"/>
                <w:sz w:val="24"/>
              </w:rPr>
              <w:t>进水水质要求</w:t>
            </w:r>
            <w:r>
              <w:rPr>
                <w:rFonts w:hint="eastAsia" w:cs="宋体"/>
                <w:color w:val="auto"/>
                <w:kern w:val="0"/>
                <w:sz w:val="24"/>
              </w:rPr>
              <w:t>，</w:t>
            </w:r>
            <w:r>
              <w:rPr>
                <w:rFonts w:cs="宋体"/>
                <w:color w:val="auto"/>
                <w:kern w:val="0"/>
                <w:sz w:val="24"/>
              </w:rPr>
              <w:t>尾水排放至</w:t>
            </w:r>
            <w:r>
              <w:rPr>
                <w:rFonts w:hint="eastAsia" w:cs="宋体"/>
                <w:color w:val="auto"/>
                <w:kern w:val="0"/>
                <w:sz w:val="24"/>
                <w:lang w:val="en-US" w:eastAsia="zh-CN"/>
              </w:rPr>
              <w:t>尧塘河</w:t>
            </w:r>
            <w:r>
              <w:rPr>
                <w:rFonts w:cs="宋体"/>
                <w:color w:val="auto"/>
                <w:kern w:val="0"/>
                <w:sz w:val="24"/>
              </w:rPr>
              <w:t>，排放执行《太湖地区城镇污水处理厂及重点工业行业主要水污染物排放限值》（DB32/1072-2018）表2中</w:t>
            </w:r>
            <w:r>
              <w:rPr>
                <w:rFonts w:cs="宋体"/>
                <w:color w:val="auto"/>
                <w:sz w:val="24"/>
              </w:rPr>
              <w:t>标准</w:t>
            </w:r>
            <w:r>
              <w:rPr>
                <w:rFonts w:cs="宋体"/>
                <w:color w:val="auto"/>
                <w:kern w:val="0"/>
                <w:sz w:val="24"/>
              </w:rPr>
              <w:t>和《城镇污水处理厂污染物排放标准》（GB18918-2002）中一级A标准。</w:t>
            </w:r>
          </w:p>
          <w:p w14:paraId="704DD914">
            <w:pPr>
              <w:tabs>
                <w:tab w:val="left" w:pos="960"/>
              </w:tabs>
              <w:spacing w:before="120" w:beforeLines="50"/>
              <w:jc w:val="center"/>
              <w:rPr>
                <w:rFonts w:cs="宋体"/>
                <w:b/>
                <w:bCs/>
                <w:color w:val="auto"/>
                <w:spacing w:val="-4"/>
                <w:szCs w:val="21"/>
              </w:rPr>
            </w:pPr>
          </w:p>
          <w:p w14:paraId="4942EF3C">
            <w:pPr>
              <w:tabs>
                <w:tab w:val="left" w:pos="960"/>
              </w:tabs>
              <w:spacing w:before="120" w:beforeLines="50"/>
              <w:jc w:val="center"/>
              <w:rPr>
                <w:rFonts w:cs="宋体"/>
                <w:b/>
                <w:bCs/>
                <w:color w:val="auto"/>
                <w:spacing w:val="-4"/>
                <w:szCs w:val="21"/>
              </w:rPr>
            </w:pPr>
          </w:p>
          <w:p w14:paraId="7BB188FF">
            <w:pPr>
              <w:tabs>
                <w:tab w:val="left" w:pos="960"/>
              </w:tabs>
              <w:spacing w:before="120" w:beforeLines="50"/>
              <w:jc w:val="center"/>
              <w:rPr>
                <w:rFonts w:cs="宋体"/>
                <w:b/>
                <w:bCs/>
                <w:color w:val="auto"/>
                <w:spacing w:val="-4"/>
                <w:szCs w:val="21"/>
              </w:rPr>
            </w:pPr>
          </w:p>
          <w:p w14:paraId="51327A20">
            <w:pPr>
              <w:tabs>
                <w:tab w:val="left" w:pos="960"/>
              </w:tabs>
              <w:spacing w:before="120" w:beforeLines="50"/>
              <w:jc w:val="center"/>
              <w:rPr>
                <w:rFonts w:cs="宋体"/>
                <w:b/>
                <w:bCs/>
                <w:color w:val="auto"/>
                <w:spacing w:val="-4"/>
                <w:szCs w:val="21"/>
              </w:rPr>
            </w:pPr>
            <w:r>
              <w:rPr>
                <w:rFonts w:cs="宋体"/>
                <w:b/>
                <w:bCs/>
                <w:color w:val="auto"/>
                <w:spacing w:val="-4"/>
                <w:szCs w:val="21"/>
              </w:rPr>
              <w:t>表</w:t>
            </w:r>
            <w:r>
              <w:rPr>
                <w:rFonts w:hint="eastAsia" w:cs="宋体"/>
                <w:b/>
                <w:bCs/>
                <w:color w:val="auto"/>
                <w:spacing w:val="-4"/>
                <w:szCs w:val="21"/>
              </w:rPr>
              <w:t>3.3-4</w:t>
            </w:r>
            <w:r>
              <w:rPr>
                <w:rFonts w:cs="宋体"/>
                <w:b/>
                <w:bCs/>
                <w:color w:val="auto"/>
                <w:spacing w:val="-4"/>
                <w:szCs w:val="21"/>
              </w:rPr>
              <w:t xml:space="preserve">  水污染物排放标准  单位：mg/L，</w:t>
            </w:r>
            <w:r>
              <w:rPr>
                <w:rFonts w:hint="eastAsia" w:cs="宋体"/>
                <w:b/>
                <w:bCs/>
                <w:color w:val="auto"/>
                <w:spacing w:val="-4"/>
                <w:szCs w:val="21"/>
              </w:rPr>
              <w:t>pH值</w:t>
            </w:r>
            <w:r>
              <w:rPr>
                <w:rFonts w:cs="宋体"/>
                <w:b/>
                <w:bCs/>
                <w:color w:val="auto"/>
                <w:spacing w:val="-4"/>
                <w:szCs w:val="21"/>
              </w:rPr>
              <w:t>无量纲</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0"/>
              <w:gridCol w:w="1134"/>
              <w:gridCol w:w="2032"/>
              <w:gridCol w:w="3658"/>
            </w:tblGrid>
            <w:tr w14:paraId="73B0B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Align w:val="center"/>
                </w:tcPr>
                <w:p w14:paraId="2D657698">
                  <w:pPr>
                    <w:snapToGrid w:val="0"/>
                    <w:jc w:val="center"/>
                    <w:rPr>
                      <w:rFonts w:cs="宋体"/>
                      <w:b/>
                      <w:color w:val="auto"/>
                      <w:szCs w:val="21"/>
                    </w:rPr>
                  </w:pPr>
                  <w:r>
                    <w:rPr>
                      <w:rFonts w:cs="宋体"/>
                      <w:b/>
                      <w:color w:val="auto"/>
                      <w:szCs w:val="21"/>
                    </w:rPr>
                    <w:t>标准</w:t>
                  </w:r>
                </w:p>
              </w:tc>
              <w:tc>
                <w:tcPr>
                  <w:tcW w:w="711" w:type="pct"/>
                  <w:vAlign w:val="center"/>
                </w:tcPr>
                <w:p w14:paraId="6C1093F2">
                  <w:pPr>
                    <w:snapToGrid w:val="0"/>
                    <w:jc w:val="center"/>
                    <w:rPr>
                      <w:rFonts w:cs="宋体"/>
                      <w:b/>
                      <w:color w:val="auto"/>
                      <w:szCs w:val="21"/>
                    </w:rPr>
                  </w:pPr>
                  <w:r>
                    <w:rPr>
                      <w:rFonts w:cs="宋体"/>
                      <w:b/>
                      <w:color w:val="auto"/>
                      <w:szCs w:val="21"/>
                    </w:rPr>
                    <w:t>项目</w:t>
                  </w:r>
                </w:p>
              </w:tc>
              <w:tc>
                <w:tcPr>
                  <w:tcW w:w="1274" w:type="pct"/>
                  <w:vAlign w:val="center"/>
                </w:tcPr>
                <w:p w14:paraId="1E422AA4">
                  <w:pPr>
                    <w:snapToGrid w:val="0"/>
                    <w:jc w:val="center"/>
                    <w:rPr>
                      <w:rFonts w:cs="宋体"/>
                      <w:b/>
                      <w:color w:val="auto"/>
                      <w:szCs w:val="21"/>
                    </w:rPr>
                  </w:pPr>
                  <w:r>
                    <w:rPr>
                      <w:rFonts w:cs="宋体"/>
                      <w:b/>
                      <w:color w:val="auto"/>
                      <w:szCs w:val="21"/>
                    </w:rPr>
                    <w:t>浓度限值</w:t>
                  </w:r>
                </w:p>
              </w:tc>
              <w:tc>
                <w:tcPr>
                  <w:tcW w:w="2293" w:type="pct"/>
                  <w:vAlign w:val="center"/>
                </w:tcPr>
                <w:p w14:paraId="67B0FDA5">
                  <w:pPr>
                    <w:snapToGrid w:val="0"/>
                    <w:jc w:val="center"/>
                    <w:rPr>
                      <w:rFonts w:cs="宋体"/>
                      <w:b/>
                      <w:color w:val="auto"/>
                      <w:szCs w:val="21"/>
                    </w:rPr>
                  </w:pPr>
                  <w:r>
                    <w:rPr>
                      <w:rFonts w:cs="宋体"/>
                      <w:b/>
                      <w:color w:val="auto"/>
                      <w:szCs w:val="21"/>
                    </w:rPr>
                    <w:t>依据</w:t>
                  </w:r>
                </w:p>
              </w:tc>
            </w:tr>
            <w:tr w14:paraId="4A692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restart"/>
                  <w:vAlign w:val="center"/>
                </w:tcPr>
                <w:p w14:paraId="4F85F50B">
                  <w:pPr>
                    <w:snapToGrid w:val="0"/>
                    <w:jc w:val="center"/>
                    <w:rPr>
                      <w:rFonts w:cs="宋体"/>
                      <w:color w:val="auto"/>
                      <w:szCs w:val="21"/>
                    </w:rPr>
                  </w:pPr>
                  <w:r>
                    <w:rPr>
                      <w:rFonts w:cs="宋体"/>
                      <w:color w:val="auto"/>
                      <w:szCs w:val="21"/>
                    </w:rPr>
                    <w:t>接管标准</w:t>
                  </w:r>
                </w:p>
              </w:tc>
              <w:tc>
                <w:tcPr>
                  <w:tcW w:w="711" w:type="pct"/>
                  <w:vAlign w:val="center"/>
                </w:tcPr>
                <w:p w14:paraId="63E33B8F">
                  <w:pPr>
                    <w:snapToGrid w:val="0"/>
                    <w:jc w:val="center"/>
                    <w:rPr>
                      <w:rFonts w:cs="宋体"/>
                      <w:color w:val="auto"/>
                      <w:szCs w:val="21"/>
                    </w:rPr>
                  </w:pPr>
                  <w:r>
                    <w:rPr>
                      <w:rFonts w:hint="eastAsia" w:cs="宋体"/>
                      <w:color w:val="auto"/>
                      <w:szCs w:val="21"/>
                    </w:rPr>
                    <w:t>pH值</w:t>
                  </w:r>
                </w:p>
              </w:tc>
              <w:tc>
                <w:tcPr>
                  <w:tcW w:w="2032" w:type="dxa"/>
                  <w:vAlign w:val="center"/>
                </w:tcPr>
                <w:p w14:paraId="2B6FACEA">
                  <w:pPr>
                    <w:snapToGrid w:val="0"/>
                    <w:jc w:val="center"/>
                    <w:rPr>
                      <w:rFonts w:cs="宋体"/>
                      <w:color w:val="auto"/>
                      <w:szCs w:val="21"/>
                    </w:rPr>
                  </w:pPr>
                  <w:r>
                    <w:rPr>
                      <w:color w:val="auto"/>
                      <w:sz w:val="21"/>
                      <w:szCs w:val="21"/>
                    </w:rPr>
                    <w:t>6~</w:t>
                  </w:r>
                  <w:r>
                    <w:rPr>
                      <w:rFonts w:hint="eastAsia"/>
                      <w:color w:val="auto"/>
                      <w:sz w:val="21"/>
                      <w:szCs w:val="21"/>
                      <w:lang w:val="en-US" w:eastAsia="zh-CN"/>
                    </w:rPr>
                    <w:t>9</w:t>
                  </w:r>
                </w:p>
              </w:tc>
              <w:tc>
                <w:tcPr>
                  <w:tcW w:w="2293" w:type="pct"/>
                  <w:vMerge w:val="restart"/>
                  <w:vAlign w:val="center"/>
                </w:tcPr>
                <w:p w14:paraId="2690465F">
                  <w:pPr>
                    <w:snapToGrid w:val="0"/>
                    <w:jc w:val="center"/>
                    <w:rPr>
                      <w:rFonts w:cs="宋体"/>
                      <w:color w:val="auto"/>
                      <w:szCs w:val="21"/>
                    </w:rPr>
                  </w:pPr>
                  <w:r>
                    <w:rPr>
                      <w:rFonts w:hint="eastAsia" w:cs="宋体"/>
                      <w:color w:val="auto"/>
                      <w:szCs w:val="21"/>
                    </w:rPr>
                    <w:t>金坛第二污水处理厂接管标准</w:t>
                  </w:r>
                </w:p>
              </w:tc>
            </w:tr>
            <w:tr w14:paraId="4EA94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61414C78">
                  <w:pPr>
                    <w:snapToGrid w:val="0"/>
                    <w:jc w:val="center"/>
                    <w:rPr>
                      <w:rFonts w:cs="宋体"/>
                      <w:color w:val="auto"/>
                      <w:szCs w:val="21"/>
                    </w:rPr>
                  </w:pPr>
                </w:p>
              </w:tc>
              <w:tc>
                <w:tcPr>
                  <w:tcW w:w="711" w:type="pct"/>
                  <w:vAlign w:val="center"/>
                </w:tcPr>
                <w:p w14:paraId="69E30E02">
                  <w:pPr>
                    <w:snapToGrid w:val="0"/>
                    <w:jc w:val="center"/>
                    <w:rPr>
                      <w:rFonts w:cs="宋体"/>
                      <w:color w:val="auto"/>
                      <w:szCs w:val="21"/>
                    </w:rPr>
                  </w:pPr>
                  <w:r>
                    <w:rPr>
                      <w:rFonts w:hint="eastAsia" w:cs="宋体"/>
                      <w:color w:val="auto"/>
                      <w:szCs w:val="21"/>
                    </w:rPr>
                    <w:t>化学需氧量</w:t>
                  </w:r>
                </w:p>
              </w:tc>
              <w:tc>
                <w:tcPr>
                  <w:tcW w:w="2032" w:type="dxa"/>
                  <w:vAlign w:val="center"/>
                </w:tcPr>
                <w:p w14:paraId="4EC19815">
                  <w:pPr>
                    <w:snapToGrid w:val="0"/>
                    <w:jc w:val="center"/>
                    <w:rPr>
                      <w:rFonts w:cs="宋体"/>
                      <w:color w:val="auto"/>
                      <w:szCs w:val="21"/>
                    </w:rPr>
                  </w:pPr>
                  <w:r>
                    <w:rPr>
                      <w:color w:val="auto"/>
                      <w:sz w:val="21"/>
                      <w:szCs w:val="21"/>
                    </w:rPr>
                    <w:t>500</w:t>
                  </w:r>
                </w:p>
              </w:tc>
              <w:tc>
                <w:tcPr>
                  <w:tcW w:w="2293" w:type="pct"/>
                  <w:vMerge w:val="continue"/>
                  <w:vAlign w:val="center"/>
                </w:tcPr>
                <w:p w14:paraId="35C0152A">
                  <w:pPr>
                    <w:snapToGrid w:val="0"/>
                    <w:jc w:val="center"/>
                    <w:rPr>
                      <w:rFonts w:cs="宋体"/>
                      <w:color w:val="auto"/>
                      <w:szCs w:val="21"/>
                    </w:rPr>
                  </w:pPr>
                </w:p>
              </w:tc>
            </w:tr>
            <w:tr w14:paraId="648BD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73CCB608">
                  <w:pPr>
                    <w:snapToGrid w:val="0"/>
                    <w:jc w:val="center"/>
                    <w:rPr>
                      <w:rFonts w:cs="宋体"/>
                      <w:color w:val="auto"/>
                      <w:szCs w:val="21"/>
                    </w:rPr>
                  </w:pPr>
                </w:p>
              </w:tc>
              <w:tc>
                <w:tcPr>
                  <w:tcW w:w="711" w:type="pct"/>
                  <w:vAlign w:val="center"/>
                </w:tcPr>
                <w:p w14:paraId="7C06B83D">
                  <w:pPr>
                    <w:snapToGrid w:val="0"/>
                    <w:jc w:val="center"/>
                    <w:rPr>
                      <w:rFonts w:cs="宋体"/>
                      <w:color w:val="auto"/>
                      <w:szCs w:val="21"/>
                    </w:rPr>
                  </w:pPr>
                  <w:r>
                    <w:rPr>
                      <w:rFonts w:hint="eastAsia" w:cs="宋体"/>
                      <w:color w:val="auto"/>
                      <w:szCs w:val="21"/>
                    </w:rPr>
                    <w:t>悬浮物</w:t>
                  </w:r>
                </w:p>
              </w:tc>
              <w:tc>
                <w:tcPr>
                  <w:tcW w:w="2032" w:type="dxa"/>
                  <w:vAlign w:val="center"/>
                </w:tcPr>
                <w:p w14:paraId="7F5D4A67">
                  <w:pPr>
                    <w:snapToGrid w:val="0"/>
                    <w:jc w:val="center"/>
                    <w:rPr>
                      <w:rFonts w:cs="宋体"/>
                      <w:color w:val="auto"/>
                      <w:szCs w:val="21"/>
                    </w:rPr>
                  </w:pPr>
                  <w:r>
                    <w:rPr>
                      <w:rFonts w:hint="eastAsia"/>
                      <w:color w:val="auto"/>
                      <w:sz w:val="21"/>
                      <w:szCs w:val="21"/>
                      <w:lang w:val="en-US" w:eastAsia="zh-CN"/>
                    </w:rPr>
                    <w:t>250</w:t>
                  </w:r>
                </w:p>
              </w:tc>
              <w:tc>
                <w:tcPr>
                  <w:tcW w:w="2293" w:type="pct"/>
                  <w:vMerge w:val="continue"/>
                  <w:vAlign w:val="center"/>
                </w:tcPr>
                <w:p w14:paraId="4B719F20">
                  <w:pPr>
                    <w:snapToGrid w:val="0"/>
                    <w:jc w:val="center"/>
                    <w:rPr>
                      <w:rFonts w:cs="宋体"/>
                      <w:color w:val="auto"/>
                      <w:szCs w:val="21"/>
                    </w:rPr>
                  </w:pPr>
                </w:p>
              </w:tc>
            </w:tr>
            <w:tr w14:paraId="26B25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77E51EAC">
                  <w:pPr>
                    <w:snapToGrid w:val="0"/>
                    <w:jc w:val="center"/>
                    <w:rPr>
                      <w:rFonts w:cs="宋体"/>
                      <w:color w:val="auto"/>
                      <w:szCs w:val="21"/>
                    </w:rPr>
                  </w:pPr>
                </w:p>
              </w:tc>
              <w:tc>
                <w:tcPr>
                  <w:tcW w:w="711" w:type="pct"/>
                  <w:vAlign w:val="center"/>
                </w:tcPr>
                <w:p w14:paraId="0F5FF9EB">
                  <w:pPr>
                    <w:snapToGrid w:val="0"/>
                    <w:jc w:val="center"/>
                    <w:rPr>
                      <w:rFonts w:cs="宋体"/>
                      <w:color w:val="auto"/>
                      <w:szCs w:val="21"/>
                    </w:rPr>
                  </w:pPr>
                  <w:r>
                    <w:rPr>
                      <w:rFonts w:hint="eastAsia" w:cs="宋体"/>
                      <w:color w:val="auto"/>
                      <w:szCs w:val="21"/>
                    </w:rPr>
                    <w:t>氨氮</w:t>
                  </w:r>
                </w:p>
              </w:tc>
              <w:tc>
                <w:tcPr>
                  <w:tcW w:w="2032" w:type="dxa"/>
                  <w:vAlign w:val="center"/>
                </w:tcPr>
                <w:p w14:paraId="3CABC01B">
                  <w:pPr>
                    <w:snapToGrid w:val="0"/>
                    <w:jc w:val="center"/>
                    <w:rPr>
                      <w:rFonts w:cs="宋体"/>
                      <w:color w:val="auto"/>
                      <w:szCs w:val="21"/>
                    </w:rPr>
                  </w:pPr>
                  <w:r>
                    <w:rPr>
                      <w:rFonts w:hint="eastAsia"/>
                      <w:color w:val="auto"/>
                      <w:sz w:val="21"/>
                      <w:szCs w:val="21"/>
                      <w:lang w:val="en-US" w:eastAsia="zh-CN"/>
                    </w:rPr>
                    <w:t>35</w:t>
                  </w:r>
                </w:p>
              </w:tc>
              <w:tc>
                <w:tcPr>
                  <w:tcW w:w="2293" w:type="pct"/>
                  <w:vMerge w:val="continue"/>
                  <w:vAlign w:val="center"/>
                </w:tcPr>
                <w:p w14:paraId="4FC51458">
                  <w:pPr>
                    <w:snapToGrid w:val="0"/>
                    <w:jc w:val="center"/>
                    <w:rPr>
                      <w:rFonts w:cs="宋体"/>
                      <w:color w:val="auto"/>
                      <w:szCs w:val="21"/>
                    </w:rPr>
                  </w:pPr>
                </w:p>
              </w:tc>
            </w:tr>
            <w:tr w14:paraId="614BA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1909C2F7">
                  <w:pPr>
                    <w:snapToGrid w:val="0"/>
                    <w:jc w:val="center"/>
                    <w:rPr>
                      <w:rFonts w:cs="宋体"/>
                      <w:color w:val="auto"/>
                      <w:szCs w:val="21"/>
                    </w:rPr>
                  </w:pPr>
                </w:p>
              </w:tc>
              <w:tc>
                <w:tcPr>
                  <w:tcW w:w="711" w:type="pct"/>
                  <w:vAlign w:val="center"/>
                </w:tcPr>
                <w:p w14:paraId="733F300A">
                  <w:pPr>
                    <w:snapToGrid w:val="0"/>
                    <w:jc w:val="center"/>
                    <w:rPr>
                      <w:rFonts w:cs="宋体"/>
                      <w:color w:val="auto"/>
                      <w:szCs w:val="21"/>
                    </w:rPr>
                  </w:pPr>
                  <w:r>
                    <w:rPr>
                      <w:rFonts w:hint="eastAsia" w:cs="宋体"/>
                      <w:color w:val="auto"/>
                      <w:szCs w:val="21"/>
                    </w:rPr>
                    <w:t>总磷</w:t>
                  </w:r>
                </w:p>
              </w:tc>
              <w:tc>
                <w:tcPr>
                  <w:tcW w:w="2032" w:type="dxa"/>
                  <w:vAlign w:val="center"/>
                </w:tcPr>
                <w:p w14:paraId="1CDEAF17">
                  <w:pPr>
                    <w:snapToGrid w:val="0"/>
                    <w:jc w:val="center"/>
                    <w:rPr>
                      <w:rFonts w:cs="宋体"/>
                      <w:color w:val="auto"/>
                      <w:szCs w:val="21"/>
                    </w:rPr>
                  </w:pPr>
                  <w:r>
                    <w:rPr>
                      <w:rFonts w:hint="eastAsia"/>
                      <w:color w:val="auto"/>
                      <w:sz w:val="21"/>
                      <w:szCs w:val="21"/>
                      <w:lang w:val="en-US" w:eastAsia="zh-CN"/>
                    </w:rPr>
                    <w:t>3</w:t>
                  </w:r>
                </w:p>
              </w:tc>
              <w:tc>
                <w:tcPr>
                  <w:tcW w:w="2293" w:type="pct"/>
                  <w:vMerge w:val="continue"/>
                  <w:vAlign w:val="center"/>
                </w:tcPr>
                <w:p w14:paraId="6FC5F772">
                  <w:pPr>
                    <w:snapToGrid w:val="0"/>
                    <w:jc w:val="center"/>
                    <w:rPr>
                      <w:rFonts w:cs="宋体"/>
                      <w:color w:val="auto"/>
                      <w:szCs w:val="21"/>
                    </w:rPr>
                  </w:pPr>
                </w:p>
              </w:tc>
            </w:tr>
            <w:tr w14:paraId="226D0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721" w:type="pct"/>
                  <w:vMerge w:val="continue"/>
                  <w:vAlign w:val="center"/>
                </w:tcPr>
                <w:p w14:paraId="531E5D42">
                  <w:pPr>
                    <w:snapToGrid w:val="0"/>
                    <w:jc w:val="center"/>
                    <w:rPr>
                      <w:rFonts w:cs="宋体"/>
                      <w:color w:val="auto"/>
                      <w:szCs w:val="21"/>
                    </w:rPr>
                  </w:pPr>
                </w:p>
              </w:tc>
              <w:tc>
                <w:tcPr>
                  <w:tcW w:w="711" w:type="pct"/>
                  <w:vAlign w:val="center"/>
                </w:tcPr>
                <w:p w14:paraId="20C85B19">
                  <w:pPr>
                    <w:snapToGrid w:val="0"/>
                    <w:jc w:val="center"/>
                    <w:rPr>
                      <w:rFonts w:cs="宋体"/>
                      <w:color w:val="auto"/>
                      <w:szCs w:val="21"/>
                    </w:rPr>
                  </w:pPr>
                  <w:r>
                    <w:rPr>
                      <w:rFonts w:hint="eastAsia" w:cs="宋体"/>
                      <w:color w:val="auto"/>
                      <w:szCs w:val="21"/>
                    </w:rPr>
                    <w:t>总氮</w:t>
                  </w:r>
                </w:p>
              </w:tc>
              <w:tc>
                <w:tcPr>
                  <w:tcW w:w="2032" w:type="dxa"/>
                  <w:vAlign w:val="center"/>
                </w:tcPr>
                <w:p w14:paraId="51F17DF6">
                  <w:pPr>
                    <w:snapToGrid w:val="0"/>
                    <w:jc w:val="center"/>
                    <w:rPr>
                      <w:rFonts w:cs="宋体"/>
                      <w:color w:val="auto"/>
                      <w:szCs w:val="21"/>
                    </w:rPr>
                  </w:pPr>
                  <w:r>
                    <w:rPr>
                      <w:rFonts w:hint="eastAsia"/>
                      <w:color w:val="auto"/>
                      <w:sz w:val="21"/>
                      <w:szCs w:val="21"/>
                      <w:lang w:val="en-US" w:eastAsia="zh-CN"/>
                    </w:rPr>
                    <w:t>50</w:t>
                  </w:r>
                </w:p>
              </w:tc>
              <w:tc>
                <w:tcPr>
                  <w:tcW w:w="2293" w:type="pct"/>
                  <w:vMerge w:val="continue"/>
                  <w:vAlign w:val="center"/>
                </w:tcPr>
                <w:p w14:paraId="069C0547">
                  <w:pPr>
                    <w:snapToGrid w:val="0"/>
                    <w:jc w:val="center"/>
                    <w:rPr>
                      <w:rFonts w:cs="宋体"/>
                      <w:color w:val="auto"/>
                      <w:szCs w:val="21"/>
                    </w:rPr>
                  </w:pPr>
                </w:p>
              </w:tc>
            </w:tr>
            <w:tr w14:paraId="2E931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restart"/>
                  <w:vAlign w:val="center"/>
                </w:tcPr>
                <w:p w14:paraId="0706BDFB">
                  <w:pPr>
                    <w:snapToGrid w:val="0"/>
                    <w:jc w:val="center"/>
                    <w:rPr>
                      <w:rStyle w:val="27"/>
                      <w:rFonts w:cs="宋体"/>
                      <w:color w:val="auto"/>
                      <w:szCs w:val="21"/>
                    </w:rPr>
                  </w:pPr>
                  <w:r>
                    <w:rPr>
                      <w:rStyle w:val="27"/>
                      <w:rFonts w:cs="宋体"/>
                      <w:color w:val="auto"/>
                      <w:szCs w:val="21"/>
                    </w:rPr>
                    <w:t>尾水最终</w:t>
                  </w:r>
                </w:p>
                <w:p w14:paraId="36B81B95">
                  <w:pPr>
                    <w:snapToGrid w:val="0"/>
                    <w:jc w:val="center"/>
                    <w:rPr>
                      <w:rFonts w:cs="宋体"/>
                      <w:color w:val="auto"/>
                      <w:szCs w:val="21"/>
                    </w:rPr>
                  </w:pPr>
                  <w:r>
                    <w:rPr>
                      <w:rStyle w:val="27"/>
                      <w:rFonts w:cs="宋体"/>
                      <w:color w:val="auto"/>
                      <w:szCs w:val="21"/>
                    </w:rPr>
                    <w:t>排放</w:t>
                  </w:r>
                  <w:r>
                    <w:rPr>
                      <w:rFonts w:cs="宋体"/>
                      <w:color w:val="auto"/>
                      <w:szCs w:val="21"/>
                    </w:rPr>
                    <w:t>标准</w:t>
                  </w:r>
                </w:p>
              </w:tc>
              <w:tc>
                <w:tcPr>
                  <w:tcW w:w="711" w:type="pct"/>
                  <w:vAlign w:val="center"/>
                </w:tcPr>
                <w:p w14:paraId="13F7AE9D">
                  <w:pPr>
                    <w:snapToGrid w:val="0"/>
                    <w:jc w:val="center"/>
                    <w:rPr>
                      <w:rFonts w:cs="宋体"/>
                      <w:color w:val="auto"/>
                      <w:szCs w:val="21"/>
                    </w:rPr>
                  </w:pPr>
                  <w:r>
                    <w:rPr>
                      <w:rFonts w:hint="eastAsia" w:cs="宋体"/>
                      <w:color w:val="auto"/>
                      <w:szCs w:val="21"/>
                    </w:rPr>
                    <w:t>pH值</w:t>
                  </w:r>
                </w:p>
              </w:tc>
              <w:tc>
                <w:tcPr>
                  <w:tcW w:w="1274" w:type="pct"/>
                  <w:vAlign w:val="center"/>
                </w:tcPr>
                <w:p w14:paraId="788E62A0">
                  <w:pPr>
                    <w:snapToGrid w:val="0"/>
                    <w:jc w:val="center"/>
                    <w:rPr>
                      <w:rFonts w:cs="宋体"/>
                      <w:color w:val="auto"/>
                      <w:szCs w:val="21"/>
                    </w:rPr>
                  </w:pPr>
                  <w:r>
                    <w:rPr>
                      <w:rFonts w:cs="宋体"/>
                      <w:color w:val="auto"/>
                      <w:szCs w:val="21"/>
                    </w:rPr>
                    <w:t>6~9</w:t>
                  </w:r>
                </w:p>
              </w:tc>
              <w:tc>
                <w:tcPr>
                  <w:tcW w:w="2293" w:type="pct"/>
                  <w:vMerge w:val="restart"/>
                  <w:vAlign w:val="center"/>
                </w:tcPr>
                <w:p w14:paraId="2226DE16">
                  <w:pPr>
                    <w:snapToGrid w:val="0"/>
                    <w:jc w:val="center"/>
                    <w:rPr>
                      <w:rFonts w:cs="宋体"/>
                      <w:color w:val="auto"/>
                      <w:szCs w:val="21"/>
                    </w:rPr>
                  </w:pPr>
                  <w:r>
                    <w:rPr>
                      <w:rFonts w:cs="宋体"/>
                      <w:color w:val="auto"/>
                      <w:kern w:val="0"/>
                      <w:szCs w:val="21"/>
                    </w:rPr>
                    <w:t>《城镇污水处理厂污染物排放标准》（GB18918-2002）中一级A标准</w:t>
                  </w:r>
                </w:p>
              </w:tc>
            </w:tr>
            <w:tr w14:paraId="3AD7C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23D9955F">
                  <w:pPr>
                    <w:snapToGrid w:val="0"/>
                    <w:jc w:val="center"/>
                    <w:rPr>
                      <w:rFonts w:cs="宋体"/>
                      <w:color w:val="auto"/>
                      <w:szCs w:val="21"/>
                    </w:rPr>
                  </w:pPr>
                </w:p>
              </w:tc>
              <w:tc>
                <w:tcPr>
                  <w:tcW w:w="711" w:type="pct"/>
                  <w:vAlign w:val="center"/>
                </w:tcPr>
                <w:p w14:paraId="407ACE7C">
                  <w:pPr>
                    <w:snapToGrid w:val="0"/>
                    <w:jc w:val="center"/>
                    <w:rPr>
                      <w:rFonts w:cs="宋体"/>
                      <w:color w:val="auto"/>
                      <w:szCs w:val="21"/>
                    </w:rPr>
                  </w:pPr>
                  <w:r>
                    <w:rPr>
                      <w:rFonts w:hint="eastAsia" w:cs="宋体"/>
                      <w:color w:val="auto"/>
                      <w:szCs w:val="21"/>
                    </w:rPr>
                    <w:t>悬浮物</w:t>
                  </w:r>
                </w:p>
              </w:tc>
              <w:tc>
                <w:tcPr>
                  <w:tcW w:w="1274" w:type="pct"/>
                  <w:vAlign w:val="center"/>
                </w:tcPr>
                <w:p w14:paraId="3440F98A">
                  <w:pPr>
                    <w:snapToGrid w:val="0"/>
                    <w:jc w:val="center"/>
                    <w:rPr>
                      <w:rFonts w:cs="宋体"/>
                      <w:color w:val="auto"/>
                      <w:szCs w:val="21"/>
                    </w:rPr>
                  </w:pPr>
                  <w:r>
                    <w:rPr>
                      <w:rFonts w:cs="宋体"/>
                      <w:color w:val="auto"/>
                      <w:szCs w:val="21"/>
                    </w:rPr>
                    <w:t>10</w:t>
                  </w:r>
                </w:p>
              </w:tc>
              <w:tc>
                <w:tcPr>
                  <w:tcW w:w="2293" w:type="pct"/>
                  <w:vMerge w:val="continue"/>
                  <w:vAlign w:val="center"/>
                </w:tcPr>
                <w:p w14:paraId="04D427FF">
                  <w:pPr>
                    <w:snapToGrid w:val="0"/>
                    <w:jc w:val="center"/>
                    <w:rPr>
                      <w:rFonts w:cs="宋体"/>
                      <w:color w:val="auto"/>
                      <w:szCs w:val="21"/>
                    </w:rPr>
                  </w:pPr>
                </w:p>
              </w:tc>
            </w:tr>
            <w:tr w14:paraId="1A0E9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6B7970BD">
                  <w:pPr>
                    <w:snapToGrid w:val="0"/>
                    <w:jc w:val="center"/>
                    <w:rPr>
                      <w:rFonts w:cs="宋体"/>
                      <w:color w:val="auto"/>
                      <w:szCs w:val="21"/>
                    </w:rPr>
                  </w:pPr>
                </w:p>
              </w:tc>
              <w:tc>
                <w:tcPr>
                  <w:tcW w:w="711" w:type="pct"/>
                  <w:vAlign w:val="center"/>
                </w:tcPr>
                <w:p w14:paraId="5D7B6258">
                  <w:pPr>
                    <w:snapToGrid w:val="0"/>
                    <w:jc w:val="center"/>
                    <w:rPr>
                      <w:rFonts w:cs="宋体"/>
                      <w:color w:val="auto"/>
                      <w:szCs w:val="21"/>
                    </w:rPr>
                  </w:pPr>
                  <w:r>
                    <w:rPr>
                      <w:rFonts w:hint="eastAsia" w:cs="宋体"/>
                      <w:color w:val="auto"/>
                      <w:szCs w:val="21"/>
                    </w:rPr>
                    <w:t>化学需氧量</w:t>
                  </w:r>
                </w:p>
              </w:tc>
              <w:tc>
                <w:tcPr>
                  <w:tcW w:w="1274" w:type="pct"/>
                  <w:vAlign w:val="center"/>
                </w:tcPr>
                <w:p w14:paraId="1285E0AF">
                  <w:pPr>
                    <w:snapToGrid w:val="0"/>
                    <w:jc w:val="center"/>
                    <w:rPr>
                      <w:rFonts w:cs="宋体"/>
                      <w:color w:val="auto"/>
                      <w:szCs w:val="21"/>
                    </w:rPr>
                  </w:pPr>
                  <w:r>
                    <w:rPr>
                      <w:rFonts w:cs="宋体"/>
                      <w:color w:val="auto"/>
                      <w:szCs w:val="21"/>
                    </w:rPr>
                    <w:t>50</w:t>
                  </w:r>
                </w:p>
              </w:tc>
              <w:tc>
                <w:tcPr>
                  <w:tcW w:w="2293" w:type="pct"/>
                  <w:vMerge w:val="restart"/>
                  <w:vAlign w:val="center"/>
                </w:tcPr>
                <w:p w14:paraId="09B9AC54">
                  <w:pPr>
                    <w:snapToGrid w:val="0"/>
                    <w:jc w:val="center"/>
                    <w:rPr>
                      <w:rFonts w:cs="宋体"/>
                      <w:color w:val="auto"/>
                      <w:kern w:val="0"/>
                      <w:szCs w:val="21"/>
                    </w:rPr>
                  </w:pPr>
                  <w:r>
                    <w:rPr>
                      <w:rFonts w:cs="宋体"/>
                      <w:color w:val="auto"/>
                      <w:kern w:val="0"/>
                      <w:szCs w:val="21"/>
                    </w:rPr>
                    <w:t>《太湖地区城镇污水处理厂及重点工业行业主要水污染物排放限值》（DB32/1072-2018）表2中标准</w:t>
                  </w:r>
                </w:p>
              </w:tc>
            </w:tr>
            <w:tr w14:paraId="28612F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1B8C699F">
                  <w:pPr>
                    <w:snapToGrid w:val="0"/>
                    <w:jc w:val="center"/>
                    <w:rPr>
                      <w:rFonts w:cs="宋体"/>
                      <w:color w:val="auto"/>
                      <w:szCs w:val="21"/>
                    </w:rPr>
                  </w:pPr>
                </w:p>
              </w:tc>
              <w:tc>
                <w:tcPr>
                  <w:tcW w:w="711" w:type="pct"/>
                  <w:vAlign w:val="center"/>
                </w:tcPr>
                <w:p w14:paraId="3FDE53DC">
                  <w:pPr>
                    <w:snapToGrid w:val="0"/>
                    <w:jc w:val="center"/>
                    <w:rPr>
                      <w:rFonts w:cs="宋体"/>
                      <w:color w:val="auto"/>
                      <w:szCs w:val="21"/>
                    </w:rPr>
                  </w:pPr>
                  <w:r>
                    <w:rPr>
                      <w:rFonts w:hint="eastAsia" w:cs="宋体"/>
                      <w:color w:val="auto"/>
                      <w:szCs w:val="21"/>
                    </w:rPr>
                    <w:t>氨氮</w:t>
                  </w:r>
                </w:p>
              </w:tc>
              <w:tc>
                <w:tcPr>
                  <w:tcW w:w="1274" w:type="pct"/>
                  <w:vAlign w:val="center"/>
                </w:tcPr>
                <w:p w14:paraId="2057AC4A">
                  <w:pPr>
                    <w:snapToGrid w:val="0"/>
                    <w:jc w:val="center"/>
                    <w:rPr>
                      <w:rFonts w:cs="宋体"/>
                      <w:color w:val="auto"/>
                      <w:szCs w:val="21"/>
                    </w:rPr>
                  </w:pPr>
                  <w:r>
                    <w:rPr>
                      <w:rFonts w:cs="宋体"/>
                      <w:color w:val="auto"/>
                      <w:szCs w:val="21"/>
                    </w:rPr>
                    <w:t>4（6）*</w:t>
                  </w:r>
                </w:p>
              </w:tc>
              <w:tc>
                <w:tcPr>
                  <w:tcW w:w="2293" w:type="pct"/>
                  <w:vMerge w:val="continue"/>
                  <w:vAlign w:val="center"/>
                </w:tcPr>
                <w:p w14:paraId="034C61F2">
                  <w:pPr>
                    <w:snapToGrid w:val="0"/>
                    <w:jc w:val="center"/>
                    <w:rPr>
                      <w:rFonts w:cs="宋体"/>
                      <w:color w:val="auto"/>
                      <w:szCs w:val="21"/>
                    </w:rPr>
                  </w:pPr>
                </w:p>
              </w:tc>
            </w:tr>
            <w:tr w14:paraId="459EC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6CDE614A">
                  <w:pPr>
                    <w:snapToGrid w:val="0"/>
                    <w:jc w:val="center"/>
                    <w:rPr>
                      <w:rFonts w:cs="宋体"/>
                      <w:color w:val="auto"/>
                      <w:szCs w:val="21"/>
                    </w:rPr>
                  </w:pPr>
                </w:p>
              </w:tc>
              <w:tc>
                <w:tcPr>
                  <w:tcW w:w="711" w:type="pct"/>
                  <w:vAlign w:val="center"/>
                </w:tcPr>
                <w:p w14:paraId="310ADFAF">
                  <w:pPr>
                    <w:snapToGrid w:val="0"/>
                    <w:jc w:val="center"/>
                    <w:rPr>
                      <w:rFonts w:cs="宋体"/>
                      <w:color w:val="auto"/>
                      <w:szCs w:val="21"/>
                    </w:rPr>
                  </w:pPr>
                  <w:r>
                    <w:rPr>
                      <w:rFonts w:hint="eastAsia" w:cs="宋体"/>
                      <w:color w:val="auto"/>
                      <w:szCs w:val="21"/>
                    </w:rPr>
                    <w:t>总磷</w:t>
                  </w:r>
                </w:p>
              </w:tc>
              <w:tc>
                <w:tcPr>
                  <w:tcW w:w="1274" w:type="pct"/>
                  <w:vAlign w:val="center"/>
                </w:tcPr>
                <w:p w14:paraId="2742A6E8">
                  <w:pPr>
                    <w:snapToGrid w:val="0"/>
                    <w:jc w:val="center"/>
                    <w:rPr>
                      <w:rFonts w:cs="宋体"/>
                      <w:color w:val="auto"/>
                      <w:szCs w:val="21"/>
                    </w:rPr>
                  </w:pPr>
                  <w:r>
                    <w:rPr>
                      <w:rFonts w:cs="宋体"/>
                      <w:color w:val="auto"/>
                      <w:szCs w:val="21"/>
                    </w:rPr>
                    <w:t>0.5</w:t>
                  </w:r>
                </w:p>
              </w:tc>
              <w:tc>
                <w:tcPr>
                  <w:tcW w:w="2293" w:type="pct"/>
                  <w:vMerge w:val="continue"/>
                  <w:vAlign w:val="center"/>
                </w:tcPr>
                <w:p w14:paraId="2FBC3B3A">
                  <w:pPr>
                    <w:snapToGrid w:val="0"/>
                    <w:jc w:val="center"/>
                    <w:rPr>
                      <w:rFonts w:cs="宋体"/>
                      <w:color w:val="auto"/>
                      <w:szCs w:val="21"/>
                    </w:rPr>
                  </w:pPr>
                </w:p>
              </w:tc>
            </w:tr>
            <w:tr w14:paraId="45232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1" w:type="pct"/>
                  <w:vMerge w:val="continue"/>
                  <w:vAlign w:val="center"/>
                </w:tcPr>
                <w:p w14:paraId="69B700A4">
                  <w:pPr>
                    <w:snapToGrid w:val="0"/>
                    <w:jc w:val="center"/>
                    <w:rPr>
                      <w:rFonts w:cs="宋体"/>
                      <w:color w:val="auto"/>
                      <w:szCs w:val="21"/>
                    </w:rPr>
                  </w:pPr>
                </w:p>
              </w:tc>
              <w:tc>
                <w:tcPr>
                  <w:tcW w:w="711" w:type="pct"/>
                  <w:vAlign w:val="center"/>
                </w:tcPr>
                <w:p w14:paraId="14FB478A">
                  <w:pPr>
                    <w:snapToGrid w:val="0"/>
                    <w:jc w:val="center"/>
                    <w:rPr>
                      <w:rFonts w:cs="宋体"/>
                      <w:color w:val="auto"/>
                      <w:szCs w:val="21"/>
                    </w:rPr>
                  </w:pPr>
                  <w:r>
                    <w:rPr>
                      <w:rFonts w:hint="eastAsia" w:cs="宋体"/>
                      <w:color w:val="auto"/>
                      <w:szCs w:val="21"/>
                    </w:rPr>
                    <w:t>总氮</w:t>
                  </w:r>
                </w:p>
              </w:tc>
              <w:tc>
                <w:tcPr>
                  <w:tcW w:w="1274" w:type="pct"/>
                  <w:vAlign w:val="center"/>
                </w:tcPr>
                <w:p w14:paraId="6E6DFAE7">
                  <w:pPr>
                    <w:snapToGrid w:val="0"/>
                    <w:jc w:val="center"/>
                    <w:rPr>
                      <w:rFonts w:cs="宋体"/>
                      <w:color w:val="auto"/>
                      <w:szCs w:val="21"/>
                    </w:rPr>
                  </w:pPr>
                  <w:r>
                    <w:rPr>
                      <w:rFonts w:cs="宋体"/>
                      <w:color w:val="auto"/>
                      <w:szCs w:val="21"/>
                    </w:rPr>
                    <w:t>12（15）*</w:t>
                  </w:r>
                </w:p>
              </w:tc>
              <w:tc>
                <w:tcPr>
                  <w:tcW w:w="2293" w:type="pct"/>
                  <w:vMerge w:val="continue"/>
                  <w:vAlign w:val="center"/>
                </w:tcPr>
                <w:p w14:paraId="6F273725">
                  <w:pPr>
                    <w:snapToGrid w:val="0"/>
                    <w:jc w:val="center"/>
                    <w:rPr>
                      <w:rFonts w:cs="宋体"/>
                      <w:color w:val="auto"/>
                      <w:szCs w:val="21"/>
                    </w:rPr>
                  </w:pPr>
                </w:p>
              </w:tc>
            </w:tr>
          </w:tbl>
          <w:p w14:paraId="6BFC5D6F">
            <w:pPr>
              <w:spacing w:line="360" w:lineRule="auto"/>
              <w:ind w:firstLine="360" w:firstLineChars="200"/>
              <w:rPr>
                <w:rFonts w:cs="宋体"/>
                <w:color w:val="auto"/>
                <w:sz w:val="18"/>
                <w:szCs w:val="21"/>
              </w:rPr>
            </w:pPr>
            <w:r>
              <w:rPr>
                <w:rFonts w:cs="宋体"/>
                <w:color w:val="auto"/>
                <w:sz w:val="18"/>
                <w:szCs w:val="21"/>
              </w:rPr>
              <w:t>注：</w:t>
            </w:r>
            <w:r>
              <w:rPr>
                <w:rFonts w:cs="宋体"/>
                <w:color w:val="auto"/>
                <w:sz w:val="18"/>
                <w:szCs w:val="18"/>
              </w:rPr>
              <w:t>括号外数值为水温＞12</w:t>
            </w:r>
            <w:r>
              <w:rPr>
                <w:rFonts w:hint="eastAsia" w:cs="宋体"/>
                <w:color w:val="auto"/>
                <w:sz w:val="18"/>
                <w:szCs w:val="18"/>
              </w:rPr>
              <w:t>℃</w:t>
            </w:r>
            <w:r>
              <w:rPr>
                <w:rFonts w:cs="宋体"/>
                <w:color w:val="auto"/>
                <w:sz w:val="18"/>
                <w:szCs w:val="18"/>
              </w:rPr>
              <w:t>时的控制指标，括号内数值为水温≤12</w:t>
            </w:r>
            <w:r>
              <w:rPr>
                <w:rFonts w:hint="eastAsia" w:cs="宋体"/>
                <w:color w:val="auto"/>
                <w:sz w:val="18"/>
                <w:szCs w:val="18"/>
              </w:rPr>
              <w:t>℃</w:t>
            </w:r>
            <w:r>
              <w:rPr>
                <w:rFonts w:cs="宋体"/>
                <w:color w:val="auto"/>
                <w:sz w:val="18"/>
                <w:szCs w:val="18"/>
              </w:rPr>
              <w:t>时的控制指标</w:t>
            </w:r>
            <w:r>
              <w:rPr>
                <w:rFonts w:hint="eastAsia" w:cs="宋体"/>
                <w:color w:val="auto"/>
                <w:sz w:val="18"/>
                <w:szCs w:val="21"/>
              </w:rPr>
              <w:t>。</w:t>
            </w:r>
          </w:p>
          <w:p w14:paraId="31EE4CA1">
            <w:pPr>
              <w:spacing w:line="360" w:lineRule="auto"/>
              <w:ind w:firstLine="480" w:firstLineChars="200"/>
              <w:rPr>
                <w:rFonts w:cs="宋体"/>
                <w:color w:val="auto"/>
                <w:sz w:val="24"/>
              </w:rPr>
            </w:pPr>
            <w:r>
              <w:rPr>
                <w:rFonts w:hint="eastAsia" w:cs="宋体"/>
                <w:color w:val="auto"/>
                <w:sz w:val="24"/>
              </w:rPr>
              <w:t>此外，根据最新发布的《城镇污水处理厂污染物排放标准》（DB32/4440-2022）（2022.12.28发布，2023.3.28实施）中内容，本项目废水拟接管的</w:t>
            </w:r>
            <w:r>
              <w:rPr>
                <w:rFonts w:hint="eastAsia" w:cs="宋体"/>
                <w:color w:val="auto"/>
                <w:sz w:val="24"/>
                <w:lang w:val="en-US" w:eastAsia="zh-CN"/>
              </w:rPr>
              <w:t>金坛第二</w:t>
            </w:r>
            <w:r>
              <w:rPr>
                <w:rFonts w:hint="eastAsia" w:cs="宋体"/>
                <w:color w:val="auto"/>
                <w:sz w:val="24"/>
              </w:rPr>
              <w:t>污水处理厂排污口位于一般区域，执行其中C标准；且根据标准7.1执行时间中的“7.1.2现有城镇污水处理厂自本文件实施之日起3年后执行”，因此自2026年3月28日起，本项目废水经</w:t>
            </w:r>
            <w:r>
              <w:rPr>
                <w:rFonts w:hint="eastAsia" w:cs="宋体"/>
                <w:color w:val="auto"/>
                <w:sz w:val="24"/>
                <w:lang w:val="en-US" w:eastAsia="zh-CN"/>
              </w:rPr>
              <w:t>金坛第二</w:t>
            </w:r>
            <w:r>
              <w:rPr>
                <w:rFonts w:hint="eastAsia" w:cs="宋体"/>
                <w:color w:val="auto"/>
                <w:sz w:val="24"/>
              </w:rPr>
              <w:t>污水处理厂集中处理后尾水的排放标准执行《城镇污水处理厂污染物排放标准》（DB32/4440-2022）表1和表2中C等级标准。</w:t>
            </w:r>
          </w:p>
          <w:p w14:paraId="0D896990">
            <w:pPr>
              <w:tabs>
                <w:tab w:val="left" w:pos="960"/>
              </w:tabs>
              <w:spacing w:before="120" w:beforeLines="50"/>
              <w:jc w:val="center"/>
              <w:rPr>
                <w:rFonts w:cs="宋体"/>
                <w:b/>
                <w:bCs/>
                <w:color w:val="auto"/>
                <w:spacing w:val="-4"/>
                <w:szCs w:val="21"/>
              </w:rPr>
            </w:pPr>
            <w:r>
              <w:rPr>
                <w:rFonts w:cs="宋体"/>
                <w:b/>
                <w:bCs/>
                <w:color w:val="auto"/>
                <w:spacing w:val="-4"/>
                <w:szCs w:val="21"/>
              </w:rPr>
              <w:t>表</w:t>
            </w:r>
            <w:r>
              <w:rPr>
                <w:rFonts w:hint="eastAsia" w:cs="宋体"/>
                <w:b/>
                <w:bCs/>
                <w:color w:val="auto"/>
                <w:spacing w:val="-4"/>
                <w:szCs w:val="21"/>
              </w:rPr>
              <w:t>3.3-5</w:t>
            </w:r>
            <w:r>
              <w:rPr>
                <w:rFonts w:cs="宋体"/>
                <w:b/>
                <w:bCs/>
                <w:color w:val="auto"/>
                <w:spacing w:val="-4"/>
                <w:szCs w:val="21"/>
              </w:rPr>
              <w:t xml:space="preserve">  </w:t>
            </w:r>
            <w:r>
              <w:rPr>
                <w:rFonts w:hint="eastAsia" w:cs="宋体"/>
                <w:b/>
                <w:bCs/>
                <w:color w:val="auto"/>
                <w:spacing w:val="-4"/>
                <w:szCs w:val="21"/>
              </w:rPr>
              <w:t>远期污水处理厂尾水</w:t>
            </w:r>
            <w:r>
              <w:rPr>
                <w:rFonts w:cs="宋体"/>
                <w:b/>
                <w:bCs/>
                <w:color w:val="auto"/>
                <w:spacing w:val="-4"/>
                <w:szCs w:val="21"/>
              </w:rPr>
              <w:t>排放标准  单位：mg/L，</w:t>
            </w:r>
            <w:r>
              <w:rPr>
                <w:rFonts w:hint="eastAsia" w:cs="宋体"/>
                <w:b/>
                <w:bCs/>
                <w:color w:val="auto"/>
                <w:spacing w:val="-4"/>
                <w:szCs w:val="21"/>
              </w:rPr>
              <w:t>pH值</w:t>
            </w:r>
            <w:r>
              <w:rPr>
                <w:rFonts w:cs="宋体"/>
                <w:b/>
                <w:bCs/>
                <w:color w:val="auto"/>
                <w:spacing w:val="-4"/>
                <w:szCs w:val="21"/>
              </w:rPr>
              <w:t>无量纲</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7"/>
              <w:gridCol w:w="1593"/>
              <w:gridCol w:w="2121"/>
              <w:gridCol w:w="2940"/>
            </w:tblGrid>
            <w:tr w14:paraId="6ED62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3C9E13F6">
                  <w:pPr>
                    <w:snapToGrid w:val="0"/>
                    <w:jc w:val="center"/>
                    <w:rPr>
                      <w:rFonts w:cs="宋体"/>
                      <w:b/>
                      <w:color w:val="auto"/>
                      <w:szCs w:val="21"/>
                    </w:rPr>
                  </w:pPr>
                  <w:r>
                    <w:rPr>
                      <w:rFonts w:cs="宋体"/>
                      <w:b/>
                      <w:color w:val="auto"/>
                      <w:szCs w:val="21"/>
                    </w:rPr>
                    <w:t>项目</w:t>
                  </w:r>
                </w:p>
              </w:tc>
              <w:tc>
                <w:tcPr>
                  <w:tcW w:w="999" w:type="pct"/>
                  <w:vAlign w:val="center"/>
                </w:tcPr>
                <w:p w14:paraId="606F549C">
                  <w:pPr>
                    <w:snapToGrid w:val="0"/>
                    <w:jc w:val="center"/>
                    <w:rPr>
                      <w:rFonts w:cs="宋体"/>
                      <w:b/>
                      <w:color w:val="auto"/>
                      <w:szCs w:val="21"/>
                    </w:rPr>
                  </w:pPr>
                  <w:r>
                    <w:rPr>
                      <w:rFonts w:hint="eastAsia" w:cs="宋体"/>
                      <w:b/>
                      <w:color w:val="auto"/>
                      <w:szCs w:val="21"/>
                    </w:rPr>
                    <w:t>日均排放</w:t>
                  </w:r>
                  <w:r>
                    <w:rPr>
                      <w:rFonts w:cs="宋体"/>
                      <w:b/>
                      <w:color w:val="auto"/>
                      <w:szCs w:val="21"/>
                    </w:rPr>
                    <w:t>限值</w:t>
                  </w:r>
                </w:p>
              </w:tc>
              <w:tc>
                <w:tcPr>
                  <w:tcW w:w="1330" w:type="pct"/>
                  <w:vAlign w:val="center"/>
                </w:tcPr>
                <w:p w14:paraId="5ED98574">
                  <w:pPr>
                    <w:snapToGrid w:val="0"/>
                    <w:jc w:val="center"/>
                    <w:rPr>
                      <w:rFonts w:cs="宋体"/>
                      <w:b/>
                      <w:color w:val="auto"/>
                      <w:szCs w:val="21"/>
                    </w:rPr>
                  </w:pPr>
                  <w:r>
                    <w:rPr>
                      <w:rFonts w:hint="eastAsia" w:cs="宋体"/>
                      <w:b/>
                      <w:color w:val="auto"/>
                      <w:szCs w:val="21"/>
                    </w:rPr>
                    <w:t>一次监测排放限值</w:t>
                  </w:r>
                </w:p>
              </w:tc>
              <w:tc>
                <w:tcPr>
                  <w:tcW w:w="1844" w:type="pct"/>
                  <w:vAlign w:val="center"/>
                </w:tcPr>
                <w:p w14:paraId="65F615F6">
                  <w:pPr>
                    <w:snapToGrid w:val="0"/>
                    <w:jc w:val="center"/>
                    <w:rPr>
                      <w:rFonts w:cs="宋体"/>
                      <w:b/>
                      <w:color w:val="auto"/>
                      <w:szCs w:val="21"/>
                    </w:rPr>
                  </w:pPr>
                  <w:r>
                    <w:rPr>
                      <w:rFonts w:cs="宋体"/>
                      <w:b/>
                      <w:color w:val="auto"/>
                      <w:szCs w:val="21"/>
                    </w:rPr>
                    <w:t>依据</w:t>
                  </w:r>
                </w:p>
              </w:tc>
            </w:tr>
            <w:tr w14:paraId="249F1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4975547D">
                  <w:pPr>
                    <w:snapToGrid w:val="0"/>
                    <w:jc w:val="center"/>
                    <w:rPr>
                      <w:rFonts w:cs="宋体"/>
                      <w:color w:val="auto"/>
                      <w:szCs w:val="21"/>
                    </w:rPr>
                  </w:pPr>
                  <w:r>
                    <w:rPr>
                      <w:rFonts w:hint="eastAsia" w:cs="宋体"/>
                      <w:color w:val="auto"/>
                      <w:szCs w:val="21"/>
                    </w:rPr>
                    <w:t>pH值</w:t>
                  </w:r>
                </w:p>
              </w:tc>
              <w:tc>
                <w:tcPr>
                  <w:tcW w:w="999" w:type="pct"/>
                  <w:vAlign w:val="center"/>
                </w:tcPr>
                <w:p w14:paraId="420C8B82">
                  <w:pPr>
                    <w:snapToGrid w:val="0"/>
                    <w:jc w:val="center"/>
                    <w:rPr>
                      <w:rFonts w:cs="宋体"/>
                      <w:color w:val="auto"/>
                      <w:szCs w:val="21"/>
                    </w:rPr>
                  </w:pPr>
                  <w:r>
                    <w:rPr>
                      <w:rFonts w:hint="eastAsia" w:cs="宋体"/>
                      <w:color w:val="auto"/>
                      <w:szCs w:val="21"/>
                    </w:rPr>
                    <w:t>6~9</w:t>
                  </w:r>
                </w:p>
              </w:tc>
              <w:tc>
                <w:tcPr>
                  <w:tcW w:w="1330" w:type="pct"/>
                  <w:vAlign w:val="center"/>
                </w:tcPr>
                <w:p w14:paraId="006735D0">
                  <w:pPr>
                    <w:snapToGrid w:val="0"/>
                    <w:jc w:val="center"/>
                    <w:rPr>
                      <w:rFonts w:cs="宋体"/>
                      <w:color w:val="auto"/>
                      <w:szCs w:val="21"/>
                    </w:rPr>
                  </w:pPr>
                  <w:r>
                    <w:rPr>
                      <w:rFonts w:hint="eastAsia" w:cs="宋体"/>
                      <w:color w:val="auto"/>
                      <w:szCs w:val="21"/>
                    </w:rPr>
                    <w:t>/</w:t>
                  </w:r>
                </w:p>
              </w:tc>
              <w:tc>
                <w:tcPr>
                  <w:tcW w:w="1844" w:type="pct"/>
                  <w:vMerge w:val="restart"/>
                  <w:vAlign w:val="center"/>
                </w:tcPr>
                <w:p w14:paraId="0A3AAC7B">
                  <w:pPr>
                    <w:snapToGrid w:val="0"/>
                    <w:jc w:val="center"/>
                    <w:rPr>
                      <w:rFonts w:cs="宋体"/>
                      <w:color w:val="auto"/>
                      <w:kern w:val="0"/>
                      <w:szCs w:val="21"/>
                    </w:rPr>
                  </w:pPr>
                  <w:r>
                    <w:rPr>
                      <w:rFonts w:hint="eastAsia" w:cs="宋体"/>
                      <w:color w:val="auto"/>
                      <w:kern w:val="0"/>
                      <w:szCs w:val="21"/>
                    </w:rPr>
                    <w:t>《城镇污水处理厂污染物排放标准》（DB32/4440-2022）表1和表2中C等级标准</w:t>
                  </w:r>
                </w:p>
              </w:tc>
            </w:tr>
            <w:tr w14:paraId="0C6A1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136FF440">
                  <w:pPr>
                    <w:snapToGrid w:val="0"/>
                    <w:jc w:val="center"/>
                    <w:rPr>
                      <w:rFonts w:cs="宋体"/>
                      <w:color w:val="auto"/>
                      <w:szCs w:val="21"/>
                    </w:rPr>
                  </w:pPr>
                  <w:r>
                    <w:rPr>
                      <w:rFonts w:hint="eastAsia" w:cs="宋体"/>
                      <w:color w:val="auto"/>
                      <w:szCs w:val="21"/>
                    </w:rPr>
                    <w:t>化学需氧量</w:t>
                  </w:r>
                </w:p>
              </w:tc>
              <w:tc>
                <w:tcPr>
                  <w:tcW w:w="999" w:type="pct"/>
                  <w:vAlign w:val="center"/>
                </w:tcPr>
                <w:p w14:paraId="4A65473E">
                  <w:pPr>
                    <w:snapToGrid w:val="0"/>
                    <w:jc w:val="center"/>
                    <w:rPr>
                      <w:rFonts w:cs="宋体"/>
                      <w:color w:val="auto"/>
                      <w:szCs w:val="21"/>
                    </w:rPr>
                  </w:pPr>
                  <w:r>
                    <w:rPr>
                      <w:rFonts w:hint="eastAsia" w:cs="宋体"/>
                      <w:color w:val="auto"/>
                      <w:szCs w:val="21"/>
                    </w:rPr>
                    <w:t>50</w:t>
                  </w:r>
                </w:p>
              </w:tc>
              <w:tc>
                <w:tcPr>
                  <w:tcW w:w="1330" w:type="pct"/>
                  <w:vAlign w:val="center"/>
                </w:tcPr>
                <w:p w14:paraId="60BB4864">
                  <w:pPr>
                    <w:snapToGrid w:val="0"/>
                    <w:jc w:val="center"/>
                    <w:rPr>
                      <w:rFonts w:cs="宋体"/>
                      <w:color w:val="auto"/>
                      <w:szCs w:val="21"/>
                    </w:rPr>
                  </w:pPr>
                  <w:r>
                    <w:rPr>
                      <w:rFonts w:hint="eastAsia" w:cs="宋体"/>
                      <w:color w:val="auto"/>
                      <w:szCs w:val="21"/>
                    </w:rPr>
                    <w:t>75</w:t>
                  </w:r>
                </w:p>
              </w:tc>
              <w:tc>
                <w:tcPr>
                  <w:tcW w:w="1844" w:type="pct"/>
                  <w:vMerge w:val="continue"/>
                  <w:vAlign w:val="center"/>
                </w:tcPr>
                <w:p w14:paraId="7024F120">
                  <w:pPr>
                    <w:snapToGrid w:val="0"/>
                    <w:jc w:val="center"/>
                    <w:rPr>
                      <w:rFonts w:cs="宋体"/>
                      <w:color w:val="auto"/>
                      <w:kern w:val="0"/>
                      <w:szCs w:val="21"/>
                    </w:rPr>
                  </w:pPr>
                </w:p>
              </w:tc>
            </w:tr>
            <w:tr w14:paraId="1DB84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6A26DADB">
                  <w:pPr>
                    <w:snapToGrid w:val="0"/>
                    <w:jc w:val="center"/>
                    <w:rPr>
                      <w:rFonts w:cs="宋体"/>
                      <w:color w:val="auto"/>
                      <w:szCs w:val="21"/>
                    </w:rPr>
                  </w:pPr>
                  <w:r>
                    <w:rPr>
                      <w:rFonts w:hint="eastAsia" w:cs="宋体"/>
                      <w:color w:val="auto"/>
                      <w:szCs w:val="21"/>
                    </w:rPr>
                    <w:t>悬浮物</w:t>
                  </w:r>
                </w:p>
              </w:tc>
              <w:tc>
                <w:tcPr>
                  <w:tcW w:w="999" w:type="pct"/>
                  <w:vAlign w:val="center"/>
                </w:tcPr>
                <w:p w14:paraId="42062848">
                  <w:pPr>
                    <w:snapToGrid w:val="0"/>
                    <w:jc w:val="center"/>
                    <w:rPr>
                      <w:rFonts w:cs="宋体"/>
                      <w:color w:val="auto"/>
                      <w:szCs w:val="21"/>
                    </w:rPr>
                  </w:pPr>
                  <w:r>
                    <w:rPr>
                      <w:rFonts w:hint="eastAsia" w:cs="宋体"/>
                      <w:color w:val="auto"/>
                      <w:szCs w:val="21"/>
                    </w:rPr>
                    <w:t>10</w:t>
                  </w:r>
                </w:p>
              </w:tc>
              <w:tc>
                <w:tcPr>
                  <w:tcW w:w="1330" w:type="pct"/>
                  <w:vAlign w:val="center"/>
                </w:tcPr>
                <w:p w14:paraId="3811E570">
                  <w:pPr>
                    <w:snapToGrid w:val="0"/>
                    <w:jc w:val="center"/>
                    <w:rPr>
                      <w:rFonts w:cs="宋体"/>
                      <w:color w:val="auto"/>
                      <w:szCs w:val="21"/>
                    </w:rPr>
                  </w:pPr>
                  <w:r>
                    <w:rPr>
                      <w:rFonts w:hint="eastAsia" w:cs="宋体"/>
                      <w:color w:val="auto"/>
                      <w:szCs w:val="21"/>
                    </w:rPr>
                    <w:t>/</w:t>
                  </w:r>
                </w:p>
              </w:tc>
              <w:tc>
                <w:tcPr>
                  <w:tcW w:w="1844" w:type="pct"/>
                  <w:vMerge w:val="continue"/>
                  <w:vAlign w:val="center"/>
                </w:tcPr>
                <w:p w14:paraId="7A12BC8B">
                  <w:pPr>
                    <w:snapToGrid w:val="0"/>
                    <w:jc w:val="center"/>
                    <w:rPr>
                      <w:rFonts w:cs="宋体"/>
                      <w:color w:val="auto"/>
                      <w:szCs w:val="21"/>
                    </w:rPr>
                  </w:pPr>
                </w:p>
              </w:tc>
            </w:tr>
            <w:tr w14:paraId="0AFD7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421D4585">
                  <w:pPr>
                    <w:snapToGrid w:val="0"/>
                    <w:jc w:val="center"/>
                    <w:rPr>
                      <w:rFonts w:cs="宋体"/>
                      <w:color w:val="auto"/>
                      <w:szCs w:val="21"/>
                    </w:rPr>
                  </w:pPr>
                  <w:r>
                    <w:rPr>
                      <w:rFonts w:hint="eastAsia" w:cs="宋体"/>
                      <w:color w:val="auto"/>
                      <w:szCs w:val="21"/>
                    </w:rPr>
                    <w:t>氨氮</w:t>
                  </w:r>
                </w:p>
              </w:tc>
              <w:tc>
                <w:tcPr>
                  <w:tcW w:w="999" w:type="pct"/>
                  <w:vAlign w:val="center"/>
                </w:tcPr>
                <w:p w14:paraId="544062F4">
                  <w:pPr>
                    <w:snapToGrid w:val="0"/>
                    <w:jc w:val="center"/>
                    <w:rPr>
                      <w:rFonts w:cs="宋体"/>
                      <w:color w:val="auto"/>
                      <w:szCs w:val="21"/>
                    </w:rPr>
                  </w:pPr>
                  <w:r>
                    <w:rPr>
                      <w:rFonts w:hint="eastAsia" w:cs="宋体"/>
                      <w:color w:val="auto"/>
                      <w:szCs w:val="21"/>
                    </w:rPr>
                    <w:t>4（6）</w:t>
                  </w:r>
                </w:p>
              </w:tc>
              <w:tc>
                <w:tcPr>
                  <w:tcW w:w="1330" w:type="pct"/>
                  <w:vAlign w:val="center"/>
                </w:tcPr>
                <w:p w14:paraId="64EAE830">
                  <w:pPr>
                    <w:snapToGrid w:val="0"/>
                    <w:jc w:val="center"/>
                    <w:rPr>
                      <w:rFonts w:cs="宋体"/>
                      <w:color w:val="auto"/>
                      <w:szCs w:val="21"/>
                    </w:rPr>
                  </w:pPr>
                  <w:r>
                    <w:rPr>
                      <w:rFonts w:hint="eastAsia" w:cs="宋体"/>
                      <w:color w:val="auto"/>
                      <w:szCs w:val="21"/>
                    </w:rPr>
                    <w:t>8（12）</w:t>
                  </w:r>
                </w:p>
              </w:tc>
              <w:tc>
                <w:tcPr>
                  <w:tcW w:w="1844" w:type="pct"/>
                  <w:vMerge w:val="continue"/>
                  <w:vAlign w:val="center"/>
                </w:tcPr>
                <w:p w14:paraId="57FE99F5">
                  <w:pPr>
                    <w:snapToGrid w:val="0"/>
                    <w:jc w:val="center"/>
                    <w:rPr>
                      <w:rFonts w:cs="宋体"/>
                      <w:color w:val="auto"/>
                      <w:szCs w:val="21"/>
                    </w:rPr>
                  </w:pPr>
                </w:p>
              </w:tc>
            </w:tr>
            <w:tr w14:paraId="5F412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341CC07B">
                  <w:pPr>
                    <w:snapToGrid w:val="0"/>
                    <w:jc w:val="center"/>
                    <w:rPr>
                      <w:rFonts w:cs="宋体"/>
                      <w:color w:val="auto"/>
                      <w:szCs w:val="21"/>
                    </w:rPr>
                  </w:pPr>
                  <w:r>
                    <w:rPr>
                      <w:rFonts w:hint="eastAsia" w:cs="宋体"/>
                      <w:color w:val="auto"/>
                      <w:szCs w:val="21"/>
                    </w:rPr>
                    <w:t>总磷</w:t>
                  </w:r>
                </w:p>
              </w:tc>
              <w:tc>
                <w:tcPr>
                  <w:tcW w:w="999" w:type="pct"/>
                  <w:vAlign w:val="center"/>
                </w:tcPr>
                <w:p w14:paraId="2E090596">
                  <w:pPr>
                    <w:snapToGrid w:val="0"/>
                    <w:jc w:val="center"/>
                    <w:rPr>
                      <w:rFonts w:cs="宋体"/>
                      <w:color w:val="auto"/>
                      <w:szCs w:val="21"/>
                    </w:rPr>
                  </w:pPr>
                  <w:r>
                    <w:rPr>
                      <w:rFonts w:hint="eastAsia" w:cs="宋体"/>
                      <w:color w:val="auto"/>
                      <w:szCs w:val="21"/>
                    </w:rPr>
                    <w:t>0.5</w:t>
                  </w:r>
                </w:p>
              </w:tc>
              <w:tc>
                <w:tcPr>
                  <w:tcW w:w="1330" w:type="pct"/>
                  <w:vAlign w:val="center"/>
                </w:tcPr>
                <w:p w14:paraId="7F4D8C1C">
                  <w:pPr>
                    <w:snapToGrid w:val="0"/>
                    <w:jc w:val="center"/>
                    <w:rPr>
                      <w:rFonts w:cs="宋体"/>
                      <w:color w:val="auto"/>
                      <w:szCs w:val="21"/>
                    </w:rPr>
                  </w:pPr>
                  <w:r>
                    <w:rPr>
                      <w:rFonts w:hint="eastAsia" w:cs="宋体"/>
                      <w:color w:val="auto"/>
                      <w:szCs w:val="21"/>
                    </w:rPr>
                    <w:t>1</w:t>
                  </w:r>
                </w:p>
              </w:tc>
              <w:tc>
                <w:tcPr>
                  <w:tcW w:w="1844" w:type="pct"/>
                  <w:vMerge w:val="continue"/>
                  <w:vAlign w:val="center"/>
                </w:tcPr>
                <w:p w14:paraId="26014AA1">
                  <w:pPr>
                    <w:snapToGrid w:val="0"/>
                    <w:jc w:val="center"/>
                    <w:rPr>
                      <w:rFonts w:cs="宋体"/>
                      <w:color w:val="auto"/>
                      <w:kern w:val="0"/>
                      <w:szCs w:val="21"/>
                    </w:rPr>
                  </w:pPr>
                </w:p>
              </w:tc>
            </w:tr>
            <w:tr w14:paraId="49FCD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6" w:type="pct"/>
                  <w:vAlign w:val="center"/>
                </w:tcPr>
                <w:p w14:paraId="7894083F">
                  <w:pPr>
                    <w:snapToGrid w:val="0"/>
                    <w:jc w:val="center"/>
                    <w:rPr>
                      <w:rFonts w:cs="宋体"/>
                      <w:color w:val="auto"/>
                      <w:szCs w:val="21"/>
                    </w:rPr>
                  </w:pPr>
                  <w:r>
                    <w:rPr>
                      <w:rFonts w:hint="eastAsia" w:cs="宋体"/>
                      <w:color w:val="auto"/>
                      <w:szCs w:val="21"/>
                    </w:rPr>
                    <w:t>总氮</w:t>
                  </w:r>
                </w:p>
              </w:tc>
              <w:tc>
                <w:tcPr>
                  <w:tcW w:w="999" w:type="pct"/>
                  <w:vAlign w:val="center"/>
                </w:tcPr>
                <w:p w14:paraId="2C658A07">
                  <w:pPr>
                    <w:snapToGrid w:val="0"/>
                    <w:jc w:val="center"/>
                    <w:rPr>
                      <w:rFonts w:cs="宋体"/>
                      <w:color w:val="auto"/>
                      <w:szCs w:val="21"/>
                    </w:rPr>
                  </w:pPr>
                  <w:r>
                    <w:rPr>
                      <w:rFonts w:hint="eastAsia" w:cs="宋体"/>
                      <w:color w:val="auto"/>
                      <w:szCs w:val="21"/>
                    </w:rPr>
                    <w:t>12（15）</w:t>
                  </w:r>
                </w:p>
              </w:tc>
              <w:tc>
                <w:tcPr>
                  <w:tcW w:w="1330" w:type="pct"/>
                  <w:vAlign w:val="center"/>
                </w:tcPr>
                <w:p w14:paraId="27FDA492">
                  <w:pPr>
                    <w:snapToGrid w:val="0"/>
                    <w:jc w:val="center"/>
                    <w:rPr>
                      <w:rFonts w:cs="宋体"/>
                      <w:color w:val="auto"/>
                      <w:szCs w:val="21"/>
                    </w:rPr>
                  </w:pPr>
                  <w:r>
                    <w:rPr>
                      <w:rFonts w:hint="eastAsia" w:cs="宋体"/>
                      <w:color w:val="auto"/>
                      <w:szCs w:val="21"/>
                    </w:rPr>
                    <w:t>15（20）</w:t>
                  </w:r>
                </w:p>
              </w:tc>
              <w:tc>
                <w:tcPr>
                  <w:tcW w:w="1844" w:type="pct"/>
                  <w:vMerge w:val="continue"/>
                  <w:vAlign w:val="center"/>
                </w:tcPr>
                <w:p w14:paraId="41D38CBB">
                  <w:pPr>
                    <w:snapToGrid w:val="0"/>
                    <w:jc w:val="center"/>
                    <w:rPr>
                      <w:rFonts w:cs="宋体"/>
                      <w:color w:val="auto"/>
                      <w:szCs w:val="21"/>
                    </w:rPr>
                  </w:pPr>
                </w:p>
              </w:tc>
            </w:tr>
          </w:tbl>
          <w:p w14:paraId="3A256490">
            <w:pPr>
              <w:tabs>
                <w:tab w:val="left" w:pos="6725"/>
              </w:tabs>
              <w:spacing w:line="360" w:lineRule="auto"/>
              <w:ind w:firstLine="360" w:firstLineChars="200"/>
              <w:rPr>
                <w:rFonts w:cs="宋体"/>
                <w:b/>
                <w:color w:val="auto"/>
                <w:sz w:val="24"/>
              </w:rPr>
            </w:pPr>
            <w:r>
              <w:rPr>
                <w:rFonts w:cs="宋体"/>
                <w:color w:val="auto"/>
                <w:sz w:val="18"/>
                <w:szCs w:val="21"/>
              </w:rPr>
              <w:t>注：</w:t>
            </w:r>
            <w:r>
              <w:rPr>
                <w:rFonts w:hint="eastAsia" w:cs="宋体"/>
                <w:color w:val="auto"/>
                <w:sz w:val="18"/>
                <w:szCs w:val="18"/>
              </w:rPr>
              <w:t>每年11月1日至次年3月31日执行括号内排放限值</w:t>
            </w:r>
            <w:r>
              <w:rPr>
                <w:rFonts w:hint="eastAsia" w:cs="宋体"/>
                <w:color w:val="auto"/>
                <w:sz w:val="18"/>
                <w:szCs w:val="21"/>
              </w:rPr>
              <w:t>。</w:t>
            </w:r>
          </w:p>
          <w:p w14:paraId="552B5C17">
            <w:pPr>
              <w:tabs>
                <w:tab w:val="left" w:pos="6725"/>
              </w:tabs>
              <w:spacing w:line="360" w:lineRule="auto"/>
              <w:ind w:firstLine="482" w:firstLineChars="200"/>
              <w:rPr>
                <w:rFonts w:hint="eastAsia" w:cs="宋体"/>
                <w:b/>
                <w:color w:val="auto"/>
                <w:sz w:val="24"/>
                <w:highlight w:val="none"/>
                <w:lang w:val="en-US" w:eastAsia="zh-CN"/>
              </w:rPr>
            </w:pPr>
          </w:p>
          <w:p w14:paraId="60ADEF98">
            <w:pPr>
              <w:tabs>
                <w:tab w:val="left" w:pos="6725"/>
              </w:tabs>
              <w:spacing w:line="360" w:lineRule="auto"/>
              <w:ind w:firstLine="482" w:firstLineChars="200"/>
              <w:rPr>
                <w:rFonts w:hint="eastAsia" w:cs="宋体"/>
                <w:b/>
                <w:color w:val="auto"/>
                <w:sz w:val="24"/>
                <w:highlight w:val="none"/>
                <w:lang w:val="en-US" w:eastAsia="zh-CN"/>
              </w:rPr>
            </w:pPr>
          </w:p>
          <w:p w14:paraId="2FF0079E">
            <w:pPr>
              <w:tabs>
                <w:tab w:val="left" w:pos="6725"/>
              </w:tabs>
              <w:spacing w:line="360" w:lineRule="auto"/>
              <w:ind w:firstLine="482" w:firstLineChars="200"/>
              <w:rPr>
                <w:rFonts w:ascii="Times New Roman" w:hAnsi="Times New Roman" w:eastAsia="宋体" w:cs="宋体"/>
                <w:b/>
                <w:color w:val="auto"/>
                <w:sz w:val="24"/>
                <w:highlight w:val="none"/>
              </w:rPr>
            </w:pPr>
            <w:r>
              <w:rPr>
                <w:rFonts w:hint="eastAsia" w:cs="宋体"/>
                <w:b/>
                <w:color w:val="auto"/>
                <w:sz w:val="24"/>
                <w:highlight w:val="none"/>
                <w:lang w:val="en-US" w:eastAsia="zh-CN"/>
              </w:rPr>
              <w:t>3</w:t>
            </w:r>
            <w:r>
              <w:rPr>
                <w:rFonts w:ascii="Times New Roman" w:hAnsi="Times New Roman" w:eastAsia="宋体" w:cs="宋体"/>
                <w:b/>
                <w:color w:val="auto"/>
                <w:sz w:val="24"/>
                <w:highlight w:val="none"/>
              </w:rPr>
              <w:t>、噪声排放标准</w:t>
            </w:r>
          </w:p>
          <w:p w14:paraId="3D970171">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本项目运营期厂界噪声执行《工业企业厂界环境噪声排放标准》（GB12348-2008）中</w:t>
            </w:r>
            <w:r>
              <w:rPr>
                <w:rFonts w:hint="eastAsia" w:cs="宋体"/>
                <w:color w:val="auto"/>
                <w:sz w:val="24"/>
                <w:highlight w:val="none"/>
                <w:lang w:val="en-US" w:eastAsia="zh-CN"/>
              </w:rPr>
              <w:t>3</w:t>
            </w:r>
            <w:r>
              <w:rPr>
                <w:rFonts w:hint="eastAsia" w:ascii="Times New Roman" w:hAnsi="Times New Roman" w:eastAsia="宋体" w:cs="宋体"/>
                <w:color w:val="auto"/>
                <w:sz w:val="24"/>
                <w:highlight w:val="none"/>
              </w:rPr>
              <w:t>类</w:t>
            </w:r>
            <w:r>
              <w:rPr>
                <w:rFonts w:ascii="Times New Roman" w:hAnsi="Times New Roman" w:eastAsia="宋体" w:cs="宋体"/>
                <w:color w:val="auto"/>
                <w:sz w:val="24"/>
                <w:highlight w:val="none"/>
              </w:rPr>
              <w:t>区标准，即昼间</w:t>
            </w:r>
            <w:r>
              <w:rPr>
                <w:rFonts w:hint="eastAsia" w:ascii="Times New Roman" w:hAnsi="Times New Roman" w:eastAsia="宋体" w:cs="宋体"/>
                <w:color w:val="auto"/>
                <w:sz w:val="24"/>
                <w:highlight w:val="none"/>
              </w:rPr>
              <w:t>≤</w:t>
            </w:r>
            <w:r>
              <w:rPr>
                <w:rFonts w:hint="eastAsia" w:cs="宋体"/>
                <w:color w:val="auto"/>
                <w:sz w:val="24"/>
                <w:highlight w:val="none"/>
                <w:lang w:val="en-US" w:eastAsia="zh-CN"/>
              </w:rPr>
              <w:t>65</w:t>
            </w:r>
            <w:r>
              <w:rPr>
                <w:rFonts w:ascii="Times New Roman" w:hAnsi="Times New Roman" w:eastAsia="宋体" w:cs="宋体"/>
                <w:color w:val="auto"/>
                <w:sz w:val="24"/>
                <w:highlight w:val="none"/>
              </w:rPr>
              <w:t>dB（A）</w:t>
            </w:r>
            <w:r>
              <w:rPr>
                <w:rFonts w:hint="eastAsia" w:ascii="Times New Roman" w:hAnsi="Times New Roman" w:eastAsia="宋体" w:cs="宋体"/>
                <w:color w:val="auto"/>
                <w:sz w:val="24"/>
                <w:highlight w:val="none"/>
              </w:rPr>
              <w:t>、夜</w:t>
            </w:r>
            <w:r>
              <w:rPr>
                <w:rFonts w:ascii="Times New Roman" w:hAnsi="Times New Roman" w:eastAsia="宋体" w:cs="宋体"/>
                <w:color w:val="auto"/>
                <w:sz w:val="24"/>
                <w:highlight w:val="none"/>
              </w:rPr>
              <w:t>间</w:t>
            </w:r>
            <w:r>
              <w:rPr>
                <w:rFonts w:hint="eastAsia" w:ascii="Times New Roman" w:hAnsi="Times New Roman" w:eastAsia="宋体" w:cs="宋体"/>
                <w:color w:val="auto"/>
                <w:sz w:val="24"/>
                <w:highlight w:val="none"/>
              </w:rPr>
              <w:t>≤</w:t>
            </w:r>
            <w:r>
              <w:rPr>
                <w:rFonts w:hint="eastAsia" w:cs="宋体"/>
                <w:color w:val="auto"/>
                <w:sz w:val="24"/>
                <w:highlight w:val="none"/>
                <w:lang w:val="en-US" w:eastAsia="zh-CN"/>
              </w:rPr>
              <w:t>55</w:t>
            </w:r>
            <w:r>
              <w:rPr>
                <w:rFonts w:ascii="Times New Roman" w:hAnsi="Times New Roman" w:eastAsia="宋体" w:cs="宋体"/>
                <w:color w:val="auto"/>
                <w:sz w:val="24"/>
                <w:highlight w:val="none"/>
              </w:rPr>
              <w:t>dB（A）。</w:t>
            </w:r>
          </w:p>
          <w:p w14:paraId="00BDD6D0">
            <w:pPr>
              <w:spacing w:line="360" w:lineRule="auto"/>
              <w:ind w:firstLine="482" w:firstLineChars="200"/>
              <w:rPr>
                <w:rFonts w:ascii="Times New Roman" w:hAnsi="Times New Roman" w:eastAsia="宋体" w:cs="宋体"/>
                <w:b/>
                <w:color w:val="auto"/>
                <w:sz w:val="24"/>
                <w:highlight w:val="none"/>
              </w:rPr>
            </w:pPr>
            <w:r>
              <w:rPr>
                <w:rFonts w:hint="eastAsia" w:cs="宋体"/>
                <w:b/>
                <w:color w:val="auto"/>
                <w:sz w:val="24"/>
                <w:highlight w:val="none"/>
                <w:lang w:val="en-US" w:eastAsia="zh-CN"/>
              </w:rPr>
              <w:t>4</w:t>
            </w:r>
            <w:r>
              <w:rPr>
                <w:rFonts w:ascii="Times New Roman" w:hAnsi="Times New Roman" w:eastAsia="宋体" w:cs="宋体"/>
                <w:b/>
                <w:color w:val="auto"/>
                <w:sz w:val="24"/>
                <w:highlight w:val="none"/>
              </w:rPr>
              <w:t>、固体废物控制标准</w:t>
            </w:r>
          </w:p>
          <w:p w14:paraId="3E9CD702">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szCs w:val="32"/>
                <w:highlight w:val="none"/>
              </w:rPr>
              <w:t>一般工业固体废物贮存过程应满足相应防渗漏、防雨淋、防扬尘等环境保护要求；危险废物产生、收集、贮存、利用、处置过程中执行《危险废物贮存污染控制标准》（GB18597-2023）、《危险废物识别标志设置技术规范》（HJ1276-2022）、《危险废物收集 贮存 运输技术规范》（HJ2025-2012）、《江苏省固体废物全过程环境监管工作意见》（苏环办〔2024〕16号）中相关规定</w:t>
            </w:r>
            <w:r>
              <w:rPr>
                <w:rFonts w:hint="eastAsia" w:ascii="Times New Roman" w:hAnsi="Times New Roman" w:eastAsia="宋体" w:cs="宋体"/>
                <w:color w:val="auto"/>
                <w:sz w:val="24"/>
                <w:highlight w:val="none"/>
              </w:rPr>
              <w:t>。</w:t>
            </w:r>
          </w:p>
          <w:p w14:paraId="33E63C8E">
            <w:pPr>
              <w:spacing w:line="360" w:lineRule="auto"/>
              <w:ind w:firstLine="480" w:firstLineChars="200"/>
              <w:rPr>
                <w:rFonts w:hint="eastAsia" w:ascii="Times New Roman" w:hAnsi="Times New Roman" w:eastAsia="宋体" w:cs="宋体"/>
                <w:color w:val="auto"/>
                <w:sz w:val="24"/>
                <w:highlight w:val="none"/>
              </w:rPr>
            </w:pPr>
          </w:p>
          <w:p w14:paraId="41C515C6">
            <w:pPr>
              <w:spacing w:line="360" w:lineRule="auto"/>
              <w:ind w:firstLine="480" w:firstLineChars="200"/>
              <w:rPr>
                <w:rFonts w:hint="eastAsia" w:ascii="Times New Roman" w:hAnsi="Times New Roman" w:eastAsia="宋体" w:cs="宋体"/>
                <w:color w:val="auto"/>
                <w:sz w:val="24"/>
                <w:highlight w:val="none"/>
              </w:rPr>
            </w:pPr>
          </w:p>
          <w:p w14:paraId="798FE76A">
            <w:pPr>
              <w:spacing w:line="360" w:lineRule="auto"/>
              <w:ind w:firstLine="480" w:firstLineChars="200"/>
              <w:rPr>
                <w:rFonts w:hint="eastAsia" w:cs="宋体"/>
                <w:color w:val="auto"/>
                <w:sz w:val="24"/>
                <w:highlight w:val="none"/>
                <w:lang w:val="en-US" w:eastAsia="zh-CN"/>
              </w:rPr>
            </w:pPr>
          </w:p>
          <w:p w14:paraId="41E76760">
            <w:pPr>
              <w:spacing w:line="360" w:lineRule="auto"/>
              <w:ind w:firstLine="480" w:firstLineChars="200"/>
              <w:rPr>
                <w:rFonts w:hint="eastAsia" w:ascii="Times New Roman" w:hAnsi="Times New Roman" w:eastAsia="宋体" w:cs="宋体"/>
                <w:color w:val="auto"/>
                <w:sz w:val="24"/>
                <w:highlight w:val="none"/>
                <w:lang w:val="en-US" w:eastAsia="zh-CN"/>
              </w:rPr>
            </w:pPr>
          </w:p>
          <w:p w14:paraId="1A0E75AD">
            <w:pPr>
              <w:spacing w:line="360" w:lineRule="auto"/>
              <w:ind w:firstLine="480" w:firstLineChars="200"/>
              <w:rPr>
                <w:rFonts w:hint="eastAsia" w:ascii="Times New Roman" w:hAnsi="Times New Roman" w:eastAsia="宋体" w:cs="宋体"/>
                <w:color w:val="auto"/>
                <w:sz w:val="24"/>
                <w:highlight w:val="none"/>
              </w:rPr>
            </w:pPr>
          </w:p>
          <w:p w14:paraId="0596157E">
            <w:pPr>
              <w:spacing w:line="360" w:lineRule="auto"/>
              <w:ind w:firstLine="420" w:firstLineChars="200"/>
              <w:rPr>
                <w:rFonts w:hint="eastAsia" w:cs="宋体"/>
                <w:color w:val="auto"/>
                <w:szCs w:val="21"/>
                <w:highlight w:val="none"/>
                <w:lang w:val="en-US" w:eastAsia="zh-CN"/>
              </w:rPr>
            </w:pPr>
          </w:p>
          <w:p w14:paraId="65E629DF">
            <w:pPr>
              <w:spacing w:line="360" w:lineRule="auto"/>
              <w:ind w:firstLine="480" w:firstLineChars="200"/>
              <w:rPr>
                <w:rFonts w:hint="eastAsia" w:cs="宋体"/>
                <w:color w:val="auto"/>
                <w:sz w:val="24"/>
                <w:highlight w:val="none"/>
                <w:lang w:val="en-US" w:eastAsia="zh-CN"/>
              </w:rPr>
            </w:pPr>
          </w:p>
          <w:p w14:paraId="0027C98F">
            <w:pPr>
              <w:spacing w:line="360" w:lineRule="auto"/>
              <w:ind w:firstLine="480" w:firstLineChars="200"/>
              <w:rPr>
                <w:rFonts w:hint="eastAsia" w:ascii="Times New Roman" w:hAnsi="Times New Roman" w:eastAsia="宋体" w:cs="宋体"/>
                <w:color w:val="auto"/>
                <w:sz w:val="24"/>
                <w:highlight w:val="none"/>
                <w:lang w:val="en-US" w:eastAsia="zh-CN"/>
              </w:rPr>
            </w:pPr>
          </w:p>
          <w:p w14:paraId="40D32990">
            <w:pPr>
              <w:spacing w:line="360" w:lineRule="auto"/>
              <w:ind w:firstLine="480" w:firstLineChars="200"/>
              <w:rPr>
                <w:rFonts w:hint="eastAsia" w:ascii="Times New Roman" w:hAnsi="Times New Roman" w:eastAsia="宋体" w:cs="宋体"/>
                <w:color w:val="auto"/>
                <w:sz w:val="24"/>
                <w:highlight w:val="none"/>
              </w:rPr>
            </w:pPr>
          </w:p>
          <w:p w14:paraId="3D0F84E7">
            <w:pPr>
              <w:spacing w:line="360" w:lineRule="auto"/>
              <w:ind w:firstLine="420" w:firstLineChars="200"/>
              <w:rPr>
                <w:rFonts w:hint="eastAsia" w:cs="宋体"/>
                <w:color w:val="auto"/>
                <w:szCs w:val="21"/>
                <w:highlight w:val="none"/>
                <w:lang w:val="en-US" w:eastAsia="zh-CN"/>
              </w:rPr>
            </w:pPr>
          </w:p>
          <w:p w14:paraId="43AFB51C">
            <w:pPr>
              <w:spacing w:line="360" w:lineRule="auto"/>
              <w:ind w:firstLine="420" w:firstLineChars="200"/>
              <w:rPr>
                <w:rFonts w:hint="eastAsia" w:cs="宋体"/>
                <w:color w:val="auto"/>
                <w:szCs w:val="21"/>
                <w:highlight w:val="none"/>
                <w:lang w:val="en-US" w:eastAsia="zh-CN"/>
              </w:rPr>
            </w:pPr>
          </w:p>
          <w:p w14:paraId="7BBF20AD">
            <w:pPr>
              <w:spacing w:line="360" w:lineRule="auto"/>
              <w:ind w:firstLine="480" w:firstLineChars="200"/>
              <w:rPr>
                <w:rFonts w:hint="eastAsia" w:cs="宋体"/>
                <w:color w:val="auto"/>
                <w:sz w:val="24"/>
                <w:highlight w:val="none"/>
                <w:lang w:val="en-US" w:eastAsia="zh-CN"/>
              </w:rPr>
            </w:pPr>
          </w:p>
          <w:p w14:paraId="6096D887">
            <w:pPr>
              <w:spacing w:line="360" w:lineRule="auto"/>
              <w:ind w:firstLine="480" w:firstLineChars="200"/>
              <w:rPr>
                <w:rFonts w:hint="eastAsia" w:ascii="Times New Roman" w:hAnsi="Times New Roman" w:eastAsia="宋体" w:cs="宋体"/>
                <w:color w:val="auto"/>
                <w:sz w:val="24"/>
                <w:highlight w:val="none"/>
                <w:lang w:val="en-US" w:eastAsia="zh-CN"/>
              </w:rPr>
            </w:pPr>
          </w:p>
          <w:p w14:paraId="6CB0BDED">
            <w:pPr>
              <w:spacing w:line="360" w:lineRule="auto"/>
              <w:ind w:firstLine="480" w:firstLineChars="200"/>
              <w:rPr>
                <w:rFonts w:hint="eastAsia" w:cs="宋体"/>
                <w:color w:val="auto"/>
                <w:sz w:val="24"/>
                <w:highlight w:val="none"/>
                <w:lang w:val="en-US" w:eastAsia="zh-CN"/>
              </w:rPr>
            </w:pPr>
          </w:p>
          <w:p w14:paraId="3F188110">
            <w:pPr>
              <w:spacing w:line="360" w:lineRule="auto"/>
              <w:ind w:firstLine="480" w:firstLineChars="200"/>
              <w:rPr>
                <w:rFonts w:hint="eastAsia" w:ascii="Times New Roman" w:hAnsi="Times New Roman" w:eastAsia="宋体" w:cs="宋体"/>
                <w:color w:val="auto"/>
                <w:sz w:val="24"/>
                <w:highlight w:val="none"/>
                <w:lang w:val="en-US" w:eastAsia="zh-CN"/>
              </w:rPr>
            </w:pPr>
          </w:p>
          <w:p w14:paraId="4795EFB2">
            <w:pPr>
              <w:spacing w:line="360" w:lineRule="auto"/>
              <w:ind w:firstLine="480" w:firstLineChars="200"/>
              <w:rPr>
                <w:rFonts w:hint="eastAsia" w:ascii="Times New Roman" w:hAnsi="Times New Roman" w:eastAsia="宋体" w:cs="宋体"/>
                <w:color w:val="auto"/>
                <w:sz w:val="24"/>
                <w:highlight w:val="none"/>
              </w:rPr>
            </w:pPr>
          </w:p>
          <w:p w14:paraId="2E104265">
            <w:pPr>
              <w:spacing w:line="360" w:lineRule="auto"/>
              <w:ind w:firstLine="420" w:firstLineChars="200"/>
              <w:rPr>
                <w:rFonts w:hint="eastAsia" w:cs="宋体"/>
                <w:color w:val="auto"/>
                <w:szCs w:val="21"/>
                <w:highlight w:val="none"/>
                <w:lang w:val="en-US" w:eastAsia="zh-CN"/>
              </w:rPr>
            </w:pPr>
          </w:p>
          <w:p w14:paraId="39A9C29D">
            <w:pPr>
              <w:spacing w:line="360" w:lineRule="auto"/>
              <w:ind w:firstLine="420" w:firstLineChars="200"/>
              <w:rPr>
                <w:rFonts w:hint="eastAsia" w:cs="宋体"/>
                <w:color w:val="auto"/>
                <w:szCs w:val="21"/>
                <w:highlight w:val="none"/>
                <w:lang w:val="en-US" w:eastAsia="zh-CN"/>
              </w:rPr>
            </w:pPr>
          </w:p>
          <w:p w14:paraId="391D51CE">
            <w:pPr>
              <w:spacing w:line="360" w:lineRule="auto"/>
              <w:ind w:firstLine="420" w:firstLineChars="200"/>
              <w:rPr>
                <w:rFonts w:hint="eastAsia" w:cs="宋体"/>
                <w:color w:val="auto"/>
                <w:szCs w:val="21"/>
                <w:highlight w:val="none"/>
                <w:lang w:val="en-US" w:eastAsia="zh-CN"/>
              </w:rPr>
            </w:pPr>
          </w:p>
          <w:p w14:paraId="3F301328">
            <w:pPr>
              <w:spacing w:line="360" w:lineRule="auto"/>
              <w:ind w:firstLine="420" w:firstLineChars="200"/>
              <w:rPr>
                <w:rFonts w:hint="default" w:ascii="Times New Roman" w:hAnsi="Times New Roman" w:eastAsia="宋体" w:cs="宋体"/>
                <w:color w:val="auto"/>
                <w:szCs w:val="21"/>
                <w:highlight w:val="none"/>
                <w:lang w:val="en-US" w:eastAsia="zh-CN"/>
              </w:rPr>
            </w:pPr>
          </w:p>
        </w:tc>
      </w:tr>
      <w:tr w14:paraId="2B85D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8" w:hRule="atLeast"/>
          <w:jc w:val="center"/>
        </w:trPr>
        <w:tc>
          <w:tcPr>
            <w:tcW w:w="800" w:type="dxa"/>
            <w:vAlign w:val="center"/>
          </w:tcPr>
          <w:p w14:paraId="6FE47BF9">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总量</w:t>
            </w:r>
          </w:p>
          <w:p w14:paraId="69648F84">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控制</w:t>
            </w:r>
          </w:p>
          <w:p w14:paraId="6F258F6A">
            <w:pPr>
              <w:adjustRightInd w:val="0"/>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指标</w:t>
            </w:r>
          </w:p>
        </w:tc>
        <w:tc>
          <w:tcPr>
            <w:tcW w:w="8190" w:type="dxa"/>
            <w:vAlign w:val="top"/>
          </w:tcPr>
          <w:p w14:paraId="6ABF7F7F">
            <w:pPr>
              <w:spacing w:line="360" w:lineRule="auto"/>
              <w:ind w:firstLine="482" w:firstLineChars="200"/>
              <w:jc w:val="both"/>
              <w:rPr>
                <w:rFonts w:ascii="Times New Roman" w:hAnsi="Times New Roman" w:eastAsia="宋体" w:cs="宋体"/>
                <w:b/>
                <w:bCs/>
                <w:color w:val="auto"/>
                <w:sz w:val="24"/>
                <w:szCs w:val="32"/>
                <w:highlight w:val="none"/>
              </w:rPr>
            </w:pPr>
            <w:r>
              <w:rPr>
                <w:rFonts w:ascii="Times New Roman" w:hAnsi="Times New Roman" w:eastAsia="宋体" w:cs="宋体"/>
                <w:b/>
                <w:bCs/>
                <w:color w:val="auto"/>
                <w:sz w:val="24"/>
                <w:szCs w:val="32"/>
                <w:highlight w:val="none"/>
              </w:rPr>
              <w:t>1、总量控制因子</w:t>
            </w:r>
          </w:p>
          <w:p w14:paraId="16BB0D6F">
            <w:pPr>
              <w:autoSpaceDE w:val="0"/>
              <w:autoSpaceDN w:val="0"/>
              <w:spacing w:line="360" w:lineRule="auto"/>
              <w:ind w:firstLine="480" w:firstLineChars="200"/>
              <w:jc w:val="both"/>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根据《常州市建设项目主要污染物排放总量指标审核及管理实施细则》（常政办发</w:t>
            </w:r>
            <w:r>
              <w:rPr>
                <w:rFonts w:hint="eastAsia" w:ascii="Times New Roman" w:hAnsi="Times New Roman" w:eastAsia="宋体" w:cs="宋体"/>
                <w:color w:val="auto"/>
                <w:sz w:val="24"/>
                <w:highlight w:val="none"/>
              </w:rPr>
              <w:t>〔2015〕</w:t>
            </w:r>
            <w:r>
              <w:rPr>
                <w:rFonts w:hint="eastAsia" w:ascii="Times New Roman" w:hAnsi="Times New Roman" w:eastAsia="宋体" w:cs="宋体"/>
                <w:color w:val="auto"/>
                <w:sz w:val="24"/>
                <w:szCs w:val="32"/>
                <w:highlight w:val="none"/>
              </w:rPr>
              <w:t>104号），结合本项目排污特征</w:t>
            </w:r>
            <w:r>
              <w:rPr>
                <w:rFonts w:ascii="Times New Roman" w:hAnsi="Times New Roman" w:eastAsia="宋体" w:cs="宋体"/>
                <w:color w:val="auto"/>
                <w:sz w:val="24"/>
                <w:szCs w:val="32"/>
                <w:highlight w:val="none"/>
              </w:rPr>
              <w:t>，总量控制污染因子为：</w:t>
            </w:r>
          </w:p>
          <w:p w14:paraId="4E80CA52">
            <w:pPr>
              <w:autoSpaceDE w:val="0"/>
              <w:autoSpaceDN w:val="0"/>
              <w:spacing w:line="360" w:lineRule="auto"/>
              <w:ind w:firstLine="480" w:firstLineChars="200"/>
              <w:jc w:val="both"/>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大气污染物总量控制因子：颗粒物、非甲烷总烃</w:t>
            </w:r>
            <w:r>
              <w:rPr>
                <w:rFonts w:hint="eastAsia" w:ascii="Times New Roman" w:hAnsi="Times New Roman" w:eastAsia="宋体" w:cs="宋体"/>
                <w:color w:val="auto"/>
                <w:sz w:val="24"/>
                <w:szCs w:val="32"/>
                <w:highlight w:val="none"/>
                <w:lang w:eastAsia="zh-CN"/>
              </w:rPr>
              <w:t>、</w:t>
            </w:r>
            <w:r>
              <w:rPr>
                <w:rFonts w:hint="eastAsia" w:ascii="Times New Roman" w:hAnsi="Times New Roman" w:eastAsia="宋体" w:cs="宋体"/>
                <w:color w:val="auto"/>
                <w:sz w:val="24"/>
                <w:szCs w:val="32"/>
                <w:highlight w:val="none"/>
                <w:lang w:val="en-US" w:eastAsia="zh-CN"/>
              </w:rPr>
              <w:t>二氧化硫、氮氧化物</w:t>
            </w:r>
            <w:r>
              <w:rPr>
                <w:rFonts w:hint="eastAsia" w:ascii="Times New Roman" w:hAnsi="Times New Roman" w:eastAsia="宋体" w:cs="宋体"/>
                <w:color w:val="auto"/>
                <w:sz w:val="24"/>
                <w:szCs w:val="32"/>
                <w:highlight w:val="none"/>
              </w:rPr>
              <w:t>。</w:t>
            </w:r>
          </w:p>
          <w:p w14:paraId="5678FEEA">
            <w:pPr>
              <w:spacing w:line="360" w:lineRule="auto"/>
              <w:ind w:firstLine="482" w:firstLineChars="200"/>
              <w:jc w:val="both"/>
              <w:rPr>
                <w:rFonts w:ascii="Times New Roman" w:hAnsi="Times New Roman" w:eastAsia="宋体" w:cs="宋体"/>
                <w:b/>
                <w:bCs/>
                <w:color w:val="auto"/>
                <w:sz w:val="24"/>
                <w:szCs w:val="32"/>
                <w:highlight w:val="none"/>
              </w:rPr>
            </w:pPr>
            <w:r>
              <w:rPr>
                <w:rFonts w:hint="eastAsia" w:ascii="Times New Roman" w:hAnsi="Times New Roman" w:eastAsia="宋体" w:cs="宋体"/>
                <w:b/>
                <w:bCs/>
                <w:color w:val="auto"/>
                <w:sz w:val="24"/>
                <w:szCs w:val="32"/>
                <w:highlight w:val="none"/>
              </w:rPr>
              <w:t>2、</w:t>
            </w:r>
            <w:r>
              <w:rPr>
                <w:rFonts w:ascii="Times New Roman" w:hAnsi="Times New Roman" w:eastAsia="宋体" w:cs="宋体"/>
                <w:b/>
                <w:bCs/>
                <w:color w:val="auto"/>
                <w:sz w:val="24"/>
                <w:szCs w:val="32"/>
                <w:highlight w:val="none"/>
              </w:rPr>
              <w:t>总量平衡方案</w:t>
            </w:r>
          </w:p>
          <w:p w14:paraId="186B5C21">
            <w:pPr>
              <w:spacing w:line="360" w:lineRule="auto"/>
              <w:ind w:firstLine="480" w:firstLineChars="200"/>
              <w:jc w:val="both"/>
              <w:rPr>
                <w:rFonts w:ascii="Times New Roman" w:hAnsi="Times New Roman" w:eastAsia="宋体" w:cs="宋体"/>
                <w:color w:val="auto"/>
                <w:sz w:val="24"/>
                <w:szCs w:val="32"/>
                <w:highlight w:val="none"/>
              </w:rPr>
            </w:pPr>
            <w:r>
              <w:rPr>
                <w:rFonts w:ascii="Times New Roman" w:hAnsi="Times New Roman" w:eastAsia="宋体" w:cs="宋体"/>
                <w:color w:val="auto"/>
                <w:sz w:val="24"/>
                <w:szCs w:val="32"/>
                <w:highlight w:val="none"/>
              </w:rPr>
              <w:t>大气污染物：本项目</w:t>
            </w:r>
            <w:r>
              <w:rPr>
                <w:rFonts w:hint="eastAsia" w:ascii="Times New Roman" w:hAnsi="Times New Roman" w:eastAsia="宋体" w:cs="宋体"/>
                <w:color w:val="auto"/>
                <w:sz w:val="24"/>
                <w:szCs w:val="32"/>
                <w:highlight w:val="none"/>
              </w:rPr>
              <w:t>废气中各因子在</w:t>
            </w:r>
            <w:r>
              <w:rPr>
                <w:rFonts w:hint="eastAsia" w:cs="宋体"/>
                <w:color w:val="auto"/>
                <w:sz w:val="24"/>
                <w:szCs w:val="32"/>
                <w:highlight w:val="none"/>
                <w:lang w:val="en-US" w:eastAsia="zh-CN"/>
              </w:rPr>
              <w:t>金坛</w:t>
            </w:r>
            <w:r>
              <w:rPr>
                <w:rFonts w:hint="eastAsia" w:ascii="Times New Roman" w:hAnsi="Times New Roman" w:eastAsia="宋体" w:cs="宋体"/>
                <w:color w:val="auto"/>
                <w:sz w:val="24"/>
                <w:szCs w:val="32"/>
                <w:highlight w:val="none"/>
              </w:rPr>
              <w:t>区范围内平衡</w:t>
            </w:r>
            <w:r>
              <w:rPr>
                <w:rFonts w:ascii="Times New Roman" w:hAnsi="Times New Roman" w:eastAsia="宋体" w:cs="宋体"/>
                <w:color w:val="auto"/>
                <w:sz w:val="24"/>
                <w:szCs w:val="32"/>
                <w:highlight w:val="none"/>
              </w:rPr>
              <w:t>。</w:t>
            </w:r>
          </w:p>
          <w:p w14:paraId="67891F1B">
            <w:pPr>
              <w:spacing w:line="360" w:lineRule="auto"/>
              <w:ind w:firstLine="480" w:firstLineChars="200"/>
              <w:jc w:val="both"/>
              <w:rPr>
                <w:rFonts w:ascii="Times New Roman" w:hAnsi="Times New Roman" w:eastAsia="宋体" w:cs="宋体"/>
                <w:color w:val="auto"/>
                <w:sz w:val="24"/>
                <w:szCs w:val="32"/>
                <w:highlight w:val="none"/>
              </w:rPr>
            </w:pPr>
            <w:r>
              <w:rPr>
                <w:rFonts w:ascii="Times New Roman" w:hAnsi="Times New Roman" w:eastAsia="宋体" w:cs="宋体"/>
                <w:color w:val="auto"/>
                <w:sz w:val="24"/>
                <w:szCs w:val="32"/>
                <w:highlight w:val="none"/>
              </w:rPr>
              <w:t>水污染物：本项目</w:t>
            </w:r>
            <w:r>
              <w:rPr>
                <w:rFonts w:hint="eastAsia" w:cs="宋体"/>
                <w:color w:val="auto"/>
                <w:sz w:val="24"/>
                <w:szCs w:val="32"/>
                <w:highlight w:val="none"/>
                <w:lang w:val="en-US" w:eastAsia="zh-CN"/>
              </w:rPr>
              <w:t>不新增水污染物排放</w:t>
            </w:r>
            <w:r>
              <w:rPr>
                <w:rFonts w:ascii="Times New Roman" w:hAnsi="Times New Roman" w:eastAsia="宋体" w:cs="宋体"/>
                <w:color w:val="auto"/>
                <w:sz w:val="24"/>
                <w:szCs w:val="32"/>
                <w:highlight w:val="none"/>
              </w:rPr>
              <w:t>。</w:t>
            </w:r>
          </w:p>
          <w:p w14:paraId="1DA06576">
            <w:pPr>
              <w:spacing w:line="360" w:lineRule="auto"/>
              <w:ind w:firstLine="480" w:firstLineChars="200"/>
              <w:jc w:val="both"/>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固体废物：</w:t>
            </w:r>
            <w:r>
              <w:rPr>
                <w:rFonts w:ascii="Times New Roman" w:hAnsi="Times New Roman" w:eastAsia="宋体" w:cs="宋体"/>
                <w:color w:val="auto"/>
                <w:sz w:val="24"/>
                <w:szCs w:val="32"/>
                <w:highlight w:val="none"/>
              </w:rPr>
              <w:t>本项目固废均得到有效</w:t>
            </w:r>
            <w:r>
              <w:rPr>
                <w:rFonts w:hint="eastAsia" w:cs="宋体"/>
                <w:color w:val="auto"/>
                <w:sz w:val="24"/>
                <w:szCs w:val="32"/>
                <w:highlight w:val="none"/>
                <w:lang w:eastAsia="zh-CN"/>
              </w:rPr>
              <w:t>地</w:t>
            </w:r>
            <w:r>
              <w:rPr>
                <w:rFonts w:ascii="Times New Roman" w:hAnsi="Times New Roman" w:eastAsia="宋体" w:cs="宋体"/>
                <w:color w:val="auto"/>
                <w:sz w:val="24"/>
                <w:szCs w:val="32"/>
                <w:highlight w:val="none"/>
              </w:rPr>
              <w:t>处理处置，不外排，无需申请总量。</w:t>
            </w:r>
          </w:p>
          <w:p w14:paraId="65489EDE">
            <w:pPr>
              <w:pStyle w:val="28"/>
              <w:jc w:val="both"/>
              <w:rPr>
                <w:rFonts w:hint="eastAsia"/>
                <w:color w:val="auto"/>
                <w:lang w:val="en-US" w:eastAsia="zh-CN"/>
              </w:rPr>
            </w:pPr>
          </w:p>
          <w:p w14:paraId="07B7E7C8">
            <w:pPr>
              <w:pStyle w:val="28"/>
              <w:jc w:val="both"/>
              <w:rPr>
                <w:rFonts w:hint="eastAsia"/>
                <w:color w:val="auto"/>
                <w:lang w:val="en-US" w:eastAsia="zh-CN"/>
              </w:rPr>
            </w:pPr>
          </w:p>
          <w:p w14:paraId="7DD14775">
            <w:pPr>
              <w:pStyle w:val="28"/>
              <w:jc w:val="both"/>
              <w:rPr>
                <w:rFonts w:hint="eastAsia"/>
                <w:color w:val="auto"/>
                <w:lang w:val="en-US" w:eastAsia="zh-CN"/>
              </w:rPr>
            </w:pPr>
          </w:p>
          <w:p w14:paraId="4FA8DEC1">
            <w:pPr>
              <w:pStyle w:val="28"/>
              <w:jc w:val="both"/>
              <w:rPr>
                <w:rFonts w:hint="eastAsia"/>
                <w:color w:val="auto"/>
                <w:lang w:val="en-US" w:eastAsia="zh-CN"/>
              </w:rPr>
            </w:pPr>
          </w:p>
          <w:p w14:paraId="20DBAB8A">
            <w:pPr>
              <w:pStyle w:val="28"/>
              <w:jc w:val="both"/>
              <w:rPr>
                <w:rFonts w:hint="eastAsia" w:ascii="Times New Roman" w:hAnsi="Times New Roman" w:eastAsia="宋体"/>
                <w:color w:val="auto"/>
                <w:lang w:val="en-US" w:eastAsia="zh-CN"/>
              </w:rPr>
            </w:pPr>
          </w:p>
        </w:tc>
      </w:tr>
    </w:tbl>
    <w:p w14:paraId="0F53D072">
      <w:pPr>
        <w:pStyle w:val="19"/>
        <w:widowControl w:val="0"/>
        <w:jc w:val="center"/>
        <w:outlineLvl w:val="0"/>
        <w:rPr>
          <w:rFonts w:ascii="Times New Roman" w:hAnsi="Times New Roman" w:eastAsia="宋体" w:cs="宋体"/>
          <w:snapToGrid w:val="0"/>
          <w:color w:val="auto"/>
          <w:sz w:val="36"/>
          <w:szCs w:val="36"/>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14:paraId="2F79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5" w:hRule="atLeast"/>
        </w:trPr>
        <w:tc>
          <w:tcPr>
            <w:tcW w:w="13228" w:type="dxa"/>
          </w:tcPr>
          <w:p w14:paraId="212C2B9B">
            <w:pPr>
              <w:keepNext w:val="0"/>
              <w:keepLines w:val="0"/>
              <w:pageBreakBefore w:val="0"/>
              <w:widowControl w:val="0"/>
              <w:tabs>
                <w:tab w:val="left" w:pos="960"/>
              </w:tabs>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b/>
                <w:bCs/>
                <w:smallCaps w:val="0"/>
                <w:color w:val="auto"/>
                <w:spacing w:val="-4"/>
                <w:szCs w:val="21"/>
                <w:highlight w:val="none"/>
                <w:lang w:val="en-US" w:eastAsia="zh-CN"/>
              </w:rPr>
            </w:pPr>
            <w:r>
              <w:rPr>
                <w:rFonts w:hint="default" w:ascii="Times New Roman" w:hAnsi="Times New Roman" w:eastAsia="宋体"/>
                <w:b/>
                <w:bCs/>
                <w:smallCaps w:val="0"/>
                <w:color w:val="auto"/>
                <w:spacing w:val="-4"/>
                <w:szCs w:val="21"/>
                <w:highlight w:val="none"/>
                <w:lang w:val="en-US" w:eastAsia="zh-CN"/>
              </w:rPr>
              <w:t>表</w:t>
            </w:r>
            <w:r>
              <w:rPr>
                <w:rFonts w:hint="eastAsia" w:ascii="Times New Roman" w:hAnsi="Times New Roman" w:eastAsia="宋体"/>
                <w:b/>
                <w:bCs/>
                <w:smallCaps w:val="0"/>
                <w:color w:val="auto"/>
                <w:spacing w:val="-4"/>
                <w:szCs w:val="21"/>
                <w:highlight w:val="none"/>
                <w:lang w:val="en-US" w:eastAsia="zh-CN"/>
              </w:rPr>
              <w:t xml:space="preserve">3.4-1  </w:t>
            </w:r>
            <w:r>
              <w:rPr>
                <w:rFonts w:hint="default" w:ascii="Times New Roman" w:hAnsi="Times New Roman" w:eastAsia="宋体"/>
                <w:b/>
                <w:bCs/>
                <w:smallCaps w:val="0"/>
                <w:color w:val="auto"/>
                <w:spacing w:val="-4"/>
                <w:szCs w:val="21"/>
                <w:highlight w:val="none"/>
                <w:lang w:val="en-US" w:eastAsia="zh-CN"/>
              </w:rPr>
              <w:t>本项目实施后污染物“三本账”  单位：t/a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8"/>
              <w:gridCol w:w="1021"/>
              <w:gridCol w:w="1281"/>
              <w:gridCol w:w="768"/>
              <w:gridCol w:w="768"/>
              <w:gridCol w:w="784"/>
              <w:gridCol w:w="833"/>
              <w:gridCol w:w="833"/>
              <w:gridCol w:w="773"/>
              <w:gridCol w:w="2038"/>
              <w:gridCol w:w="1281"/>
              <w:gridCol w:w="846"/>
              <w:gridCol w:w="1273"/>
            </w:tblGrid>
            <w:tr w14:paraId="52B50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gridSpan w:val="2"/>
                  <w:vMerge w:val="restart"/>
                  <w:noWrap w:val="0"/>
                  <w:vAlign w:val="center"/>
                </w:tcPr>
                <w:p w14:paraId="1E697D07">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污染物种类</w:t>
                  </w:r>
                </w:p>
              </w:tc>
              <w:tc>
                <w:tcPr>
                  <w:tcW w:w="492" w:type="pct"/>
                  <w:vMerge w:val="restart"/>
                  <w:noWrap w:val="0"/>
                  <w:vAlign w:val="center"/>
                </w:tcPr>
                <w:p w14:paraId="215C4180">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污染物名称</w:t>
                  </w:r>
                </w:p>
              </w:tc>
              <w:tc>
                <w:tcPr>
                  <w:tcW w:w="891" w:type="pct"/>
                  <w:gridSpan w:val="3"/>
                  <w:noWrap w:val="0"/>
                  <w:vAlign w:val="center"/>
                </w:tcPr>
                <w:p w14:paraId="46672DB2">
                  <w:pPr>
                    <w:keepNext w:val="0"/>
                    <w:keepLines w:val="0"/>
                    <w:pageBreakBefore w:val="0"/>
                    <w:widowControl/>
                    <w:kinsoku/>
                    <w:wordWrap/>
                    <w:overflowPunct/>
                    <w:topLinePunct w:val="0"/>
                    <w:autoSpaceDE/>
                    <w:autoSpaceDN/>
                    <w:bidi w:val="0"/>
                    <w:adjustRightInd/>
                    <w:snapToGrid/>
                    <w:jc w:val="center"/>
                    <w:rPr>
                      <w:rFonts w:hint="eastAsia"/>
                      <w:b/>
                      <w:bCs/>
                      <w:color w:val="auto"/>
                      <w:kern w:val="0"/>
                      <w:szCs w:val="21"/>
                      <w:lang w:val="en-US" w:eastAsia="zh-CN"/>
                    </w:rPr>
                  </w:pPr>
                  <w:r>
                    <w:rPr>
                      <w:rFonts w:hint="eastAsia"/>
                      <w:b/>
                      <w:bCs/>
                      <w:color w:val="auto"/>
                      <w:kern w:val="0"/>
                      <w:szCs w:val="21"/>
                      <w:lang w:val="en-US" w:eastAsia="zh-CN"/>
                    </w:rPr>
                    <w:t>原有项目</w:t>
                  </w:r>
                </w:p>
              </w:tc>
              <w:tc>
                <w:tcPr>
                  <w:tcW w:w="937" w:type="pct"/>
                  <w:gridSpan w:val="3"/>
                  <w:noWrap w:val="0"/>
                  <w:vAlign w:val="center"/>
                </w:tcPr>
                <w:p w14:paraId="7FD42B06">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本项目</w:t>
                  </w:r>
                </w:p>
              </w:tc>
              <w:tc>
                <w:tcPr>
                  <w:tcW w:w="783" w:type="pct"/>
                  <w:vMerge w:val="restart"/>
                  <w:noWrap w:val="0"/>
                  <w:vAlign w:val="center"/>
                </w:tcPr>
                <w:p w14:paraId="20EF36C0">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rFonts w:hint="default" w:ascii="Times New Roman" w:hAnsi="Times New Roman" w:cs="Times New Roman"/>
                      <w:b/>
                      <w:color w:val="auto"/>
                      <w:kern w:val="0"/>
                      <w:szCs w:val="21"/>
                    </w:rPr>
                    <w:t>“以新带老”削减量</w:t>
                  </w:r>
                </w:p>
              </w:tc>
              <w:tc>
                <w:tcPr>
                  <w:tcW w:w="492" w:type="pct"/>
                  <w:vMerge w:val="restart"/>
                  <w:noWrap w:val="0"/>
                  <w:vAlign w:val="center"/>
                </w:tcPr>
                <w:p w14:paraId="5BF79C71">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rFonts w:hint="default" w:ascii="Times New Roman" w:hAnsi="Times New Roman" w:cs="Times New Roman"/>
                      <w:b/>
                      <w:color w:val="auto"/>
                      <w:kern w:val="0"/>
                      <w:szCs w:val="21"/>
                    </w:rPr>
                    <w:t>全厂排放量</w:t>
                  </w:r>
                </w:p>
              </w:tc>
              <w:tc>
                <w:tcPr>
                  <w:tcW w:w="325" w:type="pct"/>
                  <w:vMerge w:val="restart"/>
                  <w:noWrap w:val="0"/>
                  <w:vAlign w:val="center"/>
                </w:tcPr>
                <w:p w14:paraId="7DC8E640">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rFonts w:hint="default" w:ascii="Times New Roman" w:hAnsi="Times New Roman" w:cs="Times New Roman"/>
                      <w:b/>
                      <w:color w:val="auto"/>
                      <w:kern w:val="0"/>
                      <w:szCs w:val="21"/>
                    </w:rPr>
                    <w:t>变化量</w:t>
                  </w:r>
                </w:p>
              </w:tc>
              <w:tc>
                <w:tcPr>
                  <w:tcW w:w="489" w:type="pct"/>
                  <w:vMerge w:val="restart"/>
                  <w:noWrap w:val="0"/>
                  <w:vAlign w:val="center"/>
                </w:tcPr>
                <w:p w14:paraId="7C3CD118">
                  <w:pPr>
                    <w:keepNext w:val="0"/>
                    <w:keepLines w:val="0"/>
                    <w:pageBreakBefore w:val="0"/>
                    <w:widowControl/>
                    <w:kinsoku/>
                    <w:wordWrap/>
                    <w:overflowPunct/>
                    <w:topLinePunct w:val="0"/>
                    <w:autoSpaceDE/>
                    <w:autoSpaceDN/>
                    <w:bidi w:val="0"/>
                    <w:adjustRightInd/>
                    <w:snapToGrid/>
                    <w:jc w:val="center"/>
                    <w:rPr>
                      <w:color w:val="auto"/>
                      <w:kern w:val="0"/>
                      <w:szCs w:val="21"/>
                    </w:rPr>
                  </w:pPr>
                  <w:r>
                    <w:rPr>
                      <w:b/>
                      <w:bCs/>
                      <w:color w:val="auto"/>
                      <w:kern w:val="0"/>
                      <w:szCs w:val="21"/>
                    </w:rPr>
                    <w:t>申请排放量</w:t>
                  </w:r>
                </w:p>
              </w:tc>
            </w:tr>
            <w:tr w14:paraId="558B6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gridSpan w:val="2"/>
                  <w:vMerge w:val="continue"/>
                  <w:noWrap w:val="0"/>
                  <w:vAlign w:val="center"/>
                </w:tcPr>
                <w:p w14:paraId="09BFED84">
                  <w:pPr>
                    <w:keepNext w:val="0"/>
                    <w:keepLines w:val="0"/>
                    <w:pageBreakBefore w:val="0"/>
                    <w:widowControl/>
                    <w:kinsoku/>
                    <w:wordWrap/>
                    <w:overflowPunct/>
                    <w:topLinePunct w:val="0"/>
                    <w:autoSpaceDE/>
                    <w:autoSpaceDN/>
                    <w:bidi w:val="0"/>
                    <w:adjustRightInd/>
                    <w:snapToGrid/>
                    <w:jc w:val="center"/>
                    <w:rPr>
                      <w:b/>
                      <w:bCs/>
                      <w:color w:val="auto"/>
                      <w:kern w:val="0"/>
                      <w:szCs w:val="21"/>
                    </w:rPr>
                  </w:pPr>
                </w:p>
              </w:tc>
              <w:tc>
                <w:tcPr>
                  <w:tcW w:w="492" w:type="pct"/>
                  <w:vMerge w:val="continue"/>
                  <w:noWrap w:val="0"/>
                  <w:vAlign w:val="center"/>
                </w:tcPr>
                <w:p w14:paraId="707BAF9E">
                  <w:pPr>
                    <w:keepNext w:val="0"/>
                    <w:keepLines w:val="0"/>
                    <w:pageBreakBefore w:val="0"/>
                    <w:widowControl/>
                    <w:kinsoku/>
                    <w:wordWrap/>
                    <w:overflowPunct/>
                    <w:topLinePunct w:val="0"/>
                    <w:autoSpaceDE/>
                    <w:autoSpaceDN/>
                    <w:bidi w:val="0"/>
                    <w:adjustRightInd/>
                    <w:snapToGrid/>
                    <w:jc w:val="center"/>
                    <w:rPr>
                      <w:b/>
                      <w:bCs/>
                      <w:color w:val="auto"/>
                      <w:kern w:val="0"/>
                      <w:szCs w:val="21"/>
                    </w:rPr>
                  </w:pPr>
                </w:p>
              </w:tc>
              <w:tc>
                <w:tcPr>
                  <w:tcW w:w="295" w:type="pct"/>
                  <w:noWrap w:val="0"/>
                  <w:vAlign w:val="center"/>
                </w:tcPr>
                <w:p w14:paraId="6EEA286F">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产生量</w:t>
                  </w:r>
                </w:p>
              </w:tc>
              <w:tc>
                <w:tcPr>
                  <w:tcW w:w="295" w:type="pct"/>
                  <w:noWrap w:val="0"/>
                  <w:vAlign w:val="center"/>
                </w:tcPr>
                <w:p w14:paraId="24D5419E">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削减量</w:t>
                  </w:r>
                </w:p>
              </w:tc>
              <w:tc>
                <w:tcPr>
                  <w:tcW w:w="301" w:type="pct"/>
                  <w:noWrap w:val="0"/>
                  <w:vAlign w:val="center"/>
                </w:tcPr>
                <w:p w14:paraId="267B435B">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排放量</w:t>
                  </w:r>
                </w:p>
              </w:tc>
              <w:tc>
                <w:tcPr>
                  <w:tcW w:w="320" w:type="pct"/>
                  <w:noWrap w:val="0"/>
                  <w:vAlign w:val="center"/>
                </w:tcPr>
                <w:p w14:paraId="7186AFC8">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产生量</w:t>
                  </w:r>
                </w:p>
              </w:tc>
              <w:tc>
                <w:tcPr>
                  <w:tcW w:w="320" w:type="pct"/>
                  <w:noWrap w:val="0"/>
                  <w:vAlign w:val="center"/>
                </w:tcPr>
                <w:p w14:paraId="6407AA8A">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削减量</w:t>
                  </w:r>
                </w:p>
              </w:tc>
              <w:tc>
                <w:tcPr>
                  <w:tcW w:w="297" w:type="pct"/>
                  <w:noWrap w:val="0"/>
                  <w:vAlign w:val="center"/>
                </w:tcPr>
                <w:p w14:paraId="63373D17">
                  <w:pPr>
                    <w:keepNext w:val="0"/>
                    <w:keepLines w:val="0"/>
                    <w:pageBreakBefore w:val="0"/>
                    <w:widowControl/>
                    <w:kinsoku/>
                    <w:wordWrap/>
                    <w:overflowPunct/>
                    <w:topLinePunct w:val="0"/>
                    <w:autoSpaceDE/>
                    <w:autoSpaceDN/>
                    <w:bidi w:val="0"/>
                    <w:adjustRightInd/>
                    <w:snapToGrid/>
                    <w:jc w:val="center"/>
                    <w:rPr>
                      <w:b/>
                      <w:bCs/>
                      <w:color w:val="auto"/>
                      <w:kern w:val="0"/>
                      <w:szCs w:val="21"/>
                    </w:rPr>
                  </w:pPr>
                  <w:r>
                    <w:rPr>
                      <w:b/>
                      <w:bCs/>
                      <w:color w:val="auto"/>
                      <w:kern w:val="0"/>
                      <w:szCs w:val="21"/>
                    </w:rPr>
                    <w:t>排放量</w:t>
                  </w:r>
                </w:p>
              </w:tc>
              <w:tc>
                <w:tcPr>
                  <w:tcW w:w="783" w:type="pct"/>
                  <w:vMerge w:val="continue"/>
                  <w:noWrap w:val="0"/>
                  <w:vAlign w:val="center"/>
                </w:tcPr>
                <w:p w14:paraId="42F22BBB">
                  <w:pPr>
                    <w:keepNext w:val="0"/>
                    <w:keepLines w:val="0"/>
                    <w:pageBreakBefore w:val="0"/>
                    <w:widowControl/>
                    <w:kinsoku/>
                    <w:wordWrap/>
                    <w:overflowPunct/>
                    <w:topLinePunct w:val="0"/>
                    <w:autoSpaceDE/>
                    <w:autoSpaceDN/>
                    <w:bidi w:val="0"/>
                    <w:adjustRightInd/>
                    <w:snapToGrid/>
                    <w:jc w:val="center"/>
                    <w:rPr>
                      <w:b/>
                      <w:bCs/>
                      <w:color w:val="auto"/>
                      <w:kern w:val="0"/>
                      <w:szCs w:val="21"/>
                    </w:rPr>
                  </w:pPr>
                </w:p>
              </w:tc>
              <w:tc>
                <w:tcPr>
                  <w:tcW w:w="492" w:type="pct"/>
                  <w:vMerge w:val="continue"/>
                  <w:noWrap w:val="0"/>
                  <w:vAlign w:val="center"/>
                </w:tcPr>
                <w:p w14:paraId="0B7A2560">
                  <w:pPr>
                    <w:keepNext w:val="0"/>
                    <w:keepLines w:val="0"/>
                    <w:pageBreakBefore w:val="0"/>
                    <w:widowControl/>
                    <w:kinsoku/>
                    <w:wordWrap/>
                    <w:overflowPunct/>
                    <w:topLinePunct w:val="0"/>
                    <w:autoSpaceDE/>
                    <w:autoSpaceDN/>
                    <w:bidi w:val="0"/>
                    <w:adjustRightInd/>
                    <w:snapToGrid/>
                    <w:jc w:val="center"/>
                    <w:rPr>
                      <w:b/>
                      <w:bCs/>
                      <w:color w:val="auto"/>
                      <w:kern w:val="0"/>
                      <w:szCs w:val="21"/>
                    </w:rPr>
                  </w:pPr>
                </w:p>
              </w:tc>
              <w:tc>
                <w:tcPr>
                  <w:tcW w:w="325" w:type="pct"/>
                  <w:vMerge w:val="continue"/>
                  <w:noWrap w:val="0"/>
                  <w:vAlign w:val="center"/>
                </w:tcPr>
                <w:p w14:paraId="07ADD235">
                  <w:pPr>
                    <w:keepNext w:val="0"/>
                    <w:keepLines w:val="0"/>
                    <w:pageBreakBefore w:val="0"/>
                    <w:widowControl/>
                    <w:kinsoku/>
                    <w:wordWrap/>
                    <w:overflowPunct/>
                    <w:topLinePunct w:val="0"/>
                    <w:autoSpaceDE/>
                    <w:autoSpaceDN/>
                    <w:bidi w:val="0"/>
                    <w:adjustRightInd/>
                    <w:snapToGrid/>
                    <w:jc w:val="center"/>
                    <w:rPr>
                      <w:b/>
                      <w:bCs/>
                      <w:color w:val="auto"/>
                      <w:kern w:val="0"/>
                      <w:szCs w:val="21"/>
                    </w:rPr>
                  </w:pPr>
                </w:p>
              </w:tc>
              <w:tc>
                <w:tcPr>
                  <w:tcW w:w="489" w:type="pct"/>
                  <w:vMerge w:val="continue"/>
                  <w:noWrap w:val="0"/>
                  <w:vAlign w:val="center"/>
                </w:tcPr>
                <w:p w14:paraId="1435A425">
                  <w:pPr>
                    <w:keepNext w:val="0"/>
                    <w:keepLines w:val="0"/>
                    <w:pageBreakBefore w:val="0"/>
                    <w:widowControl/>
                    <w:kinsoku/>
                    <w:wordWrap/>
                    <w:overflowPunct/>
                    <w:topLinePunct w:val="0"/>
                    <w:autoSpaceDE/>
                    <w:autoSpaceDN/>
                    <w:bidi w:val="0"/>
                    <w:adjustRightInd/>
                    <w:snapToGrid/>
                    <w:jc w:val="center"/>
                    <w:rPr>
                      <w:color w:val="auto"/>
                      <w:kern w:val="0"/>
                      <w:szCs w:val="21"/>
                    </w:rPr>
                  </w:pPr>
                </w:p>
              </w:tc>
            </w:tr>
            <w:tr w14:paraId="1E5F2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restart"/>
                  <w:noWrap w:val="0"/>
                  <w:vAlign w:val="center"/>
                </w:tcPr>
                <w:p w14:paraId="7082E36A">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废气</w:t>
                  </w:r>
                </w:p>
              </w:tc>
              <w:tc>
                <w:tcPr>
                  <w:tcW w:w="392" w:type="pct"/>
                  <w:vMerge w:val="restart"/>
                  <w:noWrap w:val="0"/>
                  <w:vAlign w:val="center"/>
                </w:tcPr>
                <w:p w14:paraId="0667BCE4">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有组织</w:t>
                  </w:r>
                </w:p>
              </w:tc>
              <w:tc>
                <w:tcPr>
                  <w:tcW w:w="492" w:type="pct"/>
                  <w:noWrap w:val="0"/>
                  <w:vAlign w:val="center"/>
                </w:tcPr>
                <w:p w14:paraId="50CCE434">
                  <w:pPr>
                    <w:tabs>
                      <w:tab w:val="left" w:pos="960"/>
                    </w:tabs>
                    <w:snapToGrid w:val="0"/>
                    <w:jc w:val="center"/>
                    <w:rPr>
                      <w:color w:val="auto"/>
                      <w:kern w:val="0"/>
                      <w:szCs w:val="21"/>
                    </w:rPr>
                  </w:pPr>
                  <w:r>
                    <w:rPr>
                      <w:rFonts w:hint="eastAsia" w:ascii="Times New Roman" w:hAnsi="Times New Roman" w:cs="Times New Roman"/>
                      <w:color w:val="auto"/>
                      <w:lang w:val="en-US" w:eastAsia="zh-CN"/>
                    </w:rPr>
                    <w:t>颗粒物</w:t>
                  </w:r>
                </w:p>
              </w:tc>
              <w:tc>
                <w:tcPr>
                  <w:tcW w:w="295" w:type="pct"/>
                  <w:noWrap w:val="0"/>
                  <w:vAlign w:val="center"/>
                </w:tcPr>
                <w:p w14:paraId="7152E2FB">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1.295</w:t>
                  </w:r>
                </w:p>
              </w:tc>
              <w:tc>
                <w:tcPr>
                  <w:tcW w:w="295" w:type="pct"/>
                  <w:noWrap w:val="0"/>
                  <w:vAlign w:val="center"/>
                </w:tcPr>
                <w:p w14:paraId="6824B323">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1.165</w:t>
                  </w:r>
                </w:p>
              </w:tc>
              <w:tc>
                <w:tcPr>
                  <w:tcW w:w="301" w:type="pct"/>
                  <w:noWrap w:val="0"/>
                  <w:vAlign w:val="center"/>
                </w:tcPr>
                <w:p w14:paraId="136E5C91">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0.13</w:t>
                  </w:r>
                </w:p>
              </w:tc>
              <w:tc>
                <w:tcPr>
                  <w:tcW w:w="320" w:type="pct"/>
                  <w:noWrap w:val="0"/>
                  <w:vAlign w:val="center"/>
                </w:tcPr>
                <w:p w14:paraId="3662F4D9">
                  <w:pPr>
                    <w:snapToGrid w:val="0"/>
                    <w:jc w:val="center"/>
                    <w:rPr>
                      <w:rFonts w:hint="default"/>
                      <w:color w:val="auto"/>
                      <w:kern w:val="0"/>
                      <w:szCs w:val="21"/>
                      <w:lang w:val="en-US"/>
                    </w:rPr>
                  </w:pPr>
                  <w:r>
                    <w:rPr>
                      <w:rFonts w:hint="eastAsia" w:cs="宋体"/>
                      <w:color w:val="auto"/>
                      <w:kern w:val="0"/>
                      <w:szCs w:val="21"/>
                      <w:highlight w:val="none"/>
                      <w:lang w:val="en-US" w:eastAsia="zh-CN"/>
                    </w:rPr>
                    <w:t>1.921</w:t>
                  </w:r>
                </w:p>
              </w:tc>
              <w:tc>
                <w:tcPr>
                  <w:tcW w:w="320" w:type="pct"/>
                  <w:noWrap w:val="0"/>
                  <w:vAlign w:val="center"/>
                </w:tcPr>
                <w:p w14:paraId="7C575C65">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color w:val="auto"/>
                      <w:kern w:val="0"/>
                      <w:szCs w:val="21"/>
                      <w:lang w:val="en-US" w:eastAsia="zh-CN"/>
                    </w:rPr>
                    <w:t>1.729</w:t>
                  </w:r>
                </w:p>
              </w:tc>
              <w:tc>
                <w:tcPr>
                  <w:tcW w:w="297" w:type="pct"/>
                  <w:noWrap w:val="0"/>
                  <w:vAlign w:val="center"/>
                </w:tcPr>
                <w:p w14:paraId="2B2260F2">
                  <w:pPr>
                    <w:pStyle w:val="37"/>
                    <w:adjustRightInd/>
                    <w:spacing w:beforeLines="0" w:afterLines="0" w:line="240" w:lineRule="auto"/>
                    <w:rPr>
                      <w:rFonts w:hint="default"/>
                      <w:color w:val="auto"/>
                      <w:kern w:val="0"/>
                      <w:szCs w:val="21"/>
                      <w:lang w:val="en-US"/>
                    </w:rPr>
                  </w:pPr>
                  <w:r>
                    <w:rPr>
                      <w:rFonts w:hint="eastAsia" w:ascii="Times New Roman" w:cs="Times New Roman"/>
                      <w:bCs/>
                      <w:smallCaps w:val="0"/>
                      <w:color w:val="auto"/>
                      <w:kern w:val="0"/>
                      <w:sz w:val="21"/>
                      <w:szCs w:val="21"/>
                      <w:highlight w:val="none"/>
                      <w:lang w:val="en-US" w:eastAsia="zh-CN" w:bidi="ar-SA"/>
                    </w:rPr>
                    <w:t>0.192</w:t>
                  </w:r>
                </w:p>
              </w:tc>
              <w:tc>
                <w:tcPr>
                  <w:tcW w:w="783" w:type="pct"/>
                  <w:noWrap w:val="0"/>
                  <w:vAlign w:val="center"/>
                </w:tcPr>
                <w:p w14:paraId="5FE19960">
                  <w:pPr>
                    <w:pStyle w:val="37"/>
                    <w:adjustRightInd/>
                    <w:spacing w:beforeLines="0" w:afterLines="0" w:line="240" w:lineRule="auto"/>
                    <w:rPr>
                      <w:rFonts w:hint="default"/>
                      <w:color w:val="auto"/>
                      <w:kern w:val="0"/>
                      <w:szCs w:val="21"/>
                      <w:lang w:val="en-US" w:eastAsia="zh-CN"/>
                    </w:rPr>
                  </w:pPr>
                  <w:r>
                    <w:rPr>
                      <w:rFonts w:hint="eastAsia" w:ascii="Times New Roman" w:cs="宋体"/>
                      <w:snapToGrid w:val="0"/>
                      <w:color w:val="auto"/>
                      <w:kern w:val="21"/>
                      <w:szCs w:val="21"/>
                      <w:highlight w:val="none"/>
                      <w:lang w:val="en-US" w:eastAsia="zh-CN"/>
                    </w:rPr>
                    <w:t>0.13</w:t>
                  </w:r>
                </w:p>
              </w:tc>
              <w:tc>
                <w:tcPr>
                  <w:tcW w:w="492" w:type="pct"/>
                  <w:noWrap w:val="0"/>
                  <w:vAlign w:val="center"/>
                </w:tcPr>
                <w:p w14:paraId="18789038">
                  <w:pPr>
                    <w:pStyle w:val="37"/>
                    <w:adjustRightInd/>
                    <w:spacing w:beforeLines="0" w:afterLines="0" w:line="240" w:lineRule="auto"/>
                    <w:rPr>
                      <w:rFonts w:hint="default"/>
                      <w:color w:val="auto"/>
                      <w:kern w:val="0"/>
                      <w:szCs w:val="21"/>
                      <w:lang w:val="en-US" w:eastAsia="zh-CN"/>
                    </w:rPr>
                  </w:pPr>
                  <w:r>
                    <w:rPr>
                      <w:rFonts w:hint="eastAsia" w:ascii="Times New Roman" w:cs="Times New Roman"/>
                      <w:bCs/>
                      <w:smallCaps w:val="0"/>
                      <w:color w:val="auto"/>
                      <w:kern w:val="0"/>
                      <w:sz w:val="21"/>
                      <w:szCs w:val="21"/>
                      <w:highlight w:val="none"/>
                      <w:lang w:val="en-US" w:eastAsia="zh-CN" w:bidi="ar-SA"/>
                    </w:rPr>
                    <w:t>0.192</w:t>
                  </w:r>
                </w:p>
              </w:tc>
              <w:tc>
                <w:tcPr>
                  <w:tcW w:w="325" w:type="pct"/>
                  <w:noWrap w:val="0"/>
                  <w:vAlign w:val="center"/>
                </w:tcPr>
                <w:p w14:paraId="6CCDB0AA">
                  <w:pPr>
                    <w:pStyle w:val="37"/>
                    <w:adjustRightInd/>
                    <w:spacing w:beforeLines="0" w:afterLines="0" w:line="240" w:lineRule="auto"/>
                    <w:rPr>
                      <w:rFonts w:hint="default"/>
                      <w:color w:val="auto"/>
                      <w:kern w:val="0"/>
                      <w:sz w:val="21"/>
                      <w:szCs w:val="21"/>
                      <w:lang w:val="en-US" w:eastAsia="zh-CN" w:bidi="ar-SA"/>
                    </w:rPr>
                  </w:pPr>
                  <w:r>
                    <w:rPr>
                      <w:rFonts w:hint="eastAsia" w:ascii="Times New Roman" w:cs="Times New Roman"/>
                      <w:bCs/>
                      <w:smallCaps w:val="0"/>
                      <w:color w:val="auto"/>
                      <w:kern w:val="0"/>
                      <w:sz w:val="21"/>
                      <w:szCs w:val="21"/>
                      <w:highlight w:val="none"/>
                      <w:lang w:val="en-US" w:eastAsia="zh-CN" w:bidi="ar-SA"/>
                    </w:rPr>
                    <w:t>+0.062</w:t>
                  </w:r>
                </w:p>
              </w:tc>
              <w:tc>
                <w:tcPr>
                  <w:tcW w:w="489" w:type="pct"/>
                  <w:noWrap w:val="0"/>
                  <w:vAlign w:val="center"/>
                </w:tcPr>
                <w:p w14:paraId="19FC4C6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color w:val="auto"/>
                      <w:kern w:val="0"/>
                      <w:szCs w:val="21"/>
                      <w:lang w:val="en-US"/>
                    </w:rPr>
                  </w:pPr>
                  <w:r>
                    <w:rPr>
                      <w:rFonts w:hint="eastAsia" w:cs="Times New Roman"/>
                      <w:bCs/>
                      <w:smallCaps w:val="0"/>
                      <w:color w:val="auto"/>
                      <w:kern w:val="0"/>
                      <w:sz w:val="21"/>
                      <w:szCs w:val="21"/>
                      <w:highlight w:val="none"/>
                      <w:lang w:val="en-US" w:eastAsia="zh-CN" w:bidi="ar-SA"/>
                    </w:rPr>
                    <w:t>+0.062</w:t>
                  </w:r>
                </w:p>
              </w:tc>
            </w:tr>
            <w:tr w14:paraId="363B3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30CB38CC">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0355B2E6">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3F02CB8E">
                  <w:pPr>
                    <w:tabs>
                      <w:tab w:val="left" w:pos="960"/>
                    </w:tabs>
                    <w:snapToGrid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二氧化硫</w:t>
                  </w:r>
                </w:p>
              </w:tc>
              <w:tc>
                <w:tcPr>
                  <w:tcW w:w="295" w:type="pct"/>
                  <w:noWrap w:val="0"/>
                  <w:vAlign w:val="center"/>
                </w:tcPr>
                <w:p w14:paraId="36068C20">
                  <w:pPr>
                    <w:pStyle w:val="37"/>
                    <w:adjustRightInd/>
                    <w:spacing w:beforeLines="0" w:afterLines="0" w:line="240" w:lineRule="auto"/>
                    <w:rPr>
                      <w:rFonts w:hint="default" w:ascii="Times New Roman" w:hAnsi="Times New Roman" w:cs="Times New Roman"/>
                      <w:color w:val="auto"/>
                      <w:lang w:val="en-US" w:eastAsia="zh-CN"/>
                    </w:rPr>
                  </w:pPr>
                  <w:r>
                    <w:rPr>
                      <w:rFonts w:hint="eastAsia" w:ascii="Times New Roman" w:cs="宋体"/>
                      <w:snapToGrid w:val="0"/>
                      <w:color w:val="auto"/>
                      <w:kern w:val="21"/>
                      <w:sz w:val="21"/>
                      <w:szCs w:val="21"/>
                      <w:highlight w:val="none"/>
                      <w:lang w:val="en-US" w:eastAsia="zh-CN" w:bidi="ar-SA"/>
                    </w:rPr>
                    <w:t>0.027</w:t>
                  </w:r>
                </w:p>
              </w:tc>
              <w:tc>
                <w:tcPr>
                  <w:tcW w:w="295" w:type="pct"/>
                  <w:noWrap w:val="0"/>
                  <w:vAlign w:val="center"/>
                </w:tcPr>
                <w:p w14:paraId="6B4563A3">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w:t>
                  </w:r>
                </w:p>
              </w:tc>
              <w:tc>
                <w:tcPr>
                  <w:tcW w:w="301" w:type="pct"/>
                  <w:noWrap w:val="0"/>
                  <w:vAlign w:val="center"/>
                </w:tcPr>
                <w:p w14:paraId="54BD059D">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cs="宋体"/>
                      <w:snapToGrid w:val="0"/>
                      <w:color w:val="auto"/>
                      <w:kern w:val="21"/>
                      <w:sz w:val="21"/>
                      <w:szCs w:val="21"/>
                      <w:highlight w:val="none"/>
                      <w:lang w:val="en-US" w:eastAsia="zh-CN" w:bidi="ar-SA"/>
                    </w:rPr>
                    <w:t>0.027</w:t>
                  </w:r>
                </w:p>
              </w:tc>
              <w:tc>
                <w:tcPr>
                  <w:tcW w:w="320" w:type="pct"/>
                  <w:noWrap w:val="0"/>
                  <w:vAlign w:val="center"/>
                </w:tcPr>
                <w:p w14:paraId="09457185">
                  <w:pPr>
                    <w:snapToGrid w:val="0"/>
                    <w:jc w:val="center"/>
                    <w:rPr>
                      <w:rFonts w:hint="eastAsia" w:cs="Times New Roman"/>
                      <w:color w:val="auto"/>
                      <w:lang w:val="en-US" w:eastAsia="zh-CN"/>
                    </w:rPr>
                  </w:pPr>
                  <w:r>
                    <w:rPr>
                      <w:rFonts w:hint="eastAsia" w:cs="宋体"/>
                      <w:color w:val="auto"/>
                      <w:kern w:val="0"/>
                      <w:szCs w:val="21"/>
                      <w:highlight w:val="none"/>
                      <w:lang w:val="en-US" w:eastAsia="zh-CN"/>
                    </w:rPr>
                    <w:t>0.022</w:t>
                  </w:r>
                </w:p>
              </w:tc>
              <w:tc>
                <w:tcPr>
                  <w:tcW w:w="320" w:type="pct"/>
                  <w:noWrap w:val="0"/>
                  <w:vAlign w:val="center"/>
                </w:tcPr>
                <w:p w14:paraId="6F76CDBD">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eastAsia="宋体"/>
                      <w:color w:val="auto"/>
                      <w:kern w:val="0"/>
                      <w:szCs w:val="21"/>
                      <w:lang w:val="en-US" w:eastAsia="zh-CN"/>
                    </w:rPr>
                    <w:t>0</w:t>
                  </w:r>
                </w:p>
              </w:tc>
              <w:tc>
                <w:tcPr>
                  <w:tcW w:w="297" w:type="pct"/>
                  <w:noWrap w:val="0"/>
                  <w:vAlign w:val="center"/>
                </w:tcPr>
                <w:p w14:paraId="522998DD">
                  <w:pPr>
                    <w:pStyle w:val="37"/>
                    <w:adjustRightInd/>
                    <w:spacing w:beforeLines="0" w:afterLines="0" w:line="240" w:lineRule="auto"/>
                    <w:rPr>
                      <w:rFonts w:hint="eastAsia"/>
                      <w:color w:val="auto"/>
                      <w:lang w:val="en-US" w:eastAsia="zh-CN"/>
                    </w:rPr>
                  </w:pPr>
                  <w:r>
                    <w:rPr>
                      <w:rFonts w:hint="eastAsia" w:ascii="Times New Roman" w:cs="宋体"/>
                      <w:bCs/>
                      <w:smallCaps w:val="0"/>
                      <w:color w:val="auto"/>
                      <w:szCs w:val="21"/>
                      <w:highlight w:val="none"/>
                      <w:lang w:val="en-US" w:eastAsia="zh-CN"/>
                    </w:rPr>
                    <w:t>0.022</w:t>
                  </w:r>
                </w:p>
              </w:tc>
              <w:tc>
                <w:tcPr>
                  <w:tcW w:w="783" w:type="pct"/>
                  <w:noWrap w:val="0"/>
                  <w:vAlign w:val="center"/>
                </w:tcPr>
                <w:p w14:paraId="6B5EE186">
                  <w:pPr>
                    <w:pStyle w:val="37"/>
                    <w:adjustRightInd/>
                    <w:spacing w:beforeLines="0" w:afterLines="0" w:line="240" w:lineRule="auto"/>
                    <w:rPr>
                      <w:rFonts w:hint="default" w:ascii="Times New Roman" w:hAnsi="Times New Roman" w:cs="Times New Roman"/>
                      <w:color w:val="auto"/>
                      <w:sz w:val="21"/>
                      <w:szCs w:val="21"/>
                      <w:lang w:val="en-US" w:eastAsia="zh-CN"/>
                    </w:rPr>
                  </w:pPr>
                  <w:r>
                    <w:rPr>
                      <w:rFonts w:hint="eastAsia" w:ascii="Times New Roman" w:cs="宋体"/>
                      <w:snapToGrid w:val="0"/>
                      <w:color w:val="auto"/>
                      <w:kern w:val="21"/>
                      <w:sz w:val="21"/>
                      <w:szCs w:val="21"/>
                      <w:highlight w:val="none"/>
                      <w:lang w:val="en-US" w:eastAsia="zh-CN" w:bidi="ar-SA"/>
                    </w:rPr>
                    <w:t>0.027</w:t>
                  </w:r>
                </w:p>
              </w:tc>
              <w:tc>
                <w:tcPr>
                  <w:tcW w:w="492" w:type="pct"/>
                  <w:noWrap w:val="0"/>
                  <w:vAlign w:val="center"/>
                </w:tcPr>
                <w:p w14:paraId="5A62F5AD">
                  <w:pPr>
                    <w:pStyle w:val="37"/>
                    <w:adjustRightInd/>
                    <w:spacing w:beforeLines="0" w:afterLines="0" w:line="240" w:lineRule="auto"/>
                    <w:rPr>
                      <w:rFonts w:hint="eastAsia"/>
                      <w:color w:val="auto"/>
                      <w:lang w:val="en-US" w:eastAsia="zh-CN"/>
                    </w:rPr>
                  </w:pPr>
                  <w:r>
                    <w:rPr>
                      <w:rFonts w:hint="eastAsia" w:ascii="Times New Roman" w:cs="宋体"/>
                      <w:bCs/>
                      <w:smallCaps w:val="0"/>
                      <w:color w:val="auto"/>
                      <w:szCs w:val="21"/>
                      <w:highlight w:val="none"/>
                      <w:lang w:val="en-US" w:eastAsia="zh-CN"/>
                    </w:rPr>
                    <w:t>0.022</w:t>
                  </w:r>
                </w:p>
              </w:tc>
              <w:tc>
                <w:tcPr>
                  <w:tcW w:w="325" w:type="pct"/>
                  <w:noWrap w:val="0"/>
                  <w:vAlign w:val="center"/>
                </w:tcPr>
                <w:p w14:paraId="3174604E">
                  <w:pPr>
                    <w:pStyle w:val="37"/>
                    <w:adjustRightInd/>
                    <w:spacing w:beforeLines="0" w:afterLines="0" w:line="240" w:lineRule="auto"/>
                    <w:rPr>
                      <w:rFonts w:hint="eastAsia" w:cs="Times New Roman"/>
                      <w:color w:val="auto"/>
                      <w:szCs w:val="21"/>
                      <w:lang w:val="en-US" w:eastAsia="zh-CN"/>
                    </w:rPr>
                  </w:pPr>
                  <w:r>
                    <w:rPr>
                      <w:rFonts w:hint="eastAsia" w:ascii="Times New Roman" w:cs="宋体"/>
                      <w:bCs/>
                      <w:smallCaps w:val="0"/>
                      <w:color w:val="auto"/>
                      <w:szCs w:val="21"/>
                      <w:highlight w:val="none"/>
                      <w:lang w:val="en-US" w:eastAsia="zh-CN"/>
                    </w:rPr>
                    <w:t>-0.005</w:t>
                  </w:r>
                </w:p>
              </w:tc>
              <w:tc>
                <w:tcPr>
                  <w:tcW w:w="489" w:type="pct"/>
                  <w:noWrap w:val="0"/>
                  <w:vAlign w:val="center"/>
                </w:tcPr>
                <w:p w14:paraId="4E8783E6">
                  <w:pPr>
                    <w:keepNext w:val="0"/>
                    <w:keepLines w:val="0"/>
                    <w:widowControl/>
                    <w:suppressLineNumbers w:val="0"/>
                    <w:jc w:val="center"/>
                    <w:textAlignment w:val="center"/>
                    <w:rPr>
                      <w:rFonts w:hint="eastAsia" w:cs="Times New Roman"/>
                      <w:color w:val="auto"/>
                      <w:szCs w:val="21"/>
                      <w:lang w:val="en-US" w:eastAsia="zh-CN"/>
                    </w:rPr>
                  </w:pPr>
                  <w:r>
                    <w:rPr>
                      <w:rFonts w:hint="eastAsia" w:ascii="Times New Roman" w:cs="宋体"/>
                      <w:bCs/>
                      <w:smallCaps w:val="0"/>
                      <w:color w:val="auto"/>
                      <w:szCs w:val="21"/>
                      <w:highlight w:val="none"/>
                      <w:lang w:val="en-US" w:eastAsia="zh-CN"/>
                    </w:rPr>
                    <w:t>0</w:t>
                  </w:r>
                </w:p>
              </w:tc>
            </w:tr>
            <w:tr w14:paraId="17512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53AD22ED">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42B7D2BC">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4B9ED4E0">
                  <w:pPr>
                    <w:tabs>
                      <w:tab w:val="left" w:pos="960"/>
                    </w:tabs>
                    <w:snapToGrid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氮氧化物</w:t>
                  </w:r>
                </w:p>
              </w:tc>
              <w:tc>
                <w:tcPr>
                  <w:tcW w:w="295" w:type="pct"/>
                  <w:noWrap w:val="0"/>
                  <w:vAlign w:val="center"/>
                </w:tcPr>
                <w:p w14:paraId="5308C3A6">
                  <w:pPr>
                    <w:pStyle w:val="37"/>
                    <w:adjustRightInd/>
                    <w:spacing w:beforeLines="0" w:afterLines="0" w:line="240" w:lineRule="auto"/>
                    <w:rPr>
                      <w:rFonts w:hint="default"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0.264</w:t>
                  </w:r>
                </w:p>
              </w:tc>
              <w:tc>
                <w:tcPr>
                  <w:tcW w:w="295" w:type="pct"/>
                  <w:noWrap w:val="0"/>
                  <w:vAlign w:val="center"/>
                </w:tcPr>
                <w:p w14:paraId="278B244A">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w:t>
                  </w:r>
                </w:p>
              </w:tc>
              <w:tc>
                <w:tcPr>
                  <w:tcW w:w="301" w:type="pct"/>
                  <w:noWrap w:val="0"/>
                  <w:vAlign w:val="center"/>
                </w:tcPr>
                <w:p w14:paraId="73B7A16F">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0.264</w:t>
                  </w:r>
                </w:p>
              </w:tc>
              <w:tc>
                <w:tcPr>
                  <w:tcW w:w="320" w:type="pct"/>
                  <w:noWrap w:val="0"/>
                  <w:vAlign w:val="center"/>
                </w:tcPr>
                <w:p w14:paraId="07B6E8CA">
                  <w:pPr>
                    <w:snapToGrid w:val="0"/>
                    <w:jc w:val="center"/>
                    <w:rPr>
                      <w:rFonts w:hint="eastAsia" w:cs="Times New Roman"/>
                      <w:color w:val="auto"/>
                      <w:lang w:val="en-US" w:eastAsia="zh-CN"/>
                    </w:rPr>
                  </w:pPr>
                  <w:r>
                    <w:rPr>
                      <w:rFonts w:hint="eastAsia" w:cs="宋体"/>
                      <w:color w:val="auto"/>
                      <w:kern w:val="0"/>
                      <w:szCs w:val="21"/>
                      <w:highlight w:val="none"/>
                      <w:lang w:val="en-US" w:eastAsia="zh-CN"/>
                    </w:rPr>
                    <w:t>0.206</w:t>
                  </w:r>
                </w:p>
              </w:tc>
              <w:tc>
                <w:tcPr>
                  <w:tcW w:w="320" w:type="pct"/>
                  <w:noWrap w:val="0"/>
                  <w:vAlign w:val="center"/>
                </w:tcPr>
                <w:p w14:paraId="224D991F">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eastAsia="宋体"/>
                      <w:color w:val="auto"/>
                      <w:kern w:val="0"/>
                      <w:szCs w:val="21"/>
                      <w:lang w:val="en-US" w:eastAsia="zh-CN"/>
                    </w:rPr>
                    <w:t>0</w:t>
                  </w:r>
                </w:p>
              </w:tc>
              <w:tc>
                <w:tcPr>
                  <w:tcW w:w="297" w:type="pct"/>
                  <w:noWrap w:val="0"/>
                  <w:vAlign w:val="center"/>
                </w:tcPr>
                <w:p w14:paraId="62CE485C">
                  <w:pPr>
                    <w:snapToGrid w:val="0"/>
                    <w:jc w:val="center"/>
                    <w:rPr>
                      <w:rFonts w:hint="eastAsia"/>
                      <w:color w:val="auto"/>
                      <w:lang w:val="en-US" w:eastAsia="zh-CN"/>
                    </w:rPr>
                  </w:pPr>
                  <w:r>
                    <w:rPr>
                      <w:rFonts w:hint="eastAsia" w:cs="宋体"/>
                      <w:color w:val="auto"/>
                      <w:kern w:val="0"/>
                      <w:szCs w:val="21"/>
                      <w:highlight w:val="none"/>
                      <w:lang w:val="en-US" w:eastAsia="zh-CN"/>
                    </w:rPr>
                    <w:t>0.206</w:t>
                  </w:r>
                </w:p>
              </w:tc>
              <w:tc>
                <w:tcPr>
                  <w:tcW w:w="783" w:type="pct"/>
                  <w:noWrap w:val="0"/>
                  <w:vAlign w:val="center"/>
                </w:tcPr>
                <w:p w14:paraId="34757B1A">
                  <w:pPr>
                    <w:pStyle w:val="37"/>
                    <w:adjustRightInd/>
                    <w:spacing w:beforeLines="0" w:afterLines="0" w:line="240" w:lineRule="auto"/>
                    <w:rPr>
                      <w:rFonts w:hint="default" w:ascii="Times New Roman" w:hAnsi="Times New Roman" w:cs="Times New Roman"/>
                      <w:color w:val="auto"/>
                      <w:sz w:val="21"/>
                      <w:szCs w:val="21"/>
                      <w:lang w:val="en-US" w:eastAsia="zh-CN"/>
                    </w:rPr>
                  </w:pPr>
                  <w:r>
                    <w:rPr>
                      <w:rFonts w:hint="eastAsia" w:ascii="Times New Roman" w:cs="宋体"/>
                      <w:snapToGrid w:val="0"/>
                      <w:color w:val="auto"/>
                      <w:kern w:val="21"/>
                      <w:szCs w:val="21"/>
                      <w:highlight w:val="none"/>
                      <w:lang w:val="en-US" w:eastAsia="zh-CN"/>
                    </w:rPr>
                    <w:t>0.264</w:t>
                  </w:r>
                </w:p>
              </w:tc>
              <w:tc>
                <w:tcPr>
                  <w:tcW w:w="492" w:type="pct"/>
                  <w:noWrap w:val="0"/>
                  <w:vAlign w:val="center"/>
                </w:tcPr>
                <w:p w14:paraId="6F64B2DE">
                  <w:pPr>
                    <w:snapToGrid w:val="0"/>
                    <w:jc w:val="center"/>
                    <w:rPr>
                      <w:rFonts w:hint="eastAsia"/>
                      <w:color w:val="auto"/>
                      <w:lang w:val="en-US" w:eastAsia="zh-CN"/>
                    </w:rPr>
                  </w:pPr>
                  <w:r>
                    <w:rPr>
                      <w:rFonts w:hint="eastAsia" w:cs="宋体"/>
                      <w:color w:val="auto"/>
                      <w:kern w:val="0"/>
                      <w:szCs w:val="21"/>
                      <w:highlight w:val="none"/>
                      <w:lang w:val="en-US" w:eastAsia="zh-CN"/>
                    </w:rPr>
                    <w:t>0.206</w:t>
                  </w:r>
                </w:p>
              </w:tc>
              <w:tc>
                <w:tcPr>
                  <w:tcW w:w="325" w:type="pct"/>
                  <w:noWrap w:val="0"/>
                  <w:vAlign w:val="center"/>
                </w:tcPr>
                <w:p w14:paraId="5E25F027">
                  <w:pPr>
                    <w:snapToGrid w:val="0"/>
                    <w:jc w:val="center"/>
                    <w:rPr>
                      <w:rFonts w:hint="eastAsia" w:cs="Times New Roman"/>
                      <w:color w:val="auto"/>
                      <w:szCs w:val="21"/>
                      <w:lang w:val="en-US" w:eastAsia="zh-CN"/>
                    </w:rPr>
                  </w:pPr>
                  <w:r>
                    <w:rPr>
                      <w:rFonts w:hint="eastAsia" w:cs="宋体"/>
                      <w:color w:val="auto"/>
                      <w:kern w:val="0"/>
                      <w:szCs w:val="21"/>
                      <w:highlight w:val="none"/>
                      <w:lang w:val="en-US" w:eastAsia="zh-CN"/>
                    </w:rPr>
                    <w:t>-0.058</w:t>
                  </w:r>
                </w:p>
              </w:tc>
              <w:tc>
                <w:tcPr>
                  <w:tcW w:w="489" w:type="pct"/>
                  <w:noWrap w:val="0"/>
                  <w:vAlign w:val="center"/>
                </w:tcPr>
                <w:p w14:paraId="310E40EB">
                  <w:pPr>
                    <w:keepNext w:val="0"/>
                    <w:keepLines w:val="0"/>
                    <w:widowControl/>
                    <w:suppressLineNumbers w:val="0"/>
                    <w:jc w:val="center"/>
                    <w:textAlignment w:val="center"/>
                    <w:rPr>
                      <w:rFonts w:hint="eastAsia" w:cs="Times New Roman"/>
                      <w:color w:val="auto"/>
                      <w:szCs w:val="21"/>
                      <w:lang w:val="en-US" w:eastAsia="zh-CN"/>
                    </w:rPr>
                  </w:pPr>
                  <w:r>
                    <w:rPr>
                      <w:rFonts w:hint="eastAsia" w:cs="宋体"/>
                      <w:color w:val="auto"/>
                      <w:kern w:val="0"/>
                      <w:szCs w:val="21"/>
                      <w:highlight w:val="none"/>
                      <w:lang w:val="en-US" w:eastAsia="zh-CN"/>
                    </w:rPr>
                    <w:t>0</w:t>
                  </w:r>
                </w:p>
              </w:tc>
            </w:tr>
            <w:tr w14:paraId="34079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24187DD3">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1A931A7D">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5ECA56C0">
                  <w:pPr>
                    <w:tabs>
                      <w:tab w:val="left" w:pos="960"/>
                    </w:tabs>
                    <w:snapToGrid w:val="0"/>
                    <w:jc w:val="center"/>
                    <w:rPr>
                      <w:rFonts w:hint="eastAsia"/>
                      <w:color w:val="auto"/>
                      <w:kern w:val="0"/>
                      <w:szCs w:val="21"/>
                    </w:rPr>
                  </w:pPr>
                  <w:r>
                    <w:rPr>
                      <w:rFonts w:hint="eastAsia" w:ascii="Times New Roman" w:hAnsi="Times New Roman" w:cs="Times New Roman"/>
                      <w:color w:val="auto"/>
                      <w:lang w:val="en-US" w:eastAsia="zh-CN"/>
                    </w:rPr>
                    <w:t>非甲烷总烃</w:t>
                  </w:r>
                </w:p>
              </w:tc>
              <w:tc>
                <w:tcPr>
                  <w:tcW w:w="295" w:type="pct"/>
                  <w:noWrap w:val="0"/>
                  <w:vAlign w:val="center"/>
                </w:tcPr>
                <w:p w14:paraId="36F5472E">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0.315</w:t>
                  </w:r>
                </w:p>
              </w:tc>
              <w:tc>
                <w:tcPr>
                  <w:tcW w:w="295" w:type="pct"/>
                  <w:noWrap w:val="0"/>
                  <w:vAlign w:val="center"/>
                </w:tcPr>
                <w:p w14:paraId="2392A046">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0.236</w:t>
                  </w:r>
                </w:p>
              </w:tc>
              <w:tc>
                <w:tcPr>
                  <w:tcW w:w="301" w:type="pct"/>
                  <w:noWrap w:val="0"/>
                  <w:vAlign w:val="center"/>
                </w:tcPr>
                <w:p w14:paraId="6B59816B">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hAnsi="Times New Roman" w:eastAsia="宋体" w:cs="宋体"/>
                      <w:snapToGrid w:val="0"/>
                      <w:color w:val="auto"/>
                      <w:kern w:val="21"/>
                      <w:sz w:val="21"/>
                      <w:szCs w:val="21"/>
                      <w:highlight w:val="none"/>
                      <w:lang w:val="en-US" w:eastAsia="zh-CN" w:bidi="ar-SA"/>
                    </w:rPr>
                    <w:t>0.079</w:t>
                  </w:r>
                </w:p>
              </w:tc>
              <w:tc>
                <w:tcPr>
                  <w:tcW w:w="320" w:type="pct"/>
                  <w:noWrap w:val="0"/>
                  <w:vAlign w:val="center"/>
                </w:tcPr>
                <w:p w14:paraId="2A8E9490">
                  <w:pPr>
                    <w:snapToGrid w:val="0"/>
                    <w:jc w:val="center"/>
                    <w:rPr>
                      <w:rFonts w:hint="eastAsia"/>
                      <w:color w:val="auto"/>
                      <w:kern w:val="0"/>
                      <w:szCs w:val="21"/>
                    </w:rPr>
                  </w:pPr>
                  <w:r>
                    <w:rPr>
                      <w:rFonts w:hint="eastAsia" w:cs="宋体"/>
                      <w:color w:val="auto"/>
                      <w:kern w:val="0"/>
                      <w:szCs w:val="21"/>
                      <w:highlight w:val="none"/>
                      <w:lang w:val="en-US" w:eastAsia="zh-CN"/>
                    </w:rPr>
                    <w:t>1.35</w:t>
                  </w:r>
                </w:p>
              </w:tc>
              <w:tc>
                <w:tcPr>
                  <w:tcW w:w="320" w:type="pct"/>
                  <w:noWrap w:val="0"/>
                  <w:vAlign w:val="center"/>
                </w:tcPr>
                <w:p w14:paraId="36A3A955">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eastAsia="宋体"/>
                      <w:color w:val="auto"/>
                      <w:kern w:val="0"/>
                      <w:szCs w:val="21"/>
                      <w:lang w:val="en-US" w:eastAsia="zh-CN"/>
                    </w:rPr>
                    <w:t>1.215</w:t>
                  </w:r>
                </w:p>
              </w:tc>
              <w:tc>
                <w:tcPr>
                  <w:tcW w:w="297" w:type="pct"/>
                  <w:noWrap w:val="0"/>
                  <w:vAlign w:val="center"/>
                </w:tcPr>
                <w:p w14:paraId="39B4D087">
                  <w:pPr>
                    <w:snapToGrid w:val="0"/>
                    <w:jc w:val="center"/>
                    <w:rPr>
                      <w:rFonts w:hint="default"/>
                      <w:color w:val="auto"/>
                      <w:kern w:val="0"/>
                      <w:szCs w:val="21"/>
                      <w:lang w:val="en-US"/>
                    </w:rPr>
                  </w:pPr>
                  <w:r>
                    <w:rPr>
                      <w:rFonts w:hint="eastAsia" w:cs="宋体"/>
                      <w:color w:val="auto"/>
                      <w:kern w:val="0"/>
                      <w:szCs w:val="21"/>
                      <w:highlight w:val="none"/>
                      <w:lang w:val="en-US" w:eastAsia="zh-CN"/>
                    </w:rPr>
                    <w:t>0.135</w:t>
                  </w:r>
                </w:p>
              </w:tc>
              <w:tc>
                <w:tcPr>
                  <w:tcW w:w="783" w:type="pct"/>
                  <w:noWrap w:val="0"/>
                  <w:vAlign w:val="center"/>
                </w:tcPr>
                <w:p w14:paraId="2509C8CA">
                  <w:pPr>
                    <w:pStyle w:val="37"/>
                    <w:adjustRightInd/>
                    <w:spacing w:beforeLines="0" w:afterLines="0" w:line="240" w:lineRule="auto"/>
                    <w:rPr>
                      <w:rFonts w:hint="default"/>
                      <w:color w:val="auto"/>
                      <w:kern w:val="0"/>
                      <w:szCs w:val="21"/>
                      <w:lang w:val="en-US" w:eastAsia="zh-CN"/>
                    </w:rPr>
                  </w:pPr>
                  <w:r>
                    <w:rPr>
                      <w:rFonts w:hint="eastAsia" w:ascii="Times New Roman" w:hAnsi="Times New Roman" w:eastAsia="宋体" w:cs="宋体"/>
                      <w:snapToGrid w:val="0"/>
                      <w:color w:val="auto"/>
                      <w:kern w:val="21"/>
                      <w:szCs w:val="21"/>
                      <w:highlight w:val="none"/>
                    </w:rPr>
                    <w:t>0</w:t>
                  </w:r>
                </w:p>
              </w:tc>
              <w:tc>
                <w:tcPr>
                  <w:tcW w:w="492" w:type="pct"/>
                  <w:noWrap w:val="0"/>
                  <w:vAlign w:val="center"/>
                </w:tcPr>
                <w:p w14:paraId="34B1FB13">
                  <w:pPr>
                    <w:snapToGrid w:val="0"/>
                    <w:jc w:val="center"/>
                    <w:rPr>
                      <w:rFonts w:hint="eastAsia"/>
                      <w:color w:val="auto"/>
                      <w:kern w:val="0"/>
                      <w:szCs w:val="21"/>
                      <w:lang w:val="en-US" w:eastAsia="zh-CN"/>
                    </w:rPr>
                  </w:pPr>
                  <w:r>
                    <w:rPr>
                      <w:rFonts w:hint="eastAsia" w:cs="宋体"/>
                      <w:color w:val="auto"/>
                      <w:kern w:val="0"/>
                      <w:szCs w:val="21"/>
                      <w:highlight w:val="none"/>
                      <w:lang w:val="en-US" w:eastAsia="zh-CN"/>
                    </w:rPr>
                    <w:t>0.214</w:t>
                  </w:r>
                </w:p>
              </w:tc>
              <w:tc>
                <w:tcPr>
                  <w:tcW w:w="325" w:type="pct"/>
                  <w:noWrap w:val="0"/>
                  <w:vAlign w:val="center"/>
                </w:tcPr>
                <w:p w14:paraId="76A06468">
                  <w:pPr>
                    <w:snapToGrid w:val="0"/>
                    <w:jc w:val="center"/>
                    <w:rPr>
                      <w:rFonts w:hint="eastAsia"/>
                      <w:color w:val="auto"/>
                      <w:kern w:val="0"/>
                      <w:sz w:val="21"/>
                      <w:szCs w:val="21"/>
                      <w:lang w:val="en-US" w:eastAsia="zh-CN" w:bidi="ar-SA"/>
                    </w:rPr>
                  </w:pPr>
                  <w:r>
                    <w:rPr>
                      <w:rFonts w:hint="eastAsia" w:cs="宋体"/>
                      <w:color w:val="auto"/>
                      <w:kern w:val="0"/>
                      <w:szCs w:val="21"/>
                      <w:highlight w:val="none"/>
                      <w:lang w:val="en-US" w:eastAsia="zh-CN"/>
                    </w:rPr>
                    <w:t>+0.135</w:t>
                  </w:r>
                </w:p>
              </w:tc>
              <w:tc>
                <w:tcPr>
                  <w:tcW w:w="489" w:type="pct"/>
                  <w:noWrap w:val="0"/>
                  <w:vAlign w:val="center"/>
                </w:tcPr>
                <w:p w14:paraId="07E25C13">
                  <w:pPr>
                    <w:snapToGrid w:val="0"/>
                    <w:jc w:val="center"/>
                    <w:rPr>
                      <w:rFonts w:hint="default"/>
                      <w:color w:val="auto"/>
                      <w:kern w:val="0"/>
                      <w:szCs w:val="21"/>
                      <w:lang w:val="en-US"/>
                    </w:rPr>
                  </w:pPr>
                  <w:r>
                    <w:rPr>
                      <w:rFonts w:hint="eastAsia" w:cs="宋体"/>
                      <w:color w:val="auto"/>
                      <w:kern w:val="0"/>
                      <w:szCs w:val="21"/>
                      <w:highlight w:val="none"/>
                      <w:lang w:val="en-US" w:eastAsia="zh-CN"/>
                    </w:rPr>
                    <w:t>+0.135</w:t>
                  </w:r>
                </w:p>
              </w:tc>
            </w:tr>
            <w:tr w14:paraId="55328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7BFC3E20">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restart"/>
                  <w:noWrap w:val="0"/>
                  <w:vAlign w:val="center"/>
                </w:tcPr>
                <w:p w14:paraId="4C4BC950">
                  <w:pPr>
                    <w:keepNext w:val="0"/>
                    <w:keepLines w:val="0"/>
                    <w:pageBreakBefore w:val="0"/>
                    <w:kinsoku/>
                    <w:wordWrap/>
                    <w:overflowPunct/>
                    <w:topLinePunct w:val="0"/>
                    <w:autoSpaceDE/>
                    <w:autoSpaceDN/>
                    <w:bidi w:val="0"/>
                    <w:adjustRightInd/>
                    <w:snapToGrid/>
                    <w:jc w:val="center"/>
                    <w:rPr>
                      <w:color w:val="auto"/>
                      <w:kern w:val="0"/>
                      <w:szCs w:val="21"/>
                    </w:rPr>
                  </w:pPr>
                  <w:r>
                    <w:rPr>
                      <w:color w:val="auto"/>
                      <w:kern w:val="0"/>
                      <w:szCs w:val="21"/>
                    </w:rPr>
                    <w:t>无组织</w:t>
                  </w:r>
                </w:p>
              </w:tc>
              <w:tc>
                <w:tcPr>
                  <w:tcW w:w="492" w:type="pct"/>
                  <w:noWrap w:val="0"/>
                  <w:vAlign w:val="center"/>
                </w:tcPr>
                <w:p w14:paraId="28A6F047">
                  <w:pPr>
                    <w:tabs>
                      <w:tab w:val="left" w:pos="960"/>
                    </w:tabs>
                    <w:snapToGrid w:val="0"/>
                    <w:jc w:val="center"/>
                    <w:rPr>
                      <w:color w:val="auto"/>
                      <w:kern w:val="0"/>
                      <w:szCs w:val="21"/>
                    </w:rPr>
                  </w:pPr>
                  <w:r>
                    <w:rPr>
                      <w:rFonts w:hint="eastAsia" w:ascii="Times New Roman" w:hAnsi="Times New Roman" w:cs="Times New Roman"/>
                      <w:color w:val="auto"/>
                      <w:lang w:val="en-US" w:eastAsia="zh-CN"/>
                    </w:rPr>
                    <w:t>颗粒物</w:t>
                  </w:r>
                </w:p>
              </w:tc>
              <w:tc>
                <w:tcPr>
                  <w:tcW w:w="295" w:type="pct"/>
                  <w:noWrap w:val="0"/>
                  <w:vAlign w:val="center"/>
                </w:tcPr>
                <w:p w14:paraId="22503486">
                  <w:pPr>
                    <w:pStyle w:val="37"/>
                    <w:adjustRightInd/>
                    <w:spacing w:beforeLines="0" w:afterLines="0" w:line="240" w:lineRule="auto"/>
                    <w:rPr>
                      <w:rFonts w:hint="default"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0.142</w:t>
                  </w:r>
                </w:p>
              </w:tc>
              <w:tc>
                <w:tcPr>
                  <w:tcW w:w="295" w:type="pct"/>
                  <w:noWrap w:val="0"/>
                  <w:vAlign w:val="center"/>
                </w:tcPr>
                <w:p w14:paraId="0AFFD29D">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w:t>
                  </w:r>
                </w:p>
              </w:tc>
              <w:tc>
                <w:tcPr>
                  <w:tcW w:w="301" w:type="pct"/>
                  <w:noWrap w:val="0"/>
                  <w:vAlign w:val="center"/>
                </w:tcPr>
                <w:p w14:paraId="4EF3F543">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0.142</w:t>
                  </w:r>
                </w:p>
              </w:tc>
              <w:tc>
                <w:tcPr>
                  <w:tcW w:w="320" w:type="pct"/>
                  <w:noWrap w:val="0"/>
                  <w:vAlign w:val="center"/>
                </w:tcPr>
                <w:p w14:paraId="0DAB174B">
                  <w:pPr>
                    <w:keepNext w:val="0"/>
                    <w:keepLines w:val="0"/>
                    <w:widowControl/>
                    <w:suppressLineNumbers w:val="0"/>
                    <w:jc w:val="center"/>
                    <w:textAlignment w:val="center"/>
                    <w:rPr>
                      <w:rFonts w:hint="default"/>
                      <w:color w:val="auto"/>
                      <w:kern w:val="0"/>
                      <w:szCs w:val="21"/>
                      <w:lang w:val="en-US"/>
                    </w:rPr>
                  </w:pPr>
                  <w:r>
                    <w:rPr>
                      <w:rFonts w:hint="eastAsia" w:cs="Times New Roman"/>
                      <w:i w:val="0"/>
                      <w:iCs w:val="0"/>
                      <w:color w:val="auto"/>
                      <w:kern w:val="0"/>
                      <w:sz w:val="21"/>
                      <w:szCs w:val="21"/>
                      <w:u w:val="none"/>
                      <w:lang w:val="en-US" w:eastAsia="zh-CN" w:bidi="ar"/>
                    </w:rPr>
                    <w:t>1.452</w:t>
                  </w:r>
                </w:p>
              </w:tc>
              <w:tc>
                <w:tcPr>
                  <w:tcW w:w="320" w:type="pct"/>
                  <w:noWrap w:val="0"/>
                  <w:vAlign w:val="center"/>
                </w:tcPr>
                <w:p w14:paraId="7F5D13F8">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color w:val="auto"/>
                      <w:kern w:val="0"/>
                      <w:szCs w:val="21"/>
                      <w:lang w:val="en-US" w:eastAsia="zh-CN"/>
                    </w:rPr>
                    <w:t>1.064</w:t>
                  </w:r>
                </w:p>
              </w:tc>
              <w:tc>
                <w:tcPr>
                  <w:tcW w:w="297" w:type="pct"/>
                  <w:noWrap w:val="0"/>
                  <w:vAlign w:val="center"/>
                </w:tcPr>
                <w:p w14:paraId="6B94ABE3">
                  <w:pPr>
                    <w:snapToGrid w:val="0"/>
                    <w:jc w:val="center"/>
                    <w:rPr>
                      <w:rFonts w:hint="default"/>
                      <w:color w:val="auto"/>
                      <w:kern w:val="0"/>
                      <w:szCs w:val="21"/>
                      <w:lang w:val="en-US"/>
                    </w:rPr>
                  </w:pPr>
                  <w:r>
                    <w:rPr>
                      <w:rFonts w:hint="eastAsia" w:cs="宋体"/>
                      <w:color w:val="auto"/>
                      <w:kern w:val="2"/>
                      <w:sz w:val="21"/>
                      <w:szCs w:val="21"/>
                      <w:highlight w:val="none"/>
                      <w:lang w:val="en-US" w:eastAsia="zh-CN" w:bidi="ar-SA"/>
                    </w:rPr>
                    <w:t>0.388</w:t>
                  </w:r>
                </w:p>
              </w:tc>
              <w:tc>
                <w:tcPr>
                  <w:tcW w:w="783" w:type="pct"/>
                  <w:noWrap w:val="0"/>
                  <w:vAlign w:val="center"/>
                </w:tcPr>
                <w:p w14:paraId="0B362AD7">
                  <w:pPr>
                    <w:pStyle w:val="37"/>
                    <w:adjustRightInd/>
                    <w:spacing w:beforeLines="0" w:afterLines="0" w:line="240" w:lineRule="auto"/>
                    <w:rPr>
                      <w:rFonts w:hint="default"/>
                      <w:smallCaps/>
                      <w:color w:val="auto"/>
                      <w:szCs w:val="21"/>
                      <w:lang w:val="en-US" w:eastAsia="zh-CN"/>
                    </w:rPr>
                  </w:pPr>
                  <w:r>
                    <w:rPr>
                      <w:rFonts w:hint="eastAsia" w:ascii="Times New Roman" w:cs="宋体"/>
                      <w:snapToGrid w:val="0"/>
                      <w:color w:val="auto"/>
                      <w:kern w:val="21"/>
                      <w:szCs w:val="21"/>
                      <w:highlight w:val="none"/>
                      <w:lang w:val="en-US" w:eastAsia="zh-CN"/>
                    </w:rPr>
                    <w:t>0.142</w:t>
                  </w:r>
                </w:p>
              </w:tc>
              <w:tc>
                <w:tcPr>
                  <w:tcW w:w="492" w:type="pct"/>
                  <w:noWrap w:val="0"/>
                  <w:vAlign w:val="center"/>
                </w:tcPr>
                <w:p w14:paraId="7FE004D0">
                  <w:pPr>
                    <w:snapToGrid w:val="0"/>
                    <w:jc w:val="center"/>
                    <w:rPr>
                      <w:rFonts w:hint="default"/>
                      <w:smallCaps/>
                      <w:color w:val="auto"/>
                      <w:szCs w:val="21"/>
                      <w:lang w:val="en-US" w:eastAsia="zh-CN"/>
                    </w:rPr>
                  </w:pPr>
                  <w:r>
                    <w:rPr>
                      <w:rFonts w:hint="eastAsia" w:cs="宋体"/>
                      <w:color w:val="auto"/>
                      <w:kern w:val="2"/>
                      <w:sz w:val="21"/>
                      <w:szCs w:val="21"/>
                      <w:highlight w:val="none"/>
                      <w:lang w:val="en-US" w:eastAsia="zh-CN" w:bidi="ar-SA"/>
                    </w:rPr>
                    <w:t>0.388</w:t>
                  </w:r>
                </w:p>
              </w:tc>
              <w:tc>
                <w:tcPr>
                  <w:tcW w:w="325" w:type="pct"/>
                  <w:noWrap w:val="0"/>
                  <w:vAlign w:val="center"/>
                </w:tcPr>
                <w:p w14:paraId="22720F73">
                  <w:pPr>
                    <w:snapToGrid w:val="0"/>
                    <w:jc w:val="center"/>
                    <w:rPr>
                      <w:rFonts w:hint="default"/>
                      <w:color w:val="auto"/>
                      <w:kern w:val="0"/>
                      <w:sz w:val="21"/>
                      <w:szCs w:val="21"/>
                      <w:lang w:val="en-US" w:eastAsia="zh-CN" w:bidi="ar-SA"/>
                    </w:rPr>
                  </w:pPr>
                  <w:r>
                    <w:rPr>
                      <w:rFonts w:hint="eastAsia" w:cs="宋体"/>
                      <w:color w:val="auto"/>
                      <w:kern w:val="2"/>
                      <w:sz w:val="21"/>
                      <w:szCs w:val="21"/>
                      <w:highlight w:val="none"/>
                      <w:lang w:val="en-US" w:eastAsia="zh-CN" w:bidi="ar-SA"/>
                    </w:rPr>
                    <w:t>+0.246</w:t>
                  </w:r>
                </w:p>
              </w:tc>
              <w:tc>
                <w:tcPr>
                  <w:tcW w:w="489" w:type="pct"/>
                  <w:noWrap w:val="0"/>
                  <w:vAlign w:val="center"/>
                </w:tcPr>
                <w:p w14:paraId="292B87E3">
                  <w:pPr>
                    <w:snapToGrid w:val="0"/>
                    <w:jc w:val="center"/>
                    <w:rPr>
                      <w:rFonts w:hint="default"/>
                      <w:color w:val="auto"/>
                      <w:kern w:val="0"/>
                      <w:szCs w:val="21"/>
                      <w:lang w:val="en-US"/>
                    </w:rPr>
                  </w:pPr>
                  <w:r>
                    <w:rPr>
                      <w:rFonts w:hint="eastAsia" w:cs="宋体"/>
                      <w:color w:val="auto"/>
                      <w:kern w:val="2"/>
                      <w:sz w:val="21"/>
                      <w:szCs w:val="21"/>
                      <w:highlight w:val="none"/>
                      <w:lang w:val="en-US" w:eastAsia="zh-CN" w:bidi="ar-SA"/>
                    </w:rPr>
                    <w:t>+0.246</w:t>
                  </w:r>
                </w:p>
              </w:tc>
            </w:tr>
            <w:tr w14:paraId="0D02C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1ACFB226">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650C391F">
                  <w:pPr>
                    <w:keepNext w:val="0"/>
                    <w:keepLines w:val="0"/>
                    <w:pageBreakBefore w:val="0"/>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0E5C3DA2">
                  <w:pPr>
                    <w:tabs>
                      <w:tab w:val="left" w:pos="960"/>
                    </w:tabs>
                    <w:snapToGrid w:val="0"/>
                    <w:jc w:val="center"/>
                    <w:rPr>
                      <w:rFonts w:hint="eastAsia"/>
                      <w:color w:val="auto"/>
                      <w:kern w:val="0"/>
                      <w:szCs w:val="21"/>
                    </w:rPr>
                  </w:pPr>
                  <w:r>
                    <w:rPr>
                      <w:rFonts w:hint="eastAsia" w:ascii="Times New Roman" w:hAnsi="Times New Roman" w:cs="Times New Roman"/>
                      <w:color w:val="auto"/>
                      <w:lang w:val="en-US" w:eastAsia="zh-CN"/>
                    </w:rPr>
                    <w:t>非甲烷总烃</w:t>
                  </w:r>
                </w:p>
              </w:tc>
              <w:tc>
                <w:tcPr>
                  <w:tcW w:w="295" w:type="pct"/>
                  <w:noWrap w:val="0"/>
                  <w:vAlign w:val="center"/>
                </w:tcPr>
                <w:p w14:paraId="49A50CFF">
                  <w:pPr>
                    <w:pStyle w:val="37"/>
                    <w:adjustRightInd/>
                    <w:spacing w:beforeLines="0" w:afterLines="0" w:line="240" w:lineRule="auto"/>
                    <w:rPr>
                      <w:rFonts w:hint="default"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0.035</w:t>
                  </w:r>
                </w:p>
              </w:tc>
              <w:tc>
                <w:tcPr>
                  <w:tcW w:w="295" w:type="pct"/>
                  <w:noWrap w:val="0"/>
                  <w:vAlign w:val="center"/>
                </w:tcPr>
                <w:p w14:paraId="27693297">
                  <w:pPr>
                    <w:tabs>
                      <w:tab w:val="left" w:pos="960"/>
                    </w:tabs>
                    <w:snapToGrid w:val="0"/>
                    <w:jc w:val="center"/>
                    <w:rPr>
                      <w:rFonts w:hint="default" w:ascii="Times New Roman" w:hAnsi="Times New Roman" w:cs="Times New Roman"/>
                      <w:color w:val="auto"/>
                      <w:lang w:val="en-US" w:eastAsia="zh-CN"/>
                    </w:rPr>
                  </w:pPr>
                  <w:r>
                    <w:rPr>
                      <w:rFonts w:hint="eastAsia" w:cs="Times New Roman"/>
                      <w:color w:val="auto"/>
                      <w:lang w:val="en-US" w:eastAsia="zh-CN"/>
                    </w:rPr>
                    <w:t>0</w:t>
                  </w:r>
                </w:p>
              </w:tc>
              <w:tc>
                <w:tcPr>
                  <w:tcW w:w="301" w:type="pct"/>
                  <w:noWrap w:val="0"/>
                  <w:vAlign w:val="center"/>
                </w:tcPr>
                <w:p w14:paraId="105C6926">
                  <w:pPr>
                    <w:pStyle w:val="37"/>
                    <w:adjustRightInd/>
                    <w:spacing w:beforeLines="0" w:afterLines="0" w:line="240" w:lineRule="auto"/>
                    <w:rPr>
                      <w:rFonts w:hint="eastAsia" w:ascii="Times New Roman" w:hAnsi="Times New Roman" w:cs="Times New Roman"/>
                      <w:color w:val="auto"/>
                      <w:lang w:val="en-US" w:eastAsia="zh-CN"/>
                    </w:rPr>
                  </w:pPr>
                  <w:r>
                    <w:rPr>
                      <w:rFonts w:hint="eastAsia" w:ascii="Times New Roman" w:cs="宋体"/>
                      <w:snapToGrid w:val="0"/>
                      <w:color w:val="auto"/>
                      <w:kern w:val="21"/>
                      <w:szCs w:val="21"/>
                      <w:highlight w:val="none"/>
                      <w:lang w:val="en-US" w:eastAsia="zh-CN"/>
                    </w:rPr>
                    <w:t>0.035</w:t>
                  </w:r>
                </w:p>
              </w:tc>
              <w:tc>
                <w:tcPr>
                  <w:tcW w:w="320" w:type="pct"/>
                  <w:noWrap w:val="0"/>
                  <w:vAlign w:val="center"/>
                </w:tcPr>
                <w:p w14:paraId="1CCBCF2D">
                  <w:pPr>
                    <w:keepNext w:val="0"/>
                    <w:keepLines w:val="0"/>
                    <w:widowControl/>
                    <w:suppressLineNumbers w:val="0"/>
                    <w:jc w:val="center"/>
                    <w:textAlignment w:val="center"/>
                    <w:rPr>
                      <w:rFonts w:hint="default"/>
                      <w:color w:val="auto"/>
                      <w:kern w:val="0"/>
                      <w:szCs w:val="21"/>
                      <w:lang w:val="en-US"/>
                    </w:rPr>
                  </w:pPr>
                  <w:r>
                    <w:rPr>
                      <w:rFonts w:hint="eastAsia" w:cs="宋体"/>
                      <w:color w:val="auto"/>
                      <w:kern w:val="2"/>
                      <w:sz w:val="21"/>
                      <w:szCs w:val="21"/>
                      <w:highlight w:val="none"/>
                      <w:lang w:val="en-US" w:eastAsia="zh-CN" w:bidi="ar-SA"/>
                    </w:rPr>
                    <w:t>0.15</w:t>
                  </w:r>
                </w:p>
              </w:tc>
              <w:tc>
                <w:tcPr>
                  <w:tcW w:w="320" w:type="pct"/>
                  <w:noWrap w:val="0"/>
                  <w:vAlign w:val="center"/>
                </w:tcPr>
                <w:p w14:paraId="71B7DA5C">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rPr>
                  </w:pPr>
                  <w:r>
                    <w:rPr>
                      <w:rFonts w:hint="eastAsia"/>
                      <w:color w:val="auto"/>
                      <w:kern w:val="0"/>
                      <w:szCs w:val="21"/>
                      <w:lang w:val="en-US" w:eastAsia="zh-CN"/>
                    </w:rPr>
                    <w:t>0</w:t>
                  </w:r>
                </w:p>
              </w:tc>
              <w:tc>
                <w:tcPr>
                  <w:tcW w:w="297" w:type="pct"/>
                  <w:noWrap w:val="0"/>
                  <w:vAlign w:val="center"/>
                </w:tcPr>
                <w:p w14:paraId="37AC46CB">
                  <w:pPr>
                    <w:snapToGrid w:val="0"/>
                    <w:jc w:val="center"/>
                    <w:rPr>
                      <w:rFonts w:hint="eastAsia"/>
                      <w:color w:val="auto"/>
                      <w:kern w:val="0"/>
                      <w:szCs w:val="21"/>
                    </w:rPr>
                  </w:pPr>
                  <w:r>
                    <w:rPr>
                      <w:rFonts w:hint="eastAsia" w:cs="宋体"/>
                      <w:color w:val="auto"/>
                      <w:kern w:val="2"/>
                      <w:sz w:val="21"/>
                      <w:szCs w:val="21"/>
                      <w:highlight w:val="none"/>
                      <w:lang w:val="en-US" w:eastAsia="zh-CN" w:bidi="ar-SA"/>
                    </w:rPr>
                    <w:t>0.15</w:t>
                  </w:r>
                </w:p>
              </w:tc>
              <w:tc>
                <w:tcPr>
                  <w:tcW w:w="783" w:type="pct"/>
                  <w:noWrap w:val="0"/>
                  <w:vAlign w:val="center"/>
                </w:tcPr>
                <w:p w14:paraId="32C93B98">
                  <w:pPr>
                    <w:pStyle w:val="37"/>
                    <w:adjustRightInd/>
                    <w:spacing w:beforeLines="0" w:afterLines="0" w:line="240" w:lineRule="auto"/>
                    <w:rPr>
                      <w:rFonts w:hint="default"/>
                      <w:smallCaps/>
                      <w:color w:val="auto"/>
                      <w:szCs w:val="21"/>
                      <w:lang w:val="en-US" w:eastAsia="zh-CN"/>
                    </w:rPr>
                  </w:pPr>
                  <w:r>
                    <w:rPr>
                      <w:rFonts w:hint="eastAsia" w:ascii="Times New Roman" w:cs="宋体"/>
                      <w:snapToGrid w:val="0"/>
                      <w:color w:val="auto"/>
                      <w:kern w:val="21"/>
                      <w:szCs w:val="21"/>
                      <w:highlight w:val="none"/>
                      <w:lang w:val="en-US" w:eastAsia="zh-CN"/>
                    </w:rPr>
                    <w:t>0</w:t>
                  </w:r>
                </w:p>
              </w:tc>
              <w:tc>
                <w:tcPr>
                  <w:tcW w:w="492" w:type="pct"/>
                  <w:noWrap w:val="0"/>
                  <w:vAlign w:val="center"/>
                </w:tcPr>
                <w:p w14:paraId="7024E2D7">
                  <w:pPr>
                    <w:snapToGrid w:val="0"/>
                    <w:jc w:val="center"/>
                    <w:rPr>
                      <w:rFonts w:hint="default"/>
                      <w:smallCaps/>
                      <w:color w:val="auto"/>
                      <w:szCs w:val="21"/>
                      <w:lang w:val="en-US" w:eastAsia="zh-CN"/>
                    </w:rPr>
                  </w:pPr>
                  <w:r>
                    <w:rPr>
                      <w:rFonts w:hint="eastAsia" w:cs="宋体"/>
                      <w:color w:val="auto"/>
                      <w:kern w:val="2"/>
                      <w:sz w:val="21"/>
                      <w:szCs w:val="21"/>
                      <w:highlight w:val="none"/>
                      <w:lang w:val="en-US" w:eastAsia="zh-CN" w:bidi="ar-SA"/>
                    </w:rPr>
                    <w:t>0.185</w:t>
                  </w:r>
                </w:p>
              </w:tc>
              <w:tc>
                <w:tcPr>
                  <w:tcW w:w="325" w:type="pct"/>
                  <w:shd w:val="clear" w:color="auto" w:fill="auto"/>
                  <w:noWrap w:val="0"/>
                  <w:vAlign w:val="center"/>
                </w:tcPr>
                <w:p w14:paraId="2F224378">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+0.15</w:t>
                  </w:r>
                </w:p>
              </w:tc>
              <w:tc>
                <w:tcPr>
                  <w:tcW w:w="489" w:type="pct"/>
                  <w:shd w:val="clear" w:color="auto" w:fill="auto"/>
                  <w:noWrap w:val="0"/>
                  <w:vAlign w:val="center"/>
                </w:tcPr>
                <w:p w14:paraId="32F728D6">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+0.15</w:t>
                  </w:r>
                </w:p>
              </w:tc>
            </w:tr>
            <w:tr w14:paraId="2FCBE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restart"/>
                  <w:noWrap w:val="0"/>
                  <w:vAlign w:val="center"/>
                </w:tcPr>
                <w:p w14:paraId="18290677">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废水</w:t>
                  </w:r>
                </w:p>
              </w:tc>
              <w:tc>
                <w:tcPr>
                  <w:tcW w:w="392" w:type="pct"/>
                  <w:vMerge w:val="restart"/>
                  <w:noWrap w:val="0"/>
                  <w:vAlign w:val="center"/>
                </w:tcPr>
                <w:p w14:paraId="697E7280">
                  <w:pPr>
                    <w:keepNext w:val="0"/>
                    <w:keepLines w:val="0"/>
                    <w:pageBreakBefore w:val="0"/>
                    <w:widowControl/>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color w:val="auto"/>
                      <w:kern w:val="0"/>
                      <w:szCs w:val="21"/>
                    </w:rPr>
                    <w:t>生活污水</w:t>
                  </w:r>
                </w:p>
              </w:tc>
              <w:tc>
                <w:tcPr>
                  <w:tcW w:w="492" w:type="pct"/>
                  <w:noWrap w:val="0"/>
                  <w:vAlign w:val="center"/>
                </w:tcPr>
                <w:p w14:paraId="79F78081">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废水量</w:t>
                  </w:r>
                </w:p>
              </w:tc>
              <w:tc>
                <w:tcPr>
                  <w:tcW w:w="295" w:type="pct"/>
                  <w:noWrap w:val="0"/>
                  <w:vAlign w:val="center"/>
                </w:tcPr>
                <w:p w14:paraId="2274FB3E">
                  <w:pPr>
                    <w:keepNext w:val="0"/>
                    <w:keepLines w:val="0"/>
                    <w:pageBreakBefore w:val="0"/>
                    <w:widowControl/>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ascii="Times New Roman" w:cs="宋体"/>
                      <w:snapToGrid w:val="0"/>
                      <w:color w:val="auto"/>
                      <w:kern w:val="21"/>
                      <w:szCs w:val="21"/>
                      <w:highlight w:val="none"/>
                      <w:lang w:val="en-US" w:eastAsia="zh-CN"/>
                    </w:rPr>
                    <w:t>1920</w:t>
                  </w:r>
                </w:p>
              </w:tc>
              <w:tc>
                <w:tcPr>
                  <w:tcW w:w="295" w:type="pct"/>
                  <w:noWrap w:val="0"/>
                  <w:vAlign w:val="center"/>
                </w:tcPr>
                <w:p w14:paraId="5A0E67E5">
                  <w:pPr>
                    <w:keepNext w:val="0"/>
                    <w:keepLines w:val="0"/>
                    <w:pageBreakBefore w:val="0"/>
                    <w:widowControl/>
                    <w:kinsoku/>
                    <w:wordWrap/>
                    <w:overflowPunct/>
                    <w:topLinePunct w:val="0"/>
                    <w:autoSpaceDE/>
                    <w:autoSpaceDN/>
                    <w:bidi w:val="0"/>
                    <w:adjustRightInd/>
                    <w:snapToGrid/>
                    <w:jc w:val="center"/>
                    <w:rPr>
                      <w:rFonts w:hint="default"/>
                      <w:color w:val="auto"/>
                      <w:kern w:val="0"/>
                      <w:szCs w:val="21"/>
                      <w:lang w:val="en-US" w:eastAsia="zh-CN"/>
                    </w:rPr>
                  </w:pPr>
                  <w:r>
                    <w:rPr>
                      <w:rFonts w:hint="eastAsia"/>
                      <w:color w:val="auto"/>
                      <w:kern w:val="0"/>
                      <w:szCs w:val="21"/>
                      <w:lang w:val="en-US" w:eastAsia="zh-CN"/>
                    </w:rPr>
                    <w:t>0</w:t>
                  </w:r>
                </w:p>
              </w:tc>
              <w:tc>
                <w:tcPr>
                  <w:tcW w:w="301" w:type="pct"/>
                  <w:noWrap w:val="0"/>
                  <w:vAlign w:val="center"/>
                </w:tcPr>
                <w:p w14:paraId="79C02818">
                  <w:pPr>
                    <w:pStyle w:val="37"/>
                    <w:adjustRightInd/>
                    <w:spacing w:beforeLines="0" w:afterLines="0" w:line="240" w:lineRule="auto"/>
                    <w:rPr>
                      <w:rFonts w:hint="eastAsia"/>
                      <w:color w:val="auto"/>
                      <w:kern w:val="0"/>
                      <w:szCs w:val="21"/>
                      <w:lang w:val="en-US" w:eastAsia="zh-CN"/>
                    </w:rPr>
                  </w:pPr>
                  <w:r>
                    <w:rPr>
                      <w:rFonts w:hint="eastAsia" w:ascii="Times New Roman" w:cs="宋体"/>
                      <w:snapToGrid w:val="0"/>
                      <w:color w:val="auto"/>
                      <w:kern w:val="21"/>
                      <w:szCs w:val="21"/>
                      <w:highlight w:val="none"/>
                      <w:lang w:val="en-US" w:eastAsia="zh-CN"/>
                    </w:rPr>
                    <w:t>1920</w:t>
                  </w:r>
                </w:p>
              </w:tc>
              <w:tc>
                <w:tcPr>
                  <w:tcW w:w="320" w:type="pct"/>
                  <w:noWrap w:val="0"/>
                  <w:vAlign w:val="center"/>
                </w:tcPr>
                <w:p w14:paraId="7E9B9B4D">
                  <w:pPr>
                    <w:keepNext w:val="0"/>
                    <w:keepLines w:val="0"/>
                    <w:pageBreakBefore w:val="0"/>
                    <w:kinsoku/>
                    <w:wordWrap/>
                    <w:overflowPunct/>
                    <w:topLinePunct w:val="0"/>
                    <w:autoSpaceDE/>
                    <w:autoSpaceDN/>
                    <w:bidi w:val="0"/>
                    <w:adjustRightInd/>
                    <w:snapToGrid/>
                    <w:jc w:val="center"/>
                    <w:rPr>
                      <w:rFonts w:ascii="Times New Roman"/>
                      <w:bCs/>
                      <w:color w:val="auto"/>
                      <w:szCs w:val="21"/>
                      <w:lang w:val="en-US" w:eastAsia="zh-CN"/>
                    </w:rPr>
                  </w:pPr>
                  <w:r>
                    <w:rPr>
                      <w:rFonts w:hint="eastAsia"/>
                      <w:color w:val="auto"/>
                      <w:kern w:val="0"/>
                      <w:szCs w:val="21"/>
                    </w:rPr>
                    <w:t>0</w:t>
                  </w:r>
                </w:p>
              </w:tc>
              <w:tc>
                <w:tcPr>
                  <w:tcW w:w="320" w:type="pct"/>
                  <w:noWrap w:val="0"/>
                  <w:vAlign w:val="center"/>
                </w:tcPr>
                <w:p w14:paraId="75968E6E">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4AC17C65">
                  <w:pPr>
                    <w:keepNext w:val="0"/>
                    <w:keepLines w:val="0"/>
                    <w:pageBreakBefore w:val="0"/>
                    <w:kinsoku/>
                    <w:wordWrap/>
                    <w:overflowPunct/>
                    <w:topLinePunct w:val="0"/>
                    <w:autoSpaceDE/>
                    <w:autoSpaceDN/>
                    <w:bidi w:val="0"/>
                    <w:adjustRightInd/>
                    <w:snapToGrid/>
                    <w:jc w:val="center"/>
                    <w:rPr>
                      <w:rFonts w:ascii="Times New Roman"/>
                      <w:bCs/>
                      <w:color w:val="auto"/>
                      <w:szCs w:val="21"/>
                      <w:lang w:val="en-US" w:eastAsia="zh-CN"/>
                    </w:rPr>
                  </w:pPr>
                  <w:r>
                    <w:rPr>
                      <w:rFonts w:hint="eastAsia"/>
                      <w:color w:val="auto"/>
                      <w:kern w:val="0"/>
                      <w:szCs w:val="21"/>
                    </w:rPr>
                    <w:t>0</w:t>
                  </w:r>
                </w:p>
              </w:tc>
              <w:tc>
                <w:tcPr>
                  <w:tcW w:w="783" w:type="pct"/>
                  <w:noWrap w:val="0"/>
                  <w:vAlign w:val="center"/>
                </w:tcPr>
                <w:p w14:paraId="3B6F317E">
                  <w:pPr>
                    <w:keepNext w:val="0"/>
                    <w:keepLines w:val="0"/>
                    <w:pageBreakBefore w:val="0"/>
                    <w:kinsoku/>
                    <w:wordWrap/>
                    <w:overflowPunct/>
                    <w:topLinePunct w:val="0"/>
                    <w:autoSpaceDE/>
                    <w:autoSpaceDN/>
                    <w:bidi w:val="0"/>
                    <w:adjustRightInd/>
                    <w:snapToGrid/>
                    <w:jc w:val="center"/>
                    <w:rPr>
                      <w:rFonts w:hint="default" w:ascii="Times New Roman"/>
                      <w:bCs/>
                      <w:color w:val="auto"/>
                      <w:szCs w:val="21"/>
                      <w:lang w:val="en-US" w:eastAsia="zh-CN"/>
                    </w:rPr>
                  </w:pPr>
                  <w:r>
                    <w:rPr>
                      <w:rFonts w:hint="eastAsia"/>
                      <w:color w:val="auto"/>
                      <w:kern w:val="0"/>
                      <w:szCs w:val="21"/>
                    </w:rPr>
                    <w:t>0</w:t>
                  </w:r>
                </w:p>
              </w:tc>
              <w:tc>
                <w:tcPr>
                  <w:tcW w:w="492" w:type="pct"/>
                  <w:noWrap w:val="0"/>
                  <w:vAlign w:val="center"/>
                </w:tcPr>
                <w:p w14:paraId="40622AC0">
                  <w:pPr>
                    <w:pStyle w:val="37"/>
                    <w:adjustRightInd/>
                    <w:spacing w:beforeLines="0" w:afterLines="0" w:line="240" w:lineRule="auto"/>
                    <w:rPr>
                      <w:rFonts w:hint="eastAsia" w:ascii="Times New Roman"/>
                      <w:bCs/>
                      <w:color w:val="auto"/>
                      <w:szCs w:val="21"/>
                      <w:lang w:val="en-US" w:eastAsia="zh-CN"/>
                    </w:rPr>
                  </w:pPr>
                  <w:r>
                    <w:rPr>
                      <w:rFonts w:hint="eastAsia" w:ascii="Times New Roman" w:cs="宋体"/>
                      <w:snapToGrid w:val="0"/>
                      <w:color w:val="auto"/>
                      <w:kern w:val="21"/>
                      <w:szCs w:val="21"/>
                      <w:highlight w:val="none"/>
                      <w:lang w:val="en-US" w:eastAsia="zh-CN"/>
                    </w:rPr>
                    <w:t>1920</w:t>
                  </w:r>
                </w:p>
              </w:tc>
              <w:tc>
                <w:tcPr>
                  <w:tcW w:w="325" w:type="pct"/>
                  <w:noWrap w:val="0"/>
                  <w:vAlign w:val="center"/>
                </w:tcPr>
                <w:p w14:paraId="58777684">
                  <w:pPr>
                    <w:keepNext w:val="0"/>
                    <w:keepLines w:val="0"/>
                    <w:pageBreakBefore w:val="0"/>
                    <w:kinsoku/>
                    <w:wordWrap/>
                    <w:overflowPunct/>
                    <w:topLinePunct w:val="0"/>
                    <w:autoSpaceDE/>
                    <w:autoSpaceDN/>
                    <w:bidi w:val="0"/>
                    <w:adjustRightInd/>
                    <w:snapToGrid/>
                    <w:jc w:val="center"/>
                    <w:rPr>
                      <w:rFonts w:hint="eastAsia" w:ascii="Times New Roman"/>
                      <w:bCs/>
                      <w:color w:val="auto"/>
                      <w:kern w:val="0"/>
                      <w:sz w:val="21"/>
                      <w:szCs w:val="21"/>
                      <w:lang w:val="en-US" w:eastAsia="zh-CN" w:bidi="ar-SA"/>
                    </w:rPr>
                  </w:pPr>
                  <w:r>
                    <w:rPr>
                      <w:rFonts w:hint="eastAsia"/>
                      <w:color w:val="auto"/>
                      <w:kern w:val="0"/>
                      <w:szCs w:val="21"/>
                    </w:rPr>
                    <w:t>0</w:t>
                  </w:r>
                </w:p>
              </w:tc>
              <w:tc>
                <w:tcPr>
                  <w:tcW w:w="489" w:type="pct"/>
                  <w:noWrap w:val="0"/>
                  <w:vAlign w:val="center"/>
                </w:tcPr>
                <w:p w14:paraId="1603C91C">
                  <w:pPr>
                    <w:keepNext w:val="0"/>
                    <w:keepLines w:val="0"/>
                    <w:pageBreakBefore w:val="0"/>
                    <w:kinsoku/>
                    <w:wordWrap/>
                    <w:overflowPunct/>
                    <w:topLinePunct w:val="0"/>
                    <w:autoSpaceDE/>
                    <w:autoSpaceDN/>
                    <w:bidi w:val="0"/>
                    <w:adjustRightInd/>
                    <w:snapToGrid/>
                    <w:jc w:val="center"/>
                    <w:rPr>
                      <w:rFonts w:ascii="Times New Roman"/>
                      <w:bCs/>
                      <w:color w:val="auto"/>
                      <w:szCs w:val="21"/>
                      <w:lang w:val="en-US" w:eastAsia="zh-CN"/>
                    </w:rPr>
                  </w:pPr>
                  <w:r>
                    <w:rPr>
                      <w:rFonts w:hint="eastAsia"/>
                      <w:color w:val="auto"/>
                      <w:kern w:val="0"/>
                      <w:szCs w:val="21"/>
                    </w:rPr>
                    <w:t>0</w:t>
                  </w:r>
                </w:p>
              </w:tc>
            </w:tr>
            <w:tr w14:paraId="7ACD8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56E748A0">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4F7BCBCC">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281BE76E">
                  <w:pPr>
                    <w:keepNext w:val="0"/>
                    <w:keepLines w:val="0"/>
                    <w:pageBreakBefore w:val="0"/>
                    <w:tabs>
                      <w:tab w:val="left" w:pos="2110"/>
                    </w:tabs>
                    <w:kinsoku/>
                    <w:wordWrap/>
                    <w:overflowPunct/>
                    <w:topLinePunct w:val="0"/>
                    <w:autoSpaceDE/>
                    <w:autoSpaceDN/>
                    <w:bidi w:val="0"/>
                    <w:adjustRightInd/>
                    <w:snapToGrid/>
                    <w:jc w:val="center"/>
                    <w:rPr>
                      <w:color w:val="auto"/>
                      <w:szCs w:val="21"/>
                    </w:rPr>
                  </w:pPr>
                  <w:r>
                    <w:rPr>
                      <w:color w:val="auto"/>
                      <w:szCs w:val="21"/>
                    </w:rPr>
                    <w:t>COD</w:t>
                  </w:r>
                </w:p>
              </w:tc>
              <w:tc>
                <w:tcPr>
                  <w:tcW w:w="295" w:type="pct"/>
                  <w:noWrap w:val="0"/>
                  <w:vAlign w:val="center"/>
                </w:tcPr>
                <w:p w14:paraId="442DDEB9">
                  <w:pPr>
                    <w:pStyle w:val="37"/>
                    <w:adjustRightInd/>
                    <w:spacing w:beforeLines="0" w:afterLines="0" w:line="240" w:lineRule="auto"/>
                    <w:rPr>
                      <w:rFonts w:hint="default" w:eastAsia="宋体"/>
                      <w:color w:val="auto"/>
                      <w:szCs w:val="21"/>
                      <w:lang w:val="en-US" w:eastAsia="zh-CN"/>
                    </w:rPr>
                  </w:pPr>
                  <w:r>
                    <w:rPr>
                      <w:rFonts w:hint="eastAsia" w:ascii="Times New Roman" w:cs="宋体"/>
                      <w:snapToGrid w:val="0"/>
                      <w:color w:val="auto"/>
                      <w:kern w:val="21"/>
                      <w:szCs w:val="21"/>
                      <w:highlight w:val="none"/>
                      <w:lang w:val="en-US" w:eastAsia="zh-CN"/>
                    </w:rPr>
                    <w:t>0.96</w:t>
                  </w:r>
                </w:p>
              </w:tc>
              <w:tc>
                <w:tcPr>
                  <w:tcW w:w="295" w:type="pct"/>
                  <w:noWrap w:val="0"/>
                  <w:vAlign w:val="center"/>
                </w:tcPr>
                <w:p w14:paraId="7696D794">
                  <w:pPr>
                    <w:keepNext w:val="0"/>
                    <w:keepLines w:val="0"/>
                    <w:pageBreakBefore w:val="0"/>
                    <w:tabs>
                      <w:tab w:val="left" w:pos="2110"/>
                    </w:tabs>
                    <w:kinsoku/>
                    <w:wordWrap/>
                    <w:overflowPunct/>
                    <w:topLinePunct w:val="0"/>
                    <w:autoSpaceDE/>
                    <w:autoSpaceDN/>
                    <w:bidi w:val="0"/>
                    <w:adjustRightInd/>
                    <w:snapToGrid/>
                    <w:jc w:val="center"/>
                    <w:rPr>
                      <w:rFonts w:hint="default"/>
                      <w:color w:val="auto"/>
                      <w:szCs w:val="21"/>
                      <w:lang w:val="en-US" w:eastAsia="zh-CN"/>
                    </w:rPr>
                  </w:pPr>
                  <w:r>
                    <w:rPr>
                      <w:rFonts w:hint="eastAsia"/>
                      <w:color w:val="auto"/>
                      <w:szCs w:val="21"/>
                      <w:lang w:val="en-US" w:eastAsia="zh-CN"/>
                    </w:rPr>
                    <w:t>0</w:t>
                  </w:r>
                </w:p>
              </w:tc>
              <w:tc>
                <w:tcPr>
                  <w:tcW w:w="301" w:type="pct"/>
                  <w:noWrap w:val="0"/>
                  <w:vAlign w:val="center"/>
                </w:tcPr>
                <w:p w14:paraId="21A7DCD4">
                  <w:pPr>
                    <w:pStyle w:val="37"/>
                    <w:adjustRightInd/>
                    <w:spacing w:beforeLines="0" w:afterLines="0" w:line="240" w:lineRule="auto"/>
                    <w:rPr>
                      <w:rFonts w:hint="eastAsia"/>
                      <w:color w:val="auto"/>
                      <w:szCs w:val="21"/>
                      <w:lang w:val="en-US" w:eastAsia="zh-CN"/>
                    </w:rPr>
                  </w:pPr>
                  <w:r>
                    <w:rPr>
                      <w:rFonts w:hint="eastAsia" w:ascii="Times New Roman" w:cs="宋体"/>
                      <w:snapToGrid w:val="0"/>
                      <w:color w:val="auto"/>
                      <w:kern w:val="21"/>
                      <w:szCs w:val="21"/>
                      <w:highlight w:val="none"/>
                      <w:lang w:val="en-US" w:eastAsia="zh-CN"/>
                    </w:rPr>
                    <w:t>0.96</w:t>
                  </w:r>
                </w:p>
              </w:tc>
              <w:tc>
                <w:tcPr>
                  <w:tcW w:w="320" w:type="pct"/>
                  <w:noWrap w:val="0"/>
                  <w:vAlign w:val="center"/>
                </w:tcPr>
                <w:p w14:paraId="34559B26">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320" w:type="pct"/>
                  <w:noWrap w:val="0"/>
                  <w:vAlign w:val="center"/>
                </w:tcPr>
                <w:p w14:paraId="312CEAF6">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060CCE37">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783" w:type="pct"/>
                  <w:noWrap w:val="0"/>
                  <w:vAlign w:val="center"/>
                </w:tcPr>
                <w:p w14:paraId="46E41CAB">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bidi="ar"/>
                    </w:rPr>
                  </w:pPr>
                  <w:r>
                    <w:rPr>
                      <w:rFonts w:hint="eastAsia"/>
                      <w:color w:val="auto"/>
                      <w:kern w:val="0"/>
                      <w:szCs w:val="21"/>
                    </w:rPr>
                    <w:t>0</w:t>
                  </w:r>
                </w:p>
              </w:tc>
              <w:tc>
                <w:tcPr>
                  <w:tcW w:w="492" w:type="pct"/>
                  <w:noWrap w:val="0"/>
                  <w:vAlign w:val="center"/>
                </w:tcPr>
                <w:p w14:paraId="65E76914">
                  <w:pPr>
                    <w:pStyle w:val="37"/>
                    <w:adjustRightInd/>
                    <w:spacing w:beforeLines="0" w:afterLines="0" w:line="240" w:lineRule="auto"/>
                    <w:rPr>
                      <w:rFonts w:hint="eastAsia"/>
                      <w:color w:val="auto"/>
                      <w:kern w:val="0"/>
                      <w:szCs w:val="21"/>
                      <w:lang w:bidi="ar"/>
                    </w:rPr>
                  </w:pPr>
                  <w:r>
                    <w:rPr>
                      <w:rFonts w:hint="eastAsia" w:ascii="Times New Roman" w:cs="宋体"/>
                      <w:snapToGrid w:val="0"/>
                      <w:color w:val="auto"/>
                      <w:kern w:val="21"/>
                      <w:szCs w:val="21"/>
                      <w:highlight w:val="none"/>
                      <w:lang w:val="en-US" w:eastAsia="zh-CN"/>
                    </w:rPr>
                    <w:t>0.96</w:t>
                  </w:r>
                </w:p>
              </w:tc>
              <w:tc>
                <w:tcPr>
                  <w:tcW w:w="325" w:type="pct"/>
                  <w:noWrap w:val="0"/>
                  <w:vAlign w:val="center"/>
                </w:tcPr>
                <w:p w14:paraId="1C39C487">
                  <w:pPr>
                    <w:keepNext w:val="0"/>
                    <w:keepLines w:val="0"/>
                    <w:pageBreakBefore w:val="0"/>
                    <w:kinsoku/>
                    <w:wordWrap/>
                    <w:overflowPunct/>
                    <w:topLinePunct w:val="0"/>
                    <w:autoSpaceDE/>
                    <w:autoSpaceDN/>
                    <w:bidi w:val="0"/>
                    <w:adjustRightInd/>
                    <w:snapToGrid/>
                    <w:jc w:val="center"/>
                    <w:rPr>
                      <w:rFonts w:hint="eastAsia"/>
                      <w:color w:val="auto"/>
                      <w:kern w:val="0"/>
                      <w:sz w:val="21"/>
                      <w:szCs w:val="21"/>
                      <w:lang w:val="en-US" w:eastAsia="zh-CN" w:bidi="ar"/>
                    </w:rPr>
                  </w:pPr>
                  <w:r>
                    <w:rPr>
                      <w:rFonts w:hint="eastAsia"/>
                      <w:color w:val="auto"/>
                      <w:kern w:val="0"/>
                      <w:szCs w:val="21"/>
                    </w:rPr>
                    <w:t>0</w:t>
                  </w:r>
                </w:p>
              </w:tc>
              <w:tc>
                <w:tcPr>
                  <w:tcW w:w="489" w:type="pct"/>
                  <w:noWrap w:val="0"/>
                  <w:vAlign w:val="center"/>
                </w:tcPr>
                <w:p w14:paraId="7810BDBF">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r>
            <w:tr w14:paraId="7C9DB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4C329050">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6509FA4B">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5CB8F2AC">
                  <w:pPr>
                    <w:keepNext w:val="0"/>
                    <w:keepLines w:val="0"/>
                    <w:pageBreakBefore w:val="0"/>
                    <w:tabs>
                      <w:tab w:val="left" w:pos="2110"/>
                    </w:tabs>
                    <w:kinsoku/>
                    <w:wordWrap/>
                    <w:overflowPunct/>
                    <w:topLinePunct w:val="0"/>
                    <w:autoSpaceDE/>
                    <w:autoSpaceDN/>
                    <w:bidi w:val="0"/>
                    <w:adjustRightInd/>
                    <w:snapToGrid/>
                    <w:jc w:val="center"/>
                    <w:rPr>
                      <w:color w:val="auto"/>
                      <w:szCs w:val="21"/>
                    </w:rPr>
                  </w:pPr>
                  <w:r>
                    <w:rPr>
                      <w:color w:val="auto"/>
                      <w:szCs w:val="21"/>
                    </w:rPr>
                    <w:t>SS</w:t>
                  </w:r>
                </w:p>
              </w:tc>
              <w:tc>
                <w:tcPr>
                  <w:tcW w:w="295" w:type="pct"/>
                  <w:noWrap w:val="0"/>
                  <w:vAlign w:val="center"/>
                </w:tcPr>
                <w:p w14:paraId="0CF66EEA">
                  <w:pPr>
                    <w:pStyle w:val="37"/>
                    <w:adjustRightInd/>
                    <w:spacing w:beforeLines="0" w:afterLines="0" w:line="240" w:lineRule="auto"/>
                    <w:rPr>
                      <w:rFonts w:hint="default" w:eastAsia="宋体"/>
                      <w:color w:val="auto"/>
                      <w:szCs w:val="21"/>
                      <w:lang w:val="en-US" w:eastAsia="zh-CN"/>
                    </w:rPr>
                  </w:pPr>
                  <w:r>
                    <w:rPr>
                      <w:rFonts w:hint="eastAsia" w:ascii="Times New Roman" w:cs="宋体"/>
                      <w:snapToGrid w:val="0"/>
                      <w:color w:val="auto"/>
                      <w:kern w:val="21"/>
                      <w:szCs w:val="21"/>
                      <w:highlight w:val="none"/>
                      <w:lang w:val="en-US" w:eastAsia="zh-CN"/>
                    </w:rPr>
                    <w:t>0.48</w:t>
                  </w:r>
                </w:p>
              </w:tc>
              <w:tc>
                <w:tcPr>
                  <w:tcW w:w="295" w:type="pct"/>
                  <w:noWrap w:val="0"/>
                  <w:vAlign w:val="center"/>
                </w:tcPr>
                <w:p w14:paraId="1412B484">
                  <w:pPr>
                    <w:keepNext w:val="0"/>
                    <w:keepLines w:val="0"/>
                    <w:pageBreakBefore w:val="0"/>
                    <w:tabs>
                      <w:tab w:val="left" w:pos="2110"/>
                    </w:tabs>
                    <w:kinsoku/>
                    <w:wordWrap/>
                    <w:overflowPunct/>
                    <w:topLinePunct w:val="0"/>
                    <w:autoSpaceDE/>
                    <w:autoSpaceDN/>
                    <w:bidi w:val="0"/>
                    <w:adjustRightInd/>
                    <w:snapToGrid/>
                    <w:jc w:val="center"/>
                    <w:rPr>
                      <w:rFonts w:hint="default"/>
                      <w:color w:val="auto"/>
                      <w:szCs w:val="21"/>
                      <w:lang w:val="en-US" w:eastAsia="zh-CN"/>
                    </w:rPr>
                  </w:pPr>
                  <w:r>
                    <w:rPr>
                      <w:rFonts w:hint="eastAsia"/>
                      <w:color w:val="auto"/>
                      <w:szCs w:val="21"/>
                      <w:lang w:val="en-US" w:eastAsia="zh-CN"/>
                    </w:rPr>
                    <w:t>0</w:t>
                  </w:r>
                </w:p>
              </w:tc>
              <w:tc>
                <w:tcPr>
                  <w:tcW w:w="301" w:type="pct"/>
                  <w:noWrap w:val="0"/>
                  <w:vAlign w:val="center"/>
                </w:tcPr>
                <w:p w14:paraId="401154D9">
                  <w:pPr>
                    <w:pStyle w:val="37"/>
                    <w:adjustRightInd/>
                    <w:spacing w:beforeLines="0" w:afterLines="0" w:line="240" w:lineRule="auto"/>
                    <w:rPr>
                      <w:rFonts w:hint="eastAsia"/>
                      <w:color w:val="auto"/>
                      <w:szCs w:val="21"/>
                      <w:lang w:val="en-US" w:eastAsia="zh-CN"/>
                    </w:rPr>
                  </w:pPr>
                  <w:r>
                    <w:rPr>
                      <w:rFonts w:hint="eastAsia" w:ascii="Times New Roman" w:cs="宋体"/>
                      <w:snapToGrid w:val="0"/>
                      <w:color w:val="auto"/>
                      <w:kern w:val="21"/>
                      <w:szCs w:val="21"/>
                      <w:highlight w:val="none"/>
                      <w:lang w:val="en-US" w:eastAsia="zh-CN"/>
                    </w:rPr>
                    <w:t>0.48</w:t>
                  </w:r>
                </w:p>
              </w:tc>
              <w:tc>
                <w:tcPr>
                  <w:tcW w:w="320" w:type="pct"/>
                  <w:noWrap w:val="0"/>
                  <w:vAlign w:val="center"/>
                </w:tcPr>
                <w:p w14:paraId="7FD2D7C5">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320" w:type="pct"/>
                  <w:noWrap w:val="0"/>
                  <w:vAlign w:val="center"/>
                </w:tcPr>
                <w:p w14:paraId="2050544F">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049B6561">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783" w:type="pct"/>
                  <w:noWrap w:val="0"/>
                  <w:vAlign w:val="center"/>
                </w:tcPr>
                <w:p w14:paraId="2ADCE9F6">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bidi="ar"/>
                    </w:rPr>
                  </w:pPr>
                  <w:r>
                    <w:rPr>
                      <w:rFonts w:hint="eastAsia"/>
                      <w:color w:val="auto"/>
                      <w:kern w:val="0"/>
                      <w:szCs w:val="21"/>
                    </w:rPr>
                    <w:t>0</w:t>
                  </w:r>
                </w:p>
              </w:tc>
              <w:tc>
                <w:tcPr>
                  <w:tcW w:w="492" w:type="pct"/>
                  <w:noWrap w:val="0"/>
                  <w:vAlign w:val="center"/>
                </w:tcPr>
                <w:p w14:paraId="4129DC00">
                  <w:pPr>
                    <w:pStyle w:val="37"/>
                    <w:adjustRightInd/>
                    <w:spacing w:beforeLines="0" w:afterLines="0" w:line="240" w:lineRule="auto"/>
                    <w:rPr>
                      <w:rFonts w:hint="eastAsia"/>
                      <w:color w:val="auto"/>
                      <w:kern w:val="0"/>
                      <w:szCs w:val="21"/>
                      <w:lang w:bidi="ar"/>
                    </w:rPr>
                  </w:pPr>
                  <w:r>
                    <w:rPr>
                      <w:rFonts w:hint="eastAsia" w:ascii="Times New Roman" w:cs="宋体"/>
                      <w:snapToGrid w:val="0"/>
                      <w:color w:val="auto"/>
                      <w:kern w:val="21"/>
                      <w:szCs w:val="21"/>
                      <w:highlight w:val="none"/>
                      <w:lang w:val="en-US" w:eastAsia="zh-CN"/>
                    </w:rPr>
                    <w:t>0.48</w:t>
                  </w:r>
                </w:p>
              </w:tc>
              <w:tc>
                <w:tcPr>
                  <w:tcW w:w="325" w:type="pct"/>
                  <w:noWrap w:val="0"/>
                  <w:vAlign w:val="center"/>
                </w:tcPr>
                <w:p w14:paraId="4365FF1B">
                  <w:pPr>
                    <w:keepNext w:val="0"/>
                    <w:keepLines w:val="0"/>
                    <w:pageBreakBefore w:val="0"/>
                    <w:kinsoku/>
                    <w:wordWrap/>
                    <w:overflowPunct/>
                    <w:topLinePunct w:val="0"/>
                    <w:autoSpaceDE/>
                    <w:autoSpaceDN/>
                    <w:bidi w:val="0"/>
                    <w:adjustRightInd/>
                    <w:snapToGrid/>
                    <w:jc w:val="center"/>
                    <w:rPr>
                      <w:rFonts w:hint="eastAsia"/>
                      <w:color w:val="auto"/>
                      <w:kern w:val="0"/>
                      <w:sz w:val="21"/>
                      <w:szCs w:val="21"/>
                      <w:lang w:val="en-US" w:eastAsia="zh-CN" w:bidi="ar"/>
                    </w:rPr>
                  </w:pPr>
                  <w:r>
                    <w:rPr>
                      <w:rFonts w:hint="eastAsia"/>
                      <w:color w:val="auto"/>
                      <w:kern w:val="0"/>
                      <w:szCs w:val="21"/>
                    </w:rPr>
                    <w:t>0</w:t>
                  </w:r>
                </w:p>
              </w:tc>
              <w:tc>
                <w:tcPr>
                  <w:tcW w:w="489" w:type="pct"/>
                  <w:noWrap w:val="0"/>
                  <w:vAlign w:val="center"/>
                </w:tcPr>
                <w:p w14:paraId="3D644476">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r>
            <w:tr w14:paraId="5D2B1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377302A7">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6339691E">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7DD2BC60">
                  <w:pPr>
                    <w:keepNext w:val="0"/>
                    <w:keepLines w:val="0"/>
                    <w:pageBreakBefore w:val="0"/>
                    <w:tabs>
                      <w:tab w:val="left" w:pos="2110"/>
                    </w:tabs>
                    <w:kinsoku/>
                    <w:wordWrap/>
                    <w:overflowPunct/>
                    <w:topLinePunct w:val="0"/>
                    <w:autoSpaceDE/>
                    <w:autoSpaceDN/>
                    <w:bidi w:val="0"/>
                    <w:adjustRightInd/>
                    <w:snapToGrid/>
                    <w:jc w:val="center"/>
                    <w:rPr>
                      <w:color w:val="auto"/>
                      <w:szCs w:val="21"/>
                    </w:rPr>
                  </w:pPr>
                  <w:r>
                    <w:rPr>
                      <w:color w:val="auto"/>
                      <w:szCs w:val="21"/>
                    </w:rPr>
                    <w:t>NH</w:t>
                  </w:r>
                  <w:r>
                    <w:rPr>
                      <w:color w:val="auto"/>
                      <w:szCs w:val="21"/>
                      <w:vertAlign w:val="subscript"/>
                    </w:rPr>
                    <w:t>3</w:t>
                  </w:r>
                  <w:r>
                    <w:rPr>
                      <w:color w:val="auto"/>
                      <w:szCs w:val="21"/>
                    </w:rPr>
                    <w:t>-N</w:t>
                  </w:r>
                </w:p>
              </w:tc>
              <w:tc>
                <w:tcPr>
                  <w:tcW w:w="295" w:type="pct"/>
                  <w:noWrap w:val="0"/>
                  <w:vAlign w:val="center"/>
                </w:tcPr>
                <w:p w14:paraId="68BD6F69">
                  <w:pPr>
                    <w:pStyle w:val="37"/>
                    <w:adjustRightInd/>
                    <w:spacing w:beforeLines="0" w:afterLines="0" w:line="240" w:lineRule="auto"/>
                    <w:rPr>
                      <w:rFonts w:hint="default" w:eastAsia="宋体"/>
                      <w:color w:val="auto"/>
                      <w:szCs w:val="21"/>
                      <w:lang w:val="en-US" w:eastAsia="zh-CN"/>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295" w:type="pct"/>
                  <w:noWrap w:val="0"/>
                  <w:vAlign w:val="center"/>
                </w:tcPr>
                <w:p w14:paraId="28BDBFCB">
                  <w:pPr>
                    <w:keepNext w:val="0"/>
                    <w:keepLines w:val="0"/>
                    <w:pageBreakBefore w:val="0"/>
                    <w:tabs>
                      <w:tab w:val="left" w:pos="2110"/>
                    </w:tabs>
                    <w:kinsoku/>
                    <w:wordWrap/>
                    <w:overflowPunct/>
                    <w:topLinePunct w:val="0"/>
                    <w:autoSpaceDE/>
                    <w:autoSpaceDN/>
                    <w:bidi w:val="0"/>
                    <w:adjustRightInd/>
                    <w:snapToGrid/>
                    <w:jc w:val="center"/>
                    <w:rPr>
                      <w:rFonts w:hint="default"/>
                      <w:color w:val="auto"/>
                      <w:szCs w:val="21"/>
                      <w:lang w:val="en-US" w:eastAsia="zh-CN"/>
                    </w:rPr>
                  </w:pPr>
                  <w:r>
                    <w:rPr>
                      <w:rFonts w:hint="eastAsia"/>
                      <w:color w:val="auto"/>
                      <w:szCs w:val="21"/>
                      <w:lang w:val="en-US" w:eastAsia="zh-CN"/>
                    </w:rPr>
                    <w:t>0</w:t>
                  </w:r>
                </w:p>
              </w:tc>
              <w:tc>
                <w:tcPr>
                  <w:tcW w:w="301" w:type="pct"/>
                  <w:noWrap w:val="0"/>
                  <w:vAlign w:val="center"/>
                </w:tcPr>
                <w:p w14:paraId="70EC3ED0">
                  <w:pPr>
                    <w:pStyle w:val="37"/>
                    <w:adjustRightInd/>
                    <w:spacing w:beforeLines="0" w:afterLines="0" w:line="240" w:lineRule="auto"/>
                    <w:rPr>
                      <w:rFonts w:hint="eastAsia"/>
                      <w:color w:val="auto"/>
                      <w:szCs w:val="21"/>
                      <w:lang w:val="en-US" w:eastAsia="zh-CN"/>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320" w:type="pct"/>
                  <w:noWrap w:val="0"/>
                  <w:vAlign w:val="center"/>
                </w:tcPr>
                <w:p w14:paraId="3EB5A232">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320" w:type="pct"/>
                  <w:noWrap w:val="0"/>
                  <w:vAlign w:val="center"/>
                </w:tcPr>
                <w:p w14:paraId="21652733">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284622DA">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783" w:type="pct"/>
                  <w:noWrap w:val="0"/>
                  <w:vAlign w:val="center"/>
                </w:tcPr>
                <w:p w14:paraId="43F6D804">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bidi="ar"/>
                    </w:rPr>
                  </w:pPr>
                  <w:r>
                    <w:rPr>
                      <w:rFonts w:hint="eastAsia"/>
                      <w:color w:val="auto"/>
                      <w:kern w:val="0"/>
                      <w:szCs w:val="21"/>
                    </w:rPr>
                    <w:t>0</w:t>
                  </w:r>
                </w:p>
              </w:tc>
              <w:tc>
                <w:tcPr>
                  <w:tcW w:w="492" w:type="pct"/>
                  <w:noWrap w:val="0"/>
                  <w:vAlign w:val="center"/>
                </w:tcPr>
                <w:p w14:paraId="6EC61150">
                  <w:pPr>
                    <w:pStyle w:val="37"/>
                    <w:adjustRightInd/>
                    <w:spacing w:beforeLines="0" w:afterLines="0" w:line="240" w:lineRule="auto"/>
                    <w:rPr>
                      <w:rFonts w:hint="eastAsia"/>
                      <w:color w:val="auto"/>
                      <w:kern w:val="0"/>
                      <w:szCs w:val="21"/>
                      <w:lang w:bidi="ar"/>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325" w:type="pct"/>
                  <w:noWrap w:val="0"/>
                  <w:vAlign w:val="center"/>
                </w:tcPr>
                <w:p w14:paraId="072C3154">
                  <w:pPr>
                    <w:keepNext w:val="0"/>
                    <w:keepLines w:val="0"/>
                    <w:pageBreakBefore w:val="0"/>
                    <w:kinsoku/>
                    <w:wordWrap/>
                    <w:overflowPunct/>
                    <w:topLinePunct w:val="0"/>
                    <w:autoSpaceDE/>
                    <w:autoSpaceDN/>
                    <w:bidi w:val="0"/>
                    <w:adjustRightInd/>
                    <w:snapToGrid/>
                    <w:jc w:val="center"/>
                    <w:rPr>
                      <w:rFonts w:hint="eastAsia"/>
                      <w:color w:val="auto"/>
                      <w:kern w:val="0"/>
                      <w:sz w:val="21"/>
                      <w:szCs w:val="21"/>
                      <w:lang w:val="en-US" w:eastAsia="zh-CN" w:bidi="ar"/>
                    </w:rPr>
                  </w:pPr>
                  <w:r>
                    <w:rPr>
                      <w:rFonts w:hint="eastAsia"/>
                      <w:color w:val="auto"/>
                      <w:kern w:val="0"/>
                      <w:szCs w:val="21"/>
                    </w:rPr>
                    <w:t>0</w:t>
                  </w:r>
                </w:p>
              </w:tc>
              <w:tc>
                <w:tcPr>
                  <w:tcW w:w="489" w:type="pct"/>
                  <w:noWrap w:val="0"/>
                  <w:vAlign w:val="center"/>
                </w:tcPr>
                <w:p w14:paraId="53792A7F">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r>
            <w:tr w14:paraId="73D5A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61BE504C">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1EB2BFDF">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4BDEED7F">
                  <w:pPr>
                    <w:keepNext w:val="0"/>
                    <w:keepLines w:val="0"/>
                    <w:pageBreakBefore w:val="0"/>
                    <w:tabs>
                      <w:tab w:val="left" w:pos="2110"/>
                    </w:tabs>
                    <w:kinsoku/>
                    <w:wordWrap/>
                    <w:overflowPunct/>
                    <w:topLinePunct w:val="0"/>
                    <w:autoSpaceDE/>
                    <w:autoSpaceDN/>
                    <w:bidi w:val="0"/>
                    <w:adjustRightInd/>
                    <w:snapToGrid/>
                    <w:jc w:val="center"/>
                    <w:rPr>
                      <w:color w:val="auto"/>
                      <w:szCs w:val="21"/>
                    </w:rPr>
                  </w:pPr>
                  <w:r>
                    <w:rPr>
                      <w:color w:val="auto"/>
                      <w:szCs w:val="21"/>
                    </w:rPr>
                    <w:t>TP</w:t>
                  </w:r>
                </w:p>
              </w:tc>
              <w:tc>
                <w:tcPr>
                  <w:tcW w:w="295" w:type="pct"/>
                  <w:noWrap w:val="0"/>
                  <w:vAlign w:val="center"/>
                </w:tcPr>
                <w:p w14:paraId="500D7F4E">
                  <w:pPr>
                    <w:pStyle w:val="37"/>
                    <w:adjustRightInd/>
                    <w:spacing w:beforeLines="0" w:afterLines="0" w:line="240" w:lineRule="auto"/>
                    <w:rPr>
                      <w:rFonts w:hint="default" w:eastAsia="宋体"/>
                      <w:color w:val="auto"/>
                      <w:szCs w:val="21"/>
                      <w:lang w:val="en-US" w:eastAsia="zh-CN"/>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295" w:type="pct"/>
                  <w:noWrap w:val="0"/>
                  <w:vAlign w:val="center"/>
                </w:tcPr>
                <w:p w14:paraId="23EA0F0E">
                  <w:pPr>
                    <w:keepNext w:val="0"/>
                    <w:keepLines w:val="0"/>
                    <w:pageBreakBefore w:val="0"/>
                    <w:tabs>
                      <w:tab w:val="left" w:pos="2110"/>
                    </w:tabs>
                    <w:kinsoku/>
                    <w:wordWrap/>
                    <w:overflowPunct/>
                    <w:topLinePunct w:val="0"/>
                    <w:autoSpaceDE/>
                    <w:autoSpaceDN/>
                    <w:bidi w:val="0"/>
                    <w:adjustRightInd/>
                    <w:snapToGrid/>
                    <w:jc w:val="center"/>
                    <w:rPr>
                      <w:rFonts w:hint="default"/>
                      <w:color w:val="auto"/>
                      <w:szCs w:val="21"/>
                      <w:lang w:val="en-US" w:eastAsia="zh-CN"/>
                    </w:rPr>
                  </w:pPr>
                  <w:r>
                    <w:rPr>
                      <w:rFonts w:hint="eastAsia"/>
                      <w:color w:val="auto"/>
                      <w:szCs w:val="21"/>
                      <w:lang w:val="en-US" w:eastAsia="zh-CN"/>
                    </w:rPr>
                    <w:t>0</w:t>
                  </w:r>
                </w:p>
              </w:tc>
              <w:tc>
                <w:tcPr>
                  <w:tcW w:w="301" w:type="pct"/>
                  <w:noWrap w:val="0"/>
                  <w:vAlign w:val="center"/>
                </w:tcPr>
                <w:p w14:paraId="6E03BB87">
                  <w:pPr>
                    <w:pStyle w:val="37"/>
                    <w:adjustRightInd/>
                    <w:spacing w:beforeLines="0" w:afterLines="0" w:line="240" w:lineRule="auto"/>
                    <w:rPr>
                      <w:rFonts w:hint="eastAsia"/>
                      <w:color w:val="auto"/>
                      <w:szCs w:val="21"/>
                      <w:lang w:val="en-US" w:eastAsia="zh-CN"/>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320" w:type="pct"/>
                  <w:noWrap w:val="0"/>
                  <w:vAlign w:val="center"/>
                </w:tcPr>
                <w:p w14:paraId="3B37E432">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320" w:type="pct"/>
                  <w:noWrap w:val="0"/>
                  <w:vAlign w:val="center"/>
                </w:tcPr>
                <w:p w14:paraId="266AA7D5">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372A7886">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783" w:type="pct"/>
                  <w:noWrap w:val="0"/>
                  <w:vAlign w:val="center"/>
                </w:tcPr>
                <w:p w14:paraId="43EA72DE">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bidi="ar"/>
                    </w:rPr>
                  </w:pPr>
                  <w:r>
                    <w:rPr>
                      <w:rFonts w:hint="eastAsia"/>
                      <w:color w:val="auto"/>
                      <w:kern w:val="0"/>
                      <w:szCs w:val="21"/>
                    </w:rPr>
                    <w:t>0</w:t>
                  </w:r>
                </w:p>
              </w:tc>
              <w:tc>
                <w:tcPr>
                  <w:tcW w:w="492" w:type="pct"/>
                  <w:noWrap w:val="0"/>
                  <w:vAlign w:val="center"/>
                </w:tcPr>
                <w:p w14:paraId="68BF0AD3">
                  <w:pPr>
                    <w:pStyle w:val="37"/>
                    <w:adjustRightInd/>
                    <w:spacing w:beforeLines="0" w:afterLines="0" w:line="240" w:lineRule="auto"/>
                    <w:rPr>
                      <w:rFonts w:hint="eastAsia"/>
                      <w:color w:val="auto"/>
                      <w:kern w:val="0"/>
                      <w:szCs w:val="21"/>
                      <w:lang w:bidi="ar"/>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325" w:type="pct"/>
                  <w:noWrap w:val="0"/>
                  <w:vAlign w:val="center"/>
                </w:tcPr>
                <w:p w14:paraId="25856213">
                  <w:pPr>
                    <w:keepNext w:val="0"/>
                    <w:keepLines w:val="0"/>
                    <w:pageBreakBefore w:val="0"/>
                    <w:kinsoku/>
                    <w:wordWrap/>
                    <w:overflowPunct/>
                    <w:topLinePunct w:val="0"/>
                    <w:autoSpaceDE/>
                    <w:autoSpaceDN/>
                    <w:bidi w:val="0"/>
                    <w:adjustRightInd/>
                    <w:snapToGrid/>
                    <w:jc w:val="center"/>
                    <w:rPr>
                      <w:rFonts w:hint="eastAsia"/>
                      <w:color w:val="auto"/>
                      <w:kern w:val="0"/>
                      <w:sz w:val="21"/>
                      <w:szCs w:val="21"/>
                      <w:lang w:val="en-US" w:eastAsia="zh-CN" w:bidi="ar"/>
                    </w:rPr>
                  </w:pPr>
                  <w:r>
                    <w:rPr>
                      <w:rFonts w:hint="eastAsia"/>
                      <w:color w:val="auto"/>
                      <w:kern w:val="0"/>
                      <w:szCs w:val="21"/>
                    </w:rPr>
                    <w:t>0</w:t>
                  </w:r>
                </w:p>
              </w:tc>
              <w:tc>
                <w:tcPr>
                  <w:tcW w:w="489" w:type="pct"/>
                  <w:noWrap w:val="0"/>
                  <w:vAlign w:val="center"/>
                </w:tcPr>
                <w:p w14:paraId="5A480573">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r>
            <w:tr w14:paraId="12C91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5" w:type="pct"/>
                  <w:vMerge w:val="continue"/>
                  <w:noWrap w:val="0"/>
                  <w:vAlign w:val="center"/>
                </w:tcPr>
                <w:p w14:paraId="785464C9">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392" w:type="pct"/>
                  <w:vMerge w:val="continue"/>
                  <w:noWrap w:val="0"/>
                  <w:vAlign w:val="center"/>
                </w:tcPr>
                <w:p w14:paraId="7E82EDAB">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141D3A35">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TN</w:t>
                  </w:r>
                </w:p>
              </w:tc>
              <w:tc>
                <w:tcPr>
                  <w:tcW w:w="295" w:type="pct"/>
                  <w:noWrap w:val="0"/>
                  <w:vAlign w:val="center"/>
                </w:tcPr>
                <w:p w14:paraId="12A15BF6">
                  <w:pPr>
                    <w:pStyle w:val="37"/>
                    <w:adjustRightInd/>
                    <w:spacing w:beforeLines="0" w:afterLines="0" w:line="240" w:lineRule="auto"/>
                    <w:rPr>
                      <w:rFonts w:hint="default" w:eastAsia="宋体"/>
                      <w:color w:val="auto"/>
                      <w:kern w:val="0"/>
                      <w:szCs w:val="21"/>
                      <w:lang w:val="en-US" w:eastAsia="zh-CN"/>
                    </w:rPr>
                  </w:pPr>
                  <w:r>
                    <w:rPr>
                      <w:rFonts w:hint="eastAsia" w:ascii="Times New Roman" w:cs="宋体"/>
                      <w:snapToGrid w:val="0"/>
                      <w:color w:val="auto"/>
                      <w:kern w:val="21"/>
                      <w:szCs w:val="21"/>
                      <w:highlight w:val="none"/>
                      <w:lang w:val="en-US" w:eastAsia="zh-CN"/>
                    </w:rPr>
                    <w:t>0.0576</w:t>
                  </w:r>
                </w:p>
              </w:tc>
              <w:tc>
                <w:tcPr>
                  <w:tcW w:w="295" w:type="pct"/>
                  <w:noWrap w:val="0"/>
                  <w:vAlign w:val="center"/>
                </w:tcPr>
                <w:p w14:paraId="0BC7A685">
                  <w:pPr>
                    <w:keepNext w:val="0"/>
                    <w:keepLines w:val="0"/>
                    <w:pageBreakBefore w:val="0"/>
                    <w:widowControl/>
                    <w:kinsoku/>
                    <w:wordWrap/>
                    <w:overflowPunct/>
                    <w:topLinePunct w:val="0"/>
                    <w:autoSpaceDE/>
                    <w:autoSpaceDN/>
                    <w:bidi w:val="0"/>
                    <w:adjustRightInd/>
                    <w:snapToGrid/>
                    <w:jc w:val="center"/>
                    <w:rPr>
                      <w:rFonts w:hint="default"/>
                      <w:color w:val="auto"/>
                      <w:kern w:val="0"/>
                      <w:szCs w:val="21"/>
                      <w:lang w:val="en-US" w:eastAsia="zh-CN"/>
                    </w:rPr>
                  </w:pPr>
                  <w:r>
                    <w:rPr>
                      <w:rFonts w:hint="eastAsia"/>
                      <w:color w:val="auto"/>
                      <w:kern w:val="0"/>
                      <w:szCs w:val="21"/>
                      <w:lang w:val="en-US" w:eastAsia="zh-CN"/>
                    </w:rPr>
                    <w:t>0</w:t>
                  </w:r>
                </w:p>
              </w:tc>
              <w:tc>
                <w:tcPr>
                  <w:tcW w:w="301" w:type="pct"/>
                  <w:noWrap w:val="0"/>
                  <w:vAlign w:val="center"/>
                </w:tcPr>
                <w:p w14:paraId="31AD51CA">
                  <w:pPr>
                    <w:pStyle w:val="37"/>
                    <w:adjustRightInd/>
                    <w:spacing w:beforeLines="0" w:afterLines="0" w:line="240" w:lineRule="auto"/>
                    <w:rPr>
                      <w:rFonts w:hint="eastAsia"/>
                      <w:color w:val="auto"/>
                      <w:kern w:val="0"/>
                      <w:szCs w:val="21"/>
                      <w:lang w:val="en-US" w:eastAsia="zh-CN"/>
                    </w:rPr>
                  </w:pPr>
                  <w:r>
                    <w:rPr>
                      <w:rFonts w:hint="eastAsia" w:ascii="Times New Roman" w:cs="宋体"/>
                      <w:snapToGrid w:val="0"/>
                      <w:color w:val="auto"/>
                      <w:kern w:val="21"/>
                      <w:szCs w:val="21"/>
                      <w:highlight w:val="none"/>
                      <w:lang w:val="en-US" w:eastAsia="zh-CN"/>
                    </w:rPr>
                    <w:t>0.0576</w:t>
                  </w:r>
                </w:p>
              </w:tc>
              <w:tc>
                <w:tcPr>
                  <w:tcW w:w="320" w:type="pct"/>
                  <w:noWrap w:val="0"/>
                  <w:vAlign w:val="center"/>
                </w:tcPr>
                <w:p w14:paraId="0992074A">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320" w:type="pct"/>
                  <w:noWrap w:val="0"/>
                  <w:vAlign w:val="center"/>
                </w:tcPr>
                <w:p w14:paraId="0F130A7D">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olor w:val="auto"/>
                      <w:kern w:val="0"/>
                      <w:szCs w:val="21"/>
                    </w:rPr>
                    <w:t>0</w:t>
                  </w:r>
                </w:p>
              </w:tc>
              <w:tc>
                <w:tcPr>
                  <w:tcW w:w="297" w:type="pct"/>
                  <w:noWrap w:val="0"/>
                  <w:vAlign w:val="center"/>
                </w:tcPr>
                <w:p w14:paraId="4DFE34BC">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c>
                <w:tcPr>
                  <w:tcW w:w="783" w:type="pct"/>
                  <w:noWrap w:val="0"/>
                  <w:vAlign w:val="center"/>
                </w:tcPr>
                <w:p w14:paraId="16CC075A">
                  <w:pPr>
                    <w:keepNext w:val="0"/>
                    <w:keepLines w:val="0"/>
                    <w:pageBreakBefore w:val="0"/>
                    <w:kinsoku/>
                    <w:wordWrap/>
                    <w:overflowPunct/>
                    <w:topLinePunct w:val="0"/>
                    <w:autoSpaceDE/>
                    <w:autoSpaceDN/>
                    <w:bidi w:val="0"/>
                    <w:adjustRightInd/>
                    <w:snapToGrid/>
                    <w:jc w:val="center"/>
                    <w:rPr>
                      <w:rFonts w:hint="eastAsia" w:eastAsia="宋体"/>
                      <w:color w:val="auto"/>
                      <w:kern w:val="0"/>
                      <w:szCs w:val="21"/>
                      <w:lang w:val="en-US" w:eastAsia="zh-CN" w:bidi="ar"/>
                    </w:rPr>
                  </w:pPr>
                  <w:r>
                    <w:rPr>
                      <w:rFonts w:hint="eastAsia"/>
                      <w:color w:val="auto"/>
                      <w:kern w:val="0"/>
                      <w:szCs w:val="21"/>
                    </w:rPr>
                    <w:t>0</w:t>
                  </w:r>
                </w:p>
              </w:tc>
              <w:tc>
                <w:tcPr>
                  <w:tcW w:w="492" w:type="pct"/>
                  <w:noWrap w:val="0"/>
                  <w:vAlign w:val="center"/>
                </w:tcPr>
                <w:p w14:paraId="7C9FB81D">
                  <w:pPr>
                    <w:pStyle w:val="37"/>
                    <w:adjustRightInd/>
                    <w:spacing w:beforeLines="0" w:afterLines="0" w:line="240" w:lineRule="auto"/>
                    <w:rPr>
                      <w:rFonts w:hint="eastAsia"/>
                      <w:color w:val="auto"/>
                      <w:kern w:val="0"/>
                      <w:szCs w:val="21"/>
                      <w:lang w:bidi="ar"/>
                    </w:rPr>
                  </w:pPr>
                  <w:r>
                    <w:rPr>
                      <w:rFonts w:hint="eastAsia" w:ascii="Times New Roman" w:cs="宋体"/>
                      <w:snapToGrid w:val="0"/>
                      <w:color w:val="auto"/>
                      <w:kern w:val="21"/>
                      <w:szCs w:val="21"/>
                      <w:highlight w:val="none"/>
                      <w:lang w:val="en-US" w:eastAsia="zh-CN"/>
                    </w:rPr>
                    <w:t>0.0576</w:t>
                  </w:r>
                </w:p>
              </w:tc>
              <w:tc>
                <w:tcPr>
                  <w:tcW w:w="325" w:type="pct"/>
                  <w:noWrap w:val="0"/>
                  <w:vAlign w:val="center"/>
                </w:tcPr>
                <w:p w14:paraId="472EF78F">
                  <w:pPr>
                    <w:keepNext w:val="0"/>
                    <w:keepLines w:val="0"/>
                    <w:pageBreakBefore w:val="0"/>
                    <w:kinsoku/>
                    <w:wordWrap/>
                    <w:overflowPunct/>
                    <w:topLinePunct w:val="0"/>
                    <w:autoSpaceDE/>
                    <w:autoSpaceDN/>
                    <w:bidi w:val="0"/>
                    <w:adjustRightInd/>
                    <w:snapToGrid/>
                    <w:jc w:val="center"/>
                    <w:rPr>
                      <w:rFonts w:hint="eastAsia"/>
                      <w:color w:val="auto"/>
                      <w:kern w:val="0"/>
                      <w:sz w:val="21"/>
                      <w:szCs w:val="21"/>
                      <w:lang w:val="en-US" w:eastAsia="zh-CN" w:bidi="ar"/>
                    </w:rPr>
                  </w:pPr>
                  <w:r>
                    <w:rPr>
                      <w:rFonts w:hint="eastAsia"/>
                      <w:color w:val="auto"/>
                      <w:kern w:val="0"/>
                      <w:szCs w:val="21"/>
                    </w:rPr>
                    <w:t>0</w:t>
                  </w:r>
                </w:p>
              </w:tc>
              <w:tc>
                <w:tcPr>
                  <w:tcW w:w="489" w:type="pct"/>
                  <w:noWrap w:val="0"/>
                  <w:vAlign w:val="center"/>
                </w:tcPr>
                <w:p w14:paraId="3F3885F5">
                  <w:pPr>
                    <w:keepNext w:val="0"/>
                    <w:keepLines w:val="0"/>
                    <w:pageBreakBefore w:val="0"/>
                    <w:kinsoku/>
                    <w:wordWrap/>
                    <w:overflowPunct/>
                    <w:topLinePunct w:val="0"/>
                    <w:autoSpaceDE/>
                    <w:autoSpaceDN/>
                    <w:bidi w:val="0"/>
                    <w:adjustRightInd/>
                    <w:snapToGrid/>
                    <w:jc w:val="center"/>
                    <w:rPr>
                      <w:color w:val="auto"/>
                      <w:kern w:val="0"/>
                      <w:szCs w:val="21"/>
                      <w:lang w:bidi="ar"/>
                    </w:rPr>
                  </w:pPr>
                  <w:r>
                    <w:rPr>
                      <w:rFonts w:hint="eastAsia"/>
                      <w:color w:val="auto"/>
                      <w:kern w:val="0"/>
                      <w:szCs w:val="21"/>
                    </w:rPr>
                    <w:t>0</w:t>
                  </w:r>
                </w:p>
              </w:tc>
            </w:tr>
            <w:tr w14:paraId="5A7BE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gridSpan w:val="2"/>
                  <w:vMerge w:val="restart"/>
                  <w:noWrap w:val="0"/>
                  <w:vAlign w:val="center"/>
                </w:tcPr>
                <w:p w14:paraId="7380ACE1">
                  <w:pPr>
                    <w:keepNext w:val="0"/>
                    <w:keepLines w:val="0"/>
                    <w:pageBreakBefore w:val="0"/>
                    <w:widowControl/>
                    <w:kinsoku/>
                    <w:wordWrap/>
                    <w:overflowPunct/>
                    <w:topLinePunct w:val="0"/>
                    <w:autoSpaceDE/>
                    <w:autoSpaceDN/>
                    <w:bidi w:val="0"/>
                    <w:adjustRightInd/>
                    <w:snapToGrid/>
                    <w:jc w:val="center"/>
                    <w:rPr>
                      <w:color w:val="auto"/>
                      <w:kern w:val="0"/>
                      <w:szCs w:val="21"/>
                    </w:rPr>
                  </w:pPr>
                  <w:r>
                    <w:rPr>
                      <w:color w:val="auto"/>
                      <w:kern w:val="0"/>
                      <w:szCs w:val="21"/>
                    </w:rPr>
                    <w:t>固废</w:t>
                  </w:r>
                </w:p>
              </w:tc>
              <w:tc>
                <w:tcPr>
                  <w:tcW w:w="492" w:type="pct"/>
                  <w:noWrap w:val="0"/>
                  <w:vAlign w:val="center"/>
                </w:tcPr>
                <w:p w14:paraId="5D2DB663">
                  <w:pPr>
                    <w:keepNext w:val="0"/>
                    <w:keepLines w:val="0"/>
                    <w:pageBreakBefore w:val="0"/>
                    <w:tabs>
                      <w:tab w:val="left" w:pos="3240"/>
                    </w:tabs>
                    <w:kinsoku/>
                    <w:wordWrap/>
                    <w:overflowPunct/>
                    <w:topLinePunct w:val="0"/>
                    <w:autoSpaceDE/>
                    <w:autoSpaceDN/>
                    <w:bidi w:val="0"/>
                    <w:adjustRightInd/>
                    <w:snapToGrid/>
                    <w:jc w:val="center"/>
                    <w:rPr>
                      <w:color w:val="auto"/>
                      <w:kern w:val="0"/>
                      <w:szCs w:val="21"/>
                    </w:rPr>
                  </w:pPr>
                  <w:r>
                    <w:rPr>
                      <w:bCs/>
                      <w:color w:val="auto"/>
                      <w:kern w:val="0"/>
                      <w:szCs w:val="21"/>
                    </w:rPr>
                    <w:t>工业固废</w:t>
                  </w:r>
                </w:p>
              </w:tc>
              <w:tc>
                <w:tcPr>
                  <w:tcW w:w="295" w:type="pct"/>
                  <w:noWrap w:val="0"/>
                  <w:vAlign w:val="center"/>
                </w:tcPr>
                <w:p w14:paraId="7E76BEFB">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1</w:t>
                  </w:r>
                  <w:r>
                    <w:rPr>
                      <w:rFonts w:hint="eastAsia" w:ascii="Times New Roman" w:cs="宋体"/>
                      <w:snapToGrid w:val="0"/>
                      <w:color w:val="auto"/>
                      <w:kern w:val="21"/>
                      <w:sz w:val="21"/>
                      <w:szCs w:val="21"/>
                      <w:highlight w:val="none"/>
                      <w:lang w:val="en-US" w:eastAsia="zh-CN" w:bidi="ar-SA"/>
                    </w:rPr>
                    <w:t>7</w:t>
                  </w:r>
                  <w:r>
                    <w:rPr>
                      <w:rFonts w:hint="eastAsia" w:ascii="Times New Roman" w:hAnsi="Times New Roman" w:eastAsia="宋体" w:cs="宋体"/>
                      <w:snapToGrid w:val="0"/>
                      <w:color w:val="auto"/>
                      <w:kern w:val="21"/>
                      <w:sz w:val="21"/>
                      <w:szCs w:val="21"/>
                      <w:highlight w:val="none"/>
                      <w:lang w:val="en-US" w:eastAsia="zh-CN" w:bidi="ar-SA"/>
                    </w:rPr>
                    <w:t>.05</w:t>
                  </w:r>
                </w:p>
              </w:tc>
              <w:tc>
                <w:tcPr>
                  <w:tcW w:w="768" w:type="dxa"/>
                  <w:shd w:val="clear" w:color="auto" w:fill="auto"/>
                  <w:noWrap w:val="0"/>
                  <w:vAlign w:val="center"/>
                </w:tcPr>
                <w:p w14:paraId="4365DE1C">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1</w:t>
                  </w:r>
                  <w:r>
                    <w:rPr>
                      <w:rFonts w:hint="eastAsia" w:ascii="Times New Roman" w:cs="宋体"/>
                      <w:snapToGrid w:val="0"/>
                      <w:color w:val="auto"/>
                      <w:kern w:val="21"/>
                      <w:sz w:val="21"/>
                      <w:szCs w:val="21"/>
                      <w:highlight w:val="none"/>
                      <w:lang w:val="en-US" w:eastAsia="zh-CN" w:bidi="ar-SA"/>
                    </w:rPr>
                    <w:t>7</w:t>
                  </w:r>
                  <w:r>
                    <w:rPr>
                      <w:rFonts w:hint="eastAsia" w:ascii="Times New Roman" w:hAnsi="Times New Roman" w:eastAsia="宋体" w:cs="宋体"/>
                      <w:snapToGrid w:val="0"/>
                      <w:color w:val="auto"/>
                      <w:kern w:val="21"/>
                      <w:sz w:val="21"/>
                      <w:szCs w:val="21"/>
                      <w:highlight w:val="none"/>
                      <w:lang w:val="en-US" w:eastAsia="zh-CN" w:bidi="ar-SA"/>
                    </w:rPr>
                    <w:t>.05</w:t>
                  </w:r>
                </w:p>
              </w:tc>
              <w:tc>
                <w:tcPr>
                  <w:tcW w:w="301" w:type="pct"/>
                  <w:noWrap w:val="0"/>
                  <w:vAlign w:val="center"/>
                </w:tcPr>
                <w:p w14:paraId="4D68BE54">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320" w:type="pct"/>
                  <w:noWrap w:val="0"/>
                  <w:vAlign w:val="center"/>
                </w:tcPr>
                <w:p w14:paraId="7D303AD5">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44.187</w:t>
                  </w:r>
                </w:p>
              </w:tc>
              <w:tc>
                <w:tcPr>
                  <w:tcW w:w="320" w:type="pct"/>
                  <w:shd w:val="clear" w:color="auto" w:fill="auto"/>
                  <w:noWrap w:val="0"/>
                  <w:vAlign w:val="center"/>
                </w:tcPr>
                <w:p w14:paraId="4A430967">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44.187</w:t>
                  </w:r>
                </w:p>
              </w:tc>
              <w:tc>
                <w:tcPr>
                  <w:tcW w:w="297" w:type="pct"/>
                  <w:noWrap w:val="0"/>
                  <w:vAlign w:val="center"/>
                </w:tcPr>
                <w:p w14:paraId="7339799F">
                  <w:pPr>
                    <w:keepNext w:val="0"/>
                    <w:keepLines w:val="0"/>
                    <w:pageBreakBefore w:val="0"/>
                    <w:kinsoku/>
                    <w:wordWrap/>
                    <w:overflowPunct/>
                    <w:topLinePunct w:val="0"/>
                    <w:autoSpaceDE/>
                    <w:autoSpaceDN/>
                    <w:bidi w:val="0"/>
                    <w:adjustRightInd/>
                    <w:snapToGrid/>
                    <w:jc w:val="center"/>
                    <w:rPr>
                      <w:color w:val="auto"/>
                      <w:kern w:val="0"/>
                      <w:szCs w:val="21"/>
                    </w:rPr>
                  </w:pPr>
                  <w:r>
                    <w:rPr>
                      <w:color w:val="auto"/>
                      <w:kern w:val="0"/>
                      <w:szCs w:val="21"/>
                    </w:rPr>
                    <w:t>0</w:t>
                  </w:r>
                </w:p>
              </w:tc>
              <w:tc>
                <w:tcPr>
                  <w:tcW w:w="783" w:type="pct"/>
                  <w:noWrap w:val="0"/>
                  <w:vAlign w:val="center"/>
                </w:tcPr>
                <w:p w14:paraId="30C7ADF2">
                  <w:pPr>
                    <w:keepNext w:val="0"/>
                    <w:keepLines w:val="0"/>
                    <w:pageBreakBefore w:val="0"/>
                    <w:kinsoku/>
                    <w:wordWrap/>
                    <w:overflowPunct/>
                    <w:topLinePunct w:val="0"/>
                    <w:autoSpaceDE/>
                    <w:autoSpaceDN/>
                    <w:bidi w:val="0"/>
                    <w:adjustRightInd/>
                    <w:snapToGrid/>
                    <w:jc w:val="center"/>
                    <w:rPr>
                      <w:rFonts w:hint="default" w:eastAsia="宋体"/>
                      <w:color w:val="auto"/>
                      <w:kern w:val="0"/>
                      <w:szCs w:val="21"/>
                      <w:lang w:val="en-US" w:eastAsia="zh-CN"/>
                    </w:rPr>
                  </w:pPr>
                  <w:r>
                    <w:rPr>
                      <w:rFonts w:hint="eastAsia"/>
                      <w:color w:val="auto"/>
                      <w:kern w:val="0"/>
                      <w:szCs w:val="21"/>
                      <w:lang w:val="en-US" w:eastAsia="zh-CN"/>
                    </w:rPr>
                    <w:t>0</w:t>
                  </w:r>
                </w:p>
              </w:tc>
              <w:tc>
                <w:tcPr>
                  <w:tcW w:w="492" w:type="pct"/>
                  <w:noWrap w:val="0"/>
                  <w:vAlign w:val="center"/>
                </w:tcPr>
                <w:p w14:paraId="4DE2B7F3">
                  <w:pPr>
                    <w:keepNext w:val="0"/>
                    <w:keepLines w:val="0"/>
                    <w:pageBreakBefore w:val="0"/>
                    <w:kinsoku/>
                    <w:wordWrap/>
                    <w:overflowPunct/>
                    <w:topLinePunct w:val="0"/>
                    <w:autoSpaceDE/>
                    <w:autoSpaceDN/>
                    <w:bidi w:val="0"/>
                    <w:adjustRightInd/>
                    <w:snapToGrid/>
                    <w:jc w:val="center"/>
                    <w:rPr>
                      <w:color w:val="auto"/>
                      <w:kern w:val="0"/>
                      <w:szCs w:val="21"/>
                    </w:rPr>
                  </w:pPr>
                  <w:r>
                    <w:rPr>
                      <w:color w:val="auto"/>
                      <w:kern w:val="0"/>
                      <w:szCs w:val="21"/>
                    </w:rPr>
                    <w:t>0</w:t>
                  </w:r>
                </w:p>
              </w:tc>
              <w:tc>
                <w:tcPr>
                  <w:tcW w:w="325" w:type="pct"/>
                  <w:noWrap w:val="0"/>
                  <w:vAlign w:val="center"/>
                </w:tcPr>
                <w:p w14:paraId="096CE34A">
                  <w:pPr>
                    <w:keepNext w:val="0"/>
                    <w:keepLines w:val="0"/>
                    <w:pageBreakBefore w:val="0"/>
                    <w:kinsoku/>
                    <w:wordWrap/>
                    <w:overflowPunct/>
                    <w:topLinePunct w:val="0"/>
                    <w:autoSpaceDE/>
                    <w:autoSpaceDN/>
                    <w:bidi w:val="0"/>
                    <w:adjustRightInd/>
                    <w:snapToGrid/>
                    <w:jc w:val="center"/>
                    <w:rPr>
                      <w:color w:val="auto"/>
                      <w:kern w:val="0"/>
                      <w:szCs w:val="21"/>
                    </w:rPr>
                  </w:pPr>
                  <w:r>
                    <w:rPr>
                      <w:color w:val="auto"/>
                      <w:kern w:val="0"/>
                      <w:szCs w:val="21"/>
                    </w:rPr>
                    <w:t>0</w:t>
                  </w:r>
                </w:p>
              </w:tc>
              <w:tc>
                <w:tcPr>
                  <w:tcW w:w="489" w:type="pct"/>
                  <w:vMerge w:val="restart"/>
                  <w:noWrap w:val="0"/>
                  <w:vAlign w:val="center"/>
                </w:tcPr>
                <w:p w14:paraId="1968CDE1">
                  <w:pPr>
                    <w:keepNext w:val="0"/>
                    <w:keepLines w:val="0"/>
                    <w:pageBreakBefore w:val="0"/>
                    <w:kinsoku/>
                    <w:wordWrap/>
                    <w:overflowPunct/>
                    <w:topLinePunct w:val="0"/>
                    <w:autoSpaceDE/>
                    <w:autoSpaceDN/>
                    <w:bidi w:val="0"/>
                    <w:adjustRightInd/>
                    <w:snapToGrid/>
                    <w:jc w:val="center"/>
                    <w:rPr>
                      <w:rFonts w:hint="eastAsia" w:eastAsia="宋体"/>
                      <w:color w:val="auto"/>
                      <w:szCs w:val="21"/>
                      <w:lang w:eastAsia="zh-CN"/>
                    </w:rPr>
                  </w:pPr>
                  <w:r>
                    <w:rPr>
                      <w:rFonts w:hint="eastAsia"/>
                      <w:color w:val="auto"/>
                      <w:kern w:val="0"/>
                      <w:szCs w:val="21"/>
                      <w:lang w:val="en-US" w:eastAsia="zh-CN"/>
                    </w:rPr>
                    <w:t>0</w:t>
                  </w:r>
                </w:p>
              </w:tc>
            </w:tr>
            <w:tr w14:paraId="1CFC0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gridSpan w:val="2"/>
                  <w:vMerge w:val="continue"/>
                  <w:noWrap w:val="0"/>
                  <w:vAlign w:val="center"/>
                </w:tcPr>
                <w:p w14:paraId="37674A45">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5B6D6C0A">
                  <w:pPr>
                    <w:keepNext w:val="0"/>
                    <w:keepLines w:val="0"/>
                    <w:pageBreakBefore w:val="0"/>
                    <w:tabs>
                      <w:tab w:val="left" w:pos="3240"/>
                    </w:tabs>
                    <w:kinsoku/>
                    <w:wordWrap/>
                    <w:overflowPunct/>
                    <w:topLinePunct w:val="0"/>
                    <w:autoSpaceDE/>
                    <w:autoSpaceDN/>
                    <w:bidi w:val="0"/>
                    <w:adjustRightInd/>
                    <w:snapToGrid/>
                    <w:jc w:val="center"/>
                    <w:rPr>
                      <w:color w:val="auto"/>
                      <w:kern w:val="0"/>
                      <w:szCs w:val="21"/>
                    </w:rPr>
                  </w:pPr>
                  <w:r>
                    <w:rPr>
                      <w:bCs/>
                      <w:color w:val="auto"/>
                      <w:kern w:val="0"/>
                      <w:szCs w:val="21"/>
                    </w:rPr>
                    <w:t>危险废物</w:t>
                  </w:r>
                </w:p>
              </w:tc>
              <w:tc>
                <w:tcPr>
                  <w:tcW w:w="295" w:type="pct"/>
                  <w:noWrap w:val="0"/>
                  <w:vAlign w:val="center"/>
                </w:tcPr>
                <w:p w14:paraId="6A6333B5">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28.95</w:t>
                  </w:r>
                </w:p>
              </w:tc>
              <w:tc>
                <w:tcPr>
                  <w:tcW w:w="768" w:type="dxa"/>
                  <w:shd w:val="clear" w:color="auto" w:fill="auto"/>
                  <w:noWrap w:val="0"/>
                  <w:vAlign w:val="center"/>
                </w:tcPr>
                <w:p w14:paraId="355F2F43">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28.95</w:t>
                  </w:r>
                </w:p>
              </w:tc>
              <w:tc>
                <w:tcPr>
                  <w:tcW w:w="301" w:type="pct"/>
                  <w:noWrap w:val="0"/>
                  <w:vAlign w:val="center"/>
                </w:tcPr>
                <w:p w14:paraId="1FFCC195">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w:t>
                  </w:r>
                </w:p>
              </w:tc>
              <w:tc>
                <w:tcPr>
                  <w:tcW w:w="320" w:type="pct"/>
                  <w:noWrap w:val="0"/>
                  <w:vAlign w:val="center"/>
                </w:tcPr>
                <w:p w14:paraId="0A53914B">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49.971</w:t>
                  </w:r>
                </w:p>
              </w:tc>
              <w:tc>
                <w:tcPr>
                  <w:tcW w:w="320" w:type="pct"/>
                  <w:shd w:val="clear" w:color="auto" w:fill="auto"/>
                  <w:noWrap w:val="0"/>
                  <w:vAlign w:val="center"/>
                </w:tcPr>
                <w:p w14:paraId="145BB57D">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49.971</w:t>
                  </w:r>
                </w:p>
              </w:tc>
              <w:tc>
                <w:tcPr>
                  <w:tcW w:w="297" w:type="pct"/>
                  <w:noWrap w:val="0"/>
                  <w:vAlign w:val="center"/>
                </w:tcPr>
                <w:p w14:paraId="40C6C376">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783" w:type="pct"/>
                  <w:noWrap w:val="0"/>
                  <w:vAlign w:val="center"/>
                </w:tcPr>
                <w:p w14:paraId="0B9B2BB2">
                  <w:pPr>
                    <w:keepNext w:val="0"/>
                    <w:keepLines w:val="0"/>
                    <w:pageBreakBefore w:val="0"/>
                    <w:kinsoku/>
                    <w:wordWrap/>
                    <w:overflowPunct/>
                    <w:topLinePunct w:val="0"/>
                    <w:autoSpaceDE/>
                    <w:autoSpaceDN/>
                    <w:bidi w:val="0"/>
                    <w:adjustRightInd/>
                    <w:snapToGrid/>
                    <w:jc w:val="center"/>
                    <w:rPr>
                      <w:rFonts w:hint="default" w:eastAsia="宋体"/>
                      <w:color w:val="auto"/>
                      <w:szCs w:val="21"/>
                      <w:lang w:val="en-US" w:eastAsia="zh-CN"/>
                    </w:rPr>
                  </w:pPr>
                  <w:r>
                    <w:rPr>
                      <w:rFonts w:hint="eastAsia"/>
                      <w:color w:val="auto"/>
                      <w:szCs w:val="21"/>
                      <w:lang w:val="en-US" w:eastAsia="zh-CN"/>
                    </w:rPr>
                    <w:t>0</w:t>
                  </w:r>
                </w:p>
              </w:tc>
              <w:tc>
                <w:tcPr>
                  <w:tcW w:w="492" w:type="pct"/>
                  <w:noWrap w:val="0"/>
                  <w:vAlign w:val="center"/>
                </w:tcPr>
                <w:p w14:paraId="0D719323">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325" w:type="pct"/>
                  <w:noWrap w:val="0"/>
                  <w:vAlign w:val="center"/>
                </w:tcPr>
                <w:p w14:paraId="6EE1BDBC">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489" w:type="pct"/>
                  <w:vMerge w:val="continue"/>
                  <w:noWrap w:val="0"/>
                  <w:vAlign w:val="center"/>
                </w:tcPr>
                <w:p w14:paraId="28D5010C">
                  <w:pPr>
                    <w:keepNext w:val="0"/>
                    <w:keepLines w:val="0"/>
                    <w:pageBreakBefore w:val="0"/>
                    <w:kinsoku/>
                    <w:wordWrap/>
                    <w:overflowPunct/>
                    <w:topLinePunct w:val="0"/>
                    <w:autoSpaceDE/>
                    <w:autoSpaceDN/>
                    <w:bidi w:val="0"/>
                    <w:adjustRightInd/>
                    <w:snapToGrid/>
                    <w:jc w:val="center"/>
                    <w:rPr>
                      <w:color w:val="auto"/>
                      <w:szCs w:val="21"/>
                    </w:rPr>
                  </w:pPr>
                </w:p>
              </w:tc>
            </w:tr>
            <w:tr w14:paraId="7EDFDA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gridSpan w:val="2"/>
                  <w:vMerge w:val="continue"/>
                  <w:noWrap w:val="0"/>
                  <w:vAlign w:val="center"/>
                </w:tcPr>
                <w:p w14:paraId="597F43EA">
                  <w:pPr>
                    <w:keepNext w:val="0"/>
                    <w:keepLines w:val="0"/>
                    <w:pageBreakBefore w:val="0"/>
                    <w:widowControl/>
                    <w:kinsoku/>
                    <w:wordWrap/>
                    <w:overflowPunct/>
                    <w:topLinePunct w:val="0"/>
                    <w:autoSpaceDE/>
                    <w:autoSpaceDN/>
                    <w:bidi w:val="0"/>
                    <w:adjustRightInd/>
                    <w:snapToGrid/>
                    <w:jc w:val="center"/>
                    <w:rPr>
                      <w:color w:val="auto"/>
                      <w:kern w:val="0"/>
                      <w:szCs w:val="21"/>
                    </w:rPr>
                  </w:pPr>
                </w:p>
              </w:tc>
              <w:tc>
                <w:tcPr>
                  <w:tcW w:w="492" w:type="pct"/>
                  <w:noWrap w:val="0"/>
                  <w:vAlign w:val="center"/>
                </w:tcPr>
                <w:p w14:paraId="53A1E34C">
                  <w:pPr>
                    <w:keepNext w:val="0"/>
                    <w:keepLines w:val="0"/>
                    <w:pageBreakBefore w:val="0"/>
                    <w:tabs>
                      <w:tab w:val="left" w:pos="3240"/>
                    </w:tabs>
                    <w:kinsoku/>
                    <w:wordWrap/>
                    <w:overflowPunct/>
                    <w:topLinePunct w:val="0"/>
                    <w:autoSpaceDE/>
                    <w:autoSpaceDN/>
                    <w:bidi w:val="0"/>
                    <w:adjustRightInd/>
                    <w:snapToGrid/>
                    <w:jc w:val="center"/>
                    <w:rPr>
                      <w:color w:val="auto"/>
                      <w:kern w:val="0"/>
                      <w:szCs w:val="21"/>
                    </w:rPr>
                  </w:pPr>
                  <w:r>
                    <w:rPr>
                      <w:bCs/>
                      <w:color w:val="auto"/>
                      <w:kern w:val="0"/>
                      <w:szCs w:val="21"/>
                    </w:rPr>
                    <w:t>生活垃圾</w:t>
                  </w:r>
                </w:p>
              </w:tc>
              <w:tc>
                <w:tcPr>
                  <w:tcW w:w="295" w:type="pct"/>
                  <w:noWrap w:val="0"/>
                  <w:vAlign w:val="center"/>
                </w:tcPr>
                <w:p w14:paraId="75CA0A1E">
                  <w:pPr>
                    <w:keepNext w:val="0"/>
                    <w:keepLines w:val="0"/>
                    <w:pageBreakBefore w:val="0"/>
                    <w:tabs>
                      <w:tab w:val="left" w:pos="3240"/>
                    </w:tabs>
                    <w:kinsoku/>
                    <w:wordWrap/>
                    <w:overflowPunct/>
                    <w:topLinePunct w:val="0"/>
                    <w:autoSpaceDE/>
                    <w:autoSpaceDN/>
                    <w:bidi w:val="0"/>
                    <w:adjustRightInd/>
                    <w:snapToGrid/>
                    <w:jc w:val="center"/>
                    <w:rPr>
                      <w:rFonts w:hint="default" w:eastAsia="宋体"/>
                      <w:bCs/>
                      <w:color w:val="auto"/>
                      <w:kern w:val="0"/>
                      <w:szCs w:val="21"/>
                      <w:lang w:val="en-US" w:eastAsia="zh-CN"/>
                    </w:rPr>
                  </w:pPr>
                  <w:r>
                    <w:rPr>
                      <w:rFonts w:hint="eastAsia"/>
                      <w:bCs/>
                      <w:color w:val="auto"/>
                      <w:kern w:val="0"/>
                      <w:szCs w:val="21"/>
                      <w:lang w:val="en-US" w:eastAsia="zh-CN"/>
                    </w:rPr>
                    <w:t>3.6</w:t>
                  </w:r>
                </w:p>
              </w:tc>
              <w:tc>
                <w:tcPr>
                  <w:tcW w:w="295" w:type="pct"/>
                  <w:noWrap w:val="0"/>
                  <w:vAlign w:val="center"/>
                </w:tcPr>
                <w:p w14:paraId="54603BC9">
                  <w:pPr>
                    <w:keepNext w:val="0"/>
                    <w:keepLines w:val="0"/>
                    <w:pageBreakBefore w:val="0"/>
                    <w:tabs>
                      <w:tab w:val="left" w:pos="3240"/>
                    </w:tabs>
                    <w:kinsoku/>
                    <w:wordWrap/>
                    <w:overflowPunct/>
                    <w:topLinePunct w:val="0"/>
                    <w:autoSpaceDE/>
                    <w:autoSpaceDN/>
                    <w:bidi w:val="0"/>
                    <w:adjustRightInd/>
                    <w:snapToGrid/>
                    <w:jc w:val="center"/>
                    <w:rPr>
                      <w:rFonts w:hint="default"/>
                      <w:bCs/>
                      <w:color w:val="auto"/>
                      <w:kern w:val="0"/>
                      <w:szCs w:val="21"/>
                      <w:lang w:val="en-US" w:eastAsia="zh-CN"/>
                    </w:rPr>
                  </w:pPr>
                  <w:r>
                    <w:rPr>
                      <w:rFonts w:hint="eastAsia"/>
                      <w:bCs/>
                      <w:color w:val="auto"/>
                      <w:kern w:val="0"/>
                      <w:szCs w:val="21"/>
                      <w:lang w:val="en-US" w:eastAsia="zh-CN"/>
                    </w:rPr>
                    <w:t>3.6</w:t>
                  </w:r>
                </w:p>
              </w:tc>
              <w:tc>
                <w:tcPr>
                  <w:tcW w:w="301" w:type="pct"/>
                  <w:noWrap w:val="0"/>
                  <w:vAlign w:val="center"/>
                </w:tcPr>
                <w:p w14:paraId="571B308C">
                  <w:pPr>
                    <w:keepNext w:val="0"/>
                    <w:keepLines w:val="0"/>
                    <w:pageBreakBefore w:val="0"/>
                    <w:tabs>
                      <w:tab w:val="left" w:pos="3240"/>
                    </w:tabs>
                    <w:kinsoku/>
                    <w:wordWrap/>
                    <w:overflowPunct/>
                    <w:topLinePunct w:val="0"/>
                    <w:autoSpaceDE/>
                    <w:autoSpaceDN/>
                    <w:bidi w:val="0"/>
                    <w:adjustRightInd/>
                    <w:snapToGrid/>
                    <w:jc w:val="center"/>
                    <w:rPr>
                      <w:rFonts w:hint="default"/>
                      <w:bCs/>
                      <w:color w:val="auto"/>
                      <w:kern w:val="0"/>
                      <w:szCs w:val="21"/>
                      <w:lang w:val="en-US" w:eastAsia="zh-CN"/>
                    </w:rPr>
                  </w:pPr>
                  <w:r>
                    <w:rPr>
                      <w:rFonts w:hint="eastAsia"/>
                      <w:bCs/>
                      <w:color w:val="auto"/>
                      <w:kern w:val="0"/>
                      <w:szCs w:val="21"/>
                      <w:lang w:val="en-US" w:eastAsia="zh-CN"/>
                    </w:rPr>
                    <w:t>0</w:t>
                  </w:r>
                </w:p>
              </w:tc>
              <w:tc>
                <w:tcPr>
                  <w:tcW w:w="320" w:type="pct"/>
                  <w:noWrap w:val="0"/>
                  <w:vAlign w:val="center"/>
                </w:tcPr>
                <w:p w14:paraId="461DA759">
                  <w:pPr>
                    <w:keepNext w:val="0"/>
                    <w:keepLines w:val="0"/>
                    <w:pageBreakBefore w:val="0"/>
                    <w:kinsoku/>
                    <w:wordWrap/>
                    <w:overflowPunct/>
                    <w:topLinePunct w:val="0"/>
                    <w:autoSpaceDE/>
                    <w:autoSpaceDN/>
                    <w:bidi w:val="0"/>
                    <w:adjustRightInd/>
                    <w:snapToGrid/>
                    <w:jc w:val="center"/>
                    <w:rPr>
                      <w:rFonts w:hint="default"/>
                      <w:color w:val="auto"/>
                      <w:kern w:val="0"/>
                      <w:szCs w:val="21"/>
                      <w:lang w:val="en-US"/>
                    </w:rPr>
                  </w:pPr>
                  <w:r>
                    <w:rPr>
                      <w:rFonts w:hint="eastAsia" w:cs="Times New Roman"/>
                      <w:color w:val="auto"/>
                      <w:kern w:val="0"/>
                      <w:szCs w:val="21"/>
                      <w:lang w:val="en-US" w:eastAsia="zh-CN"/>
                    </w:rPr>
                    <w:t>0</w:t>
                  </w:r>
                </w:p>
              </w:tc>
              <w:tc>
                <w:tcPr>
                  <w:tcW w:w="320" w:type="pct"/>
                  <w:noWrap w:val="0"/>
                  <w:vAlign w:val="center"/>
                </w:tcPr>
                <w:p w14:paraId="6978D247">
                  <w:pPr>
                    <w:keepNext w:val="0"/>
                    <w:keepLines w:val="0"/>
                    <w:pageBreakBefore w:val="0"/>
                    <w:kinsoku/>
                    <w:wordWrap/>
                    <w:overflowPunct/>
                    <w:topLinePunct w:val="0"/>
                    <w:autoSpaceDE/>
                    <w:autoSpaceDN/>
                    <w:bidi w:val="0"/>
                    <w:adjustRightInd/>
                    <w:snapToGrid/>
                    <w:jc w:val="center"/>
                    <w:rPr>
                      <w:color w:val="auto"/>
                      <w:kern w:val="0"/>
                      <w:szCs w:val="21"/>
                    </w:rPr>
                  </w:pPr>
                  <w:r>
                    <w:rPr>
                      <w:rFonts w:hint="eastAsia" w:cs="Times New Roman"/>
                      <w:color w:val="auto"/>
                      <w:kern w:val="0"/>
                      <w:szCs w:val="21"/>
                      <w:lang w:val="en-US" w:eastAsia="zh-CN"/>
                    </w:rPr>
                    <w:t>0</w:t>
                  </w:r>
                </w:p>
              </w:tc>
              <w:tc>
                <w:tcPr>
                  <w:tcW w:w="297" w:type="pct"/>
                  <w:noWrap w:val="0"/>
                  <w:vAlign w:val="center"/>
                </w:tcPr>
                <w:p w14:paraId="7943867D">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783" w:type="pct"/>
                  <w:noWrap w:val="0"/>
                  <w:vAlign w:val="center"/>
                </w:tcPr>
                <w:p w14:paraId="316CCD98">
                  <w:pPr>
                    <w:keepNext w:val="0"/>
                    <w:keepLines w:val="0"/>
                    <w:pageBreakBefore w:val="0"/>
                    <w:kinsoku/>
                    <w:wordWrap/>
                    <w:overflowPunct/>
                    <w:topLinePunct w:val="0"/>
                    <w:autoSpaceDE/>
                    <w:autoSpaceDN/>
                    <w:bidi w:val="0"/>
                    <w:adjustRightInd/>
                    <w:snapToGrid/>
                    <w:jc w:val="center"/>
                    <w:rPr>
                      <w:rFonts w:hint="eastAsia" w:eastAsia="宋体"/>
                      <w:color w:val="auto"/>
                      <w:szCs w:val="21"/>
                      <w:lang w:val="en-US" w:eastAsia="zh-CN"/>
                    </w:rPr>
                  </w:pPr>
                  <w:r>
                    <w:rPr>
                      <w:rFonts w:hint="eastAsia"/>
                      <w:color w:val="auto"/>
                      <w:szCs w:val="21"/>
                      <w:lang w:val="en-US" w:eastAsia="zh-CN"/>
                    </w:rPr>
                    <w:t>0</w:t>
                  </w:r>
                </w:p>
              </w:tc>
              <w:tc>
                <w:tcPr>
                  <w:tcW w:w="492" w:type="pct"/>
                  <w:noWrap w:val="0"/>
                  <w:vAlign w:val="center"/>
                </w:tcPr>
                <w:p w14:paraId="2C1E8B81">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325" w:type="pct"/>
                  <w:noWrap w:val="0"/>
                  <w:vAlign w:val="center"/>
                </w:tcPr>
                <w:p w14:paraId="1837D701">
                  <w:pPr>
                    <w:keepNext w:val="0"/>
                    <w:keepLines w:val="0"/>
                    <w:pageBreakBefore w:val="0"/>
                    <w:kinsoku/>
                    <w:wordWrap/>
                    <w:overflowPunct/>
                    <w:topLinePunct w:val="0"/>
                    <w:autoSpaceDE/>
                    <w:autoSpaceDN/>
                    <w:bidi w:val="0"/>
                    <w:adjustRightInd/>
                    <w:snapToGrid/>
                    <w:jc w:val="center"/>
                    <w:rPr>
                      <w:color w:val="auto"/>
                      <w:szCs w:val="21"/>
                    </w:rPr>
                  </w:pPr>
                  <w:r>
                    <w:rPr>
                      <w:color w:val="auto"/>
                      <w:szCs w:val="21"/>
                    </w:rPr>
                    <w:t>0</w:t>
                  </w:r>
                </w:p>
              </w:tc>
              <w:tc>
                <w:tcPr>
                  <w:tcW w:w="489" w:type="pct"/>
                  <w:vMerge w:val="continue"/>
                  <w:noWrap w:val="0"/>
                  <w:vAlign w:val="center"/>
                </w:tcPr>
                <w:p w14:paraId="104485D6">
                  <w:pPr>
                    <w:keepNext w:val="0"/>
                    <w:keepLines w:val="0"/>
                    <w:pageBreakBefore w:val="0"/>
                    <w:kinsoku/>
                    <w:wordWrap/>
                    <w:overflowPunct/>
                    <w:topLinePunct w:val="0"/>
                    <w:autoSpaceDE/>
                    <w:autoSpaceDN/>
                    <w:bidi w:val="0"/>
                    <w:adjustRightInd/>
                    <w:snapToGrid/>
                    <w:jc w:val="center"/>
                    <w:rPr>
                      <w:color w:val="auto"/>
                      <w:kern w:val="2"/>
                      <w:sz w:val="21"/>
                      <w:szCs w:val="21"/>
                      <w:lang w:val="en-US" w:eastAsia="zh-CN" w:bidi="ar-SA"/>
                    </w:rPr>
                  </w:pPr>
                </w:p>
              </w:tc>
            </w:tr>
          </w:tbl>
          <w:p w14:paraId="5D78B3B7">
            <w:pPr>
              <w:pStyle w:val="69"/>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根据《建设项目主要污染物排放总量指标审核及管理暂行办法》（环发[2014]</w:t>
            </w:r>
            <w:r>
              <w:rPr>
                <w:rFonts w:hint="default" w:ascii="Times New Roman" w:hAnsi="Times New Roman" w:cs="Times New Roman"/>
                <w:color w:val="auto"/>
                <w:szCs w:val="24"/>
                <w:lang w:val="en-US" w:eastAsia="zh-CN"/>
              </w:rPr>
              <w:t>1</w:t>
            </w:r>
            <w:r>
              <w:rPr>
                <w:rFonts w:hint="default" w:ascii="Times New Roman" w:hAnsi="Times New Roman" w:eastAsia="宋体" w:cs="Times New Roman"/>
                <w:color w:val="auto"/>
                <w:szCs w:val="24"/>
                <w:lang w:val="en-US" w:eastAsia="zh-CN"/>
              </w:rPr>
              <w:t>97号）文件的要求“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rFonts w:hint="default" w:ascii="Times New Roman" w:hAnsi="Times New Roman" w:eastAsia="宋体" w:cs="Times New Roman"/>
                <w:color w:val="auto"/>
                <w:szCs w:val="24"/>
                <w:vertAlign w:val="subscript"/>
                <w:lang w:val="en-US" w:eastAsia="zh-CN"/>
              </w:rPr>
              <w:t>2.5</w:t>
            </w:r>
            <w:r>
              <w:rPr>
                <w:rFonts w:hint="default" w:ascii="Times New Roman" w:hAnsi="Times New Roman" w:eastAsia="宋体" w:cs="Times New Roman"/>
                <w:color w:val="auto"/>
                <w:szCs w:val="24"/>
                <w:lang w:val="en-US" w:eastAsia="zh-CN"/>
              </w:rPr>
              <w:t>）年平均浓度不达标的城市，二氧化硫、氮氧化物、烟粉尘、挥发性有机物四项污染物均需进行2倍削减替代（燃煤发电机组大气污染物排放浓度基本达到燃气轮机组排放限值的除外）”。本项目颗粒物</w:t>
            </w:r>
            <w:r>
              <w:rPr>
                <w:rFonts w:hint="eastAsia" w:cs="Times New Roman"/>
                <w:color w:val="auto"/>
                <w:szCs w:val="24"/>
                <w:lang w:val="en-US" w:eastAsia="zh-CN"/>
              </w:rPr>
              <w:t>0.308</w:t>
            </w:r>
            <w:r>
              <w:rPr>
                <w:rFonts w:hint="default" w:ascii="Times New Roman" w:hAnsi="Times New Roman" w:eastAsia="宋体" w:cs="Times New Roman"/>
                <w:color w:val="auto"/>
                <w:szCs w:val="24"/>
                <w:lang w:val="en-US" w:eastAsia="zh-CN"/>
              </w:rPr>
              <w:t>t/a</w:t>
            </w:r>
            <w:r>
              <w:rPr>
                <w:rFonts w:hint="eastAsia" w:ascii="Times New Roman" w:hAnsi="Times New Roman" w:eastAsia="宋体" w:cs="Times New Roman"/>
                <w:color w:val="auto"/>
                <w:szCs w:val="24"/>
                <w:lang w:val="en-US" w:eastAsia="zh-CN"/>
              </w:rPr>
              <w:t>、VOCs0.285t/a</w:t>
            </w:r>
            <w:r>
              <w:rPr>
                <w:rFonts w:hint="default" w:ascii="Times New Roman" w:hAnsi="Times New Roman" w:eastAsia="宋体" w:cs="Times New Roman"/>
                <w:color w:val="auto"/>
                <w:szCs w:val="24"/>
                <w:lang w:val="en-US" w:eastAsia="zh-CN"/>
              </w:rPr>
              <w:t>在</w:t>
            </w:r>
            <w:r>
              <w:rPr>
                <w:rFonts w:hint="eastAsia" w:ascii="Times New Roman" w:hAnsi="Times New Roman" w:eastAsia="宋体" w:cs="Times New Roman"/>
                <w:color w:val="auto"/>
                <w:szCs w:val="24"/>
                <w:lang w:val="en-US" w:eastAsia="zh-CN"/>
              </w:rPr>
              <w:t>金坛</w:t>
            </w:r>
            <w:r>
              <w:rPr>
                <w:rFonts w:hint="default" w:ascii="Times New Roman" w:hAnsi="Times New Roman" w:cs="Times New Roman"/>
                <w:color w:val="auto"/>
                <w:szCs w:val="24"/>
                <w:lang w:val="en-US" w:eastAsia="zh-CN"/>
              </w:rPr>
              <w:t>区</w:t>
            </w:r>
            <w:r>
              <w:rPr>
                <w:rFonts w:hint="default" w:ascii="Times New Roman" w:hAnsi="Times New Roman" w:eastAsia="宋体" w:cs="Times New Roman"/>
                <w:color w:val="auto"/>
                <w:szCs w:val="24"/>
                <w:lang w:val="en-US" w:eastAsia="zh-CN"/>
              </w:rPr>
              <w:t>区域内进行平衡。</w:t>
            </w:r>
          </w:p>
          <w:p w14:paraId="78AF9A2F">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outlineLvl w:val="0"/>
              <w:rPr>
                <w:rFonts w:ascii="Times New Roman" w:hAnsi="Times New Roman" w:eastAsia="宋体" w:cs="宋体"/>
                <w:snapToGrid w:val="0"/>
                <w:color w:val="auto"/>
                <w:sz w:val="36"/>
                <w:szCs w:val="36"/>
                <w:highlight w:val="none"/>
                <w:vertAlign w:val="baseline"/>
              </w:rPr>
            </w:pPr>
            <w:r>
              <w:rPr>
                <w:rFonts w:hint="default" w:ascii="Times New Roman" w:hAnsi="Times New Roman" w:eastAsia="宋体" w:cs="Times New Roman"/>
                <w:color w:val="auto"/>
                <w:kern w:val="2"/>
                <w:sz w:val="24"/>
                <w:szCs w:val="24"/>
                <w:lang w:val="en-US" w:eastAsia="zh-CN" w:bidi="ar-SA"/>
              </w:rPr>
              <w:t>按照《江苏省排放污染物总量控制暂行规定》，由建设单位提出总量控制指标申请，经</w:t>
            </w:r>
            <w:r>
              <w:rPr>
                <w:rFonts w:hint="eastAsia" w:ascii="Times New Roman" w:hAnsi="Times New Roman" w:eastAsia="宋体" w:cs="Times New Roman"/>
                <w:color w:val="auto"/>
                <w:kern w:val="2"/>
                <w:sz w:val="24"/>
                <w:szCs w:val="24"/>
                <w:lang w:val="en-US" w:eastAsia="zh-CN" w:bidi="ar-SA"/>
              </w:rPr>
              <w:t>常州市</w:t>
            </w:r>
            <w:r>
              <w:rPr>
                <w:rFonts w:hint="eastAsia" w:ascii="Times New Roman" w:hAnsi="Times New Roman" w:eastAsia="宋体" w:cs="Times New Roman"/>
                <w:color w:val="auto"/>
                <w:szCs w:val="24"/>
                <w:lang w:val="en-US" w:eastAsia="zh-CN"/>
              </w:rPr>
              <w:t>金坛</w:t>
            </w:r>
            <w:r>
              <w:rPr>
                <w:rFonts w:hint="default" w:ascii="Times New Roman" w:hAnsi="Times New Roman" w:eastAsia="宋体" w:cs="Times New Roman"/>
                <w:color w:val="auto"/>
                <w:kern w:val="2"/>
                <w:sz w:val="24"/>
                <w:szCs w:val="24"/>
                <w:lang w:val="en-US" w:eastAsia="zh-CN" w:bidi="ar-SA"/>
              </w:rPr>
              <w:t>生态环境局批准下达，并以排放污染物许可证的形式保证实施，大气污染物排放总量在</w:t>
            </w:r>
            <w:r>
              <w:rPr>
                <w:rFonts w:hint="eastAsia" w:ascii="Times New Roman" w:hAnsi="Times New Roman" w:eastAsia="宋体" w:cs="Times New Roman"/>
                <w:color w:val="auto"/>
                <w:kern w:val="2"/>
                <w:sz w:val="24"/>
                <w:szCs w:val="24"/>
                <w:lang w:val="en-US" w:eastAsia="zh-CN" w:bidi="ar-SA"/>
              </w:rPr>
              <w:t>金坛</w:t>
            </w:r>
            <w:r>
              <w:rPr>
                <w:rFonts w:hint="default" w:ascii="Times New Roman" w:hAnsi="Times New Roman" w:eastAsia="宋体" w:cs="Times New Roman"/>
                <w:color w:val="auto"/>
                <w:kern w:val="2"/>
                <w:sz w:val="24"/>
                <w:szCs w:val="24"/>
                <w:lang w:val="en-US" w:eastAsia="zh-CN" w:bidi="ar-SA"/>
              </w:rPr>
              <w:t>区区域内进行平衡。</w:t>
            </w:r>
          </w:p>
        </w:tc>
      </w:tr>
    </w:tbl>
    <w:p w14:paraId="40FD72D3">
      <w:pPr>
        <w:pStyle w:val="19"/>
        <w:widowControl w:val="0"/>
        <w:jc w:val="center"/>
        <w:outlineLvl w:val="0"/>
        <w:rPr>
          <w:rFonts w:ascii="Times New Roman" w:hAnsi="Times New Roman" w:eastAsia="宋体" w:cs="宋体"/>
          <w:snapToGrid w:val="0"/>
          <w:color w:val="auto"/>
          <w:sz w:val="36"/>
          <w:szCs w:val="36"/>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3D5C4143">
      <w:pPr>
        <w:pStyle w:val="19"/>
        <w:widowControl w:val="0"/>
        <w:jc w:val="center"/>
        <w:outlineLvl w:val="0"/>
        <w:rPr>
          <w:rFonts w:ascii="Times New Roman" w:hAnsi="Times New Roman" w:eastAsia="宋体" w:cs="宋体"/>
          <w:snapToGrid w:val="0"/>
          <w:color w:val="auto"/>
          <w:sz w:val="30"/>
          <w:szCs w:val="30"/>
          <w:highlight w:val="none"/>
        </w:rPr>
      </w:pPr>
      <w:bookmarkStart w:id="11" w:name="_Toc7978"/>
      <w:r>
        <w:rPr>
          <w:rFonts w:hint="eastAsia" w:ascii="Times New Roman" w:hAnsi="Times New Roman" w:eastAsia="宋体" w:cs="宋体"/>
          <w:snapToGrid w:val="0"/>
          <w:color w:val="auto"/>
          <w:sz w:val="30"/>
          <w:szCs w:val="30"/>
          <w:highlight w:val="none"/>
        </w:rPr>
        <w:t>四、主要环境影响和保护措施</w:t>
      </w:r>
      <w:bookmarkEnd w:id="11"/>
    </w:p>
    <w:tbl>
      <w:tblPr>
        <w:tblStyle w:val="21"/>
        <w:tblW w:w="90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70" w:type="dxa"/>
          <w:bottom w:w="0" w:type="dxa"/>
          <w:right w:w="170" w:type="dxa"/>
        </w:tblCellMar>
      </w:tblPr>
      <w:tblGrid>
        <w:gridCol w:w="264"/>
        <w:gridCol w:w="8779"/>
      </w:tblGrid>
      <w:tr w14:paraId="496F0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70" w:type="dxa"/>
            <w:bottom w:w="0" w:type="dxa"/>
            <w:right w:w="170" w:type="dxa"/>
          </w:tblCellMar>
        </w:tblPrEx>
        <w:trPr>
          <w:trHeight w:val="863" w:hRule="atLeast"/>
          <w:jc w:val="center"/>
        </w:trPr>
        <w:tc>
          <w:tcPr>
            <w:tcW w:w="391" w:type="dxa"/>
            <w:tcMar>
              <w:left w:w="28" w:type="dxa"/>
              <w:right w:w="28" w:type="dxa"/>
            </w:tcMar>
            <w:vAlign w:val="center"/>
          </w:tcPr>
          <w:p w14:paraId="7DCE945B">
            <w:pPr>
              <w:pStyle w:val="19"/>
              <w:widowControl w:val="0"/>
              <w:adjustRightInd w:val="0"/>
              <w:snapToGrid w:val="0"/>
              <w:spacing w:before="0" w:beforeAutospacing="0" w:after="0" w:afterAutospacing="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施工</w:t>
            </w:r>
          </w:p>
          <w:p w14:paraId="67686B1A">
            <w:pPr>
              <w:pStyle w:val="19"/>
              <w:widowControl w:val="0"/>
              <w:adjustRightInd w:val="0"/>
              <w:snapToGrid w:val="0"/>
              <w:spacing w:before="0" w:beforeAutospacing="0" w:after="0" w:afterAutospacing="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期环</w:t>
            </w:r>
          </w:p>
          <w:p w14:paraId="09D0C341">
            <w:pPr>
              <w:pStyle w:val="19"/>
              <w:widowControl w:val="0"/>
              <w:adjustRightInd w:val="0"/>
              <w:snapToGrid w:val="0"/>
              <w:spacing w:before="0" w:beforeAutospacing="0" w:after="0" w:afterAutospacing="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境保</w:t>
            </w:r>
          </w:p>
          <w:p w14:paraId="26B9EB5D">
            <w:pPr>
              <w:pStyle w:val="19"/>
              <w:widowControl w:val="0"/>
              <w:adjustRightInd w:val="0"/>
              <w:snapToGrid w:val="0"/>
              <w:spacing w:before="0" w:beforeAutospacing="0" w:after="0" w:afterAutospacing="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护措</w:t>
            </w:r>
          </w:p>
          <w:p w14:paraId="34926415">
            <w:pPr>
              <w:pStyle w:val="19"/>
              <w:widowControl w:val="0"/>
              <w:adjustRightInd w:val="0"/>
              <w:snapToGrid w:val="0"/>
              <w:spacing w:before="0" w:beforeAutospacing="0" w:after="0" w:afterAutospacing="0"/>
              <w:jc w:val="center"/>
              <w:rPr>
                <w:rFonts w:ascii="Times New Roman" w:hAnsi="Times New Roman" w:eastAsia="宋体" w:cs="宋体"/>
                <w:bCs/>
                <w:color w:val="auto"/>
                <w:kern w:val="2"/>
                <w:sz w:val="21"/>
                <w:szCs w:val="21"/>
                <w:highlight w:val="none"/>
              </w:rPr>
            </w:pPr>
            <w:r>
              <w:rPr>
                <w:rFonts w:hint="eastAsia" w:ascii="Times New Roman" w:hAnsi="Times New Roman" w:eastAsia="宋体" w:cs="宋体"/>
                <w:color w:val="auto"/>
                <w:kern w:val="2"/>
                <w:sz w:val="21"/>
                <w:szCs w:val="21"/>
                <w:highlight w:val="none"/>
              </w:rPr>
              <w:t>施</w:t>
            </w:r>
          </w:p>
        </w:tc>
        <w:tc>
          <w:tcPr>
            <w:tcW w:w="8652" w:type="dxa"/>
            <w:vAlign w:val="center"/>
          </w:tcPr>
          <w:p w14:paraId="7CA94EBE">
            <w:pPr>
              <w:autoSpaceDE w:val="0"/>
              <w:autoSpaceDN w:val="0"/>
              <w:spacing w:line="360" w:lineRule="auto"/>
              <w:ind w:firstLine="480" w:firstLineChars="200"/>
              <w:jc w:val="left"/>
              <w:rPr>
                <w:rFonts w:ascii="Times New Roman" w:hAnsi="Times New Roman" w:eastAsia="宋体" w:cs="宋体"/>
                <w:bCs/>
                <w:color w:val="auto"/>
                <w:spacing w:val="-10"/>
                <w:szCs w:val="21"/>
                <w:highlight w:val="none"/>
              </w:rPr>
            </w:pPr>
            <w:r>
              <w:rPr>
                <w:rFonts w:ascii="Times New Roman" w:hAnsi="Times New Roman" w:eastAsia="宋体" w:cs="宋体"/>
                <w:color w:val="auto"/>
                <w:kern w:val="0"/>
                <w:sz w:val="24"/>
                <w:highlight w:val="none"/>
              </w:rPr>
              <w:t>本项目</w:t>
            </w:r>
            <w:r>
              <w:rPr>
                <w:rFonts w:hint="eastAsia" w:ascii="Times New Roman" w:hAnsi="Times New Roman" w:eastAsia="宋体" w:cs="宋体"/>
                <w:color w:val="auto"/>
                <w:kern w:val="0"/>
                <w:sz w:val="24"/>
                <w:highlight w:val="none"/>
              </w:rPr>
              <w:t>利用</w:t>
            </w:r>
            <w:r>
              <w:rPr>
                <w:rFonts w:ascii="Times New Roman" w:hAnsi="Times New Roman" w:eastAsia="宋体" w:cs="宋体"/>
                <w:color w:val="auto"/>
                <w:kern w:val="0"/>
                <w:sz w:val="24"/>
                <w:highlight w:val="none"/>
              </w:rPr>
              <w:t>现有的空置厂房以及设施进行建设，施工期主要内容为设备安装，不新建建筑，在施工期间对周围环境的影响主要是生产设备的安装和调试期间产生的少量设备包装箱等。为减少施工期间对周围环境的影响，项目在设备安装施工期间，垃圾清运到指定的堆放场所。本项目工程量较小，施工期短，施工期产生的</w:t>
            </w:r>
            <w:r>
              <w:rPr>
                <w:rFonts w:hint="eastAsia" w:ascii="Times New Roman" w:hAnsi="Times New Roman" w:eastAsia="宋体" w:cs="宋体"/>
                <w:color w:val="auto"/>
                <w:kern w:val="0"/>
                <w:sz w:val="24"/>
                <w:highlight w:val="none"/>
              </w:rPr>
              <w:t>设备包装箱</w:t>
            </w:r>
            <w:r>
              <w:rPr>
                <w:rFonts w:ascii="Times New Roman" w:hAnsi="Times New Roman" w:eastAsia="宋体" w:cs="宋体"/>
                <w:color w:val="auto"/>
                <w:kern w:val="0"/>
                <w:sz w:val="24"/>
                <w:highlight w:val="none"/>
              </w:rPr>
              <w:t>等外售综合利用，固废均能合理处置，因此施工期间对周围环境的影响较小。</w:t>
            </w:r>
          </w:p>
        </w:tc>
      </w:tr>
      <w:tr w14:paraId="51AEA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70" w:type="dxa"/>
            <w:bottom w:w="0" w:type="dxa"/>
            <w:right w:w="170" w:type="dxa"/>
          </w:tblCellMar>
        </w:tblPrEx>
        <w:trPr>
          <w:trHeight w:val="6810" w:hRule="atLeast"/>
          <w:jc w:val="center"/>
        </w:trPr>
        <w:tc>
          <w:tcPr>
            <w:tcW w:w="391" w:type="dxa"/>
            <w:tcMar>
              <w:left w:w="28" w:type="dxa"/>
              <w:right w:w="28" w:type="dxa"/>
            </w:tcMar>
            <w:vAlign w:val="center"/>
          </w:tcPr>
          <w:p w14:paraId="68B5B7FD">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运营</w:t>
            </w:r>
          </w:p>
          <w:p w14:paraId="29081043">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期环</w:t>
            </w:r>
          </w:p>
          <w:p w14:paraId="15823B87">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境影</w:t>
            </w:r>
          </w:p>
          <w:p w14:paraId="75ECA32D">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响和</w:t>
            </w:r>
          </w:p>
          <w:p w14:paraId="2B8AB7B0">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保护</w:t>
            </w:r>
          </w:p>
          <w:p w14:paraId="170D0CBC">
            <w:pPr>
              <w:adjustRightInd w:val="0"/>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措施</w:t>
            </w:r>
          </w:p>
        </w:tc>
        <w:tc>
          <w:tcPr>
            <w:tcW w:w="8652" w:type="dxa"/>
            <w:vAlign w:val="center"/>
          </w:tcPr>
          <w:p w14:paraId="7218855D">
            <w:pPr>
              <w:spacing w:line="360" w:lineRule="auto"/>
              <w:ind w:firstLine="482" w:firstLineChars="200"/>
              <w:rPr>
                <w:rFonts w:ascii="Times New Roman" w:hAnsi="Times New Roman" w:eastAsia="宋体" w:cs="宋体"/>
                <w:b/>
                <w:color w:val="auto"/>
                <w:sz w:val="24"/>
                <w:szCs w:val="32"/>
                <w:highlight w:val="none"/>
              </w:rPr>
            </w:pPr>
            <w:r>
              <w:rPr>
                <w:rFonts w:hint="eastAsia" w:ascii="Times New Roman" w:hAnsi="Times New Roman" w:eastAsia="宋体" w:cs="宋体"/>
                <w:b/>
                <w:color w:val="auto"/>
                <w:sz w:val="24"/>
                <w:szCs w:val="32"/>
                <w:highlight w:val="none"/>
              </w:rPr>
              <w:t>1、</w:t>
            </w:r>
            <w:r>
              <w:rPr>
                <w:rFonts w:ascii="Times New Roman" w:hAnsi="Times New Roman" w:eastAsia="宋体" w:cs="宋体"/>
                <w:b/>
                <w:color w:val="auto"/>
                <w:sz w:val="24"/>
                <w:szCs w:val="32"/>
                <w:highlight w:val="none"/>
              </w:rPr>
              <w:t>废气</w:t>
            </w:r>
          </w:p>
          <w:p w14:paraId="7115718A">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（1）产生情况</w:t>
            </w:r>
          </w:p>
          <w:p w14:paraId="5F4846A0">
            <w:pPr>
              <w:spacing w:line="360" w:lineRule="auto"/>
              <w:ind w:firstLine="480" w:firstLineChars="200"/>
              <w:rPr>
                <w:rFonts w:hint="eastAsia" w:ascii="Times New Roman" w:hAnsi="Times New Roman" w:eastAsia="宋体" w:cs="宋体"/>
                <w:color w:val="auto"/>
                <w:sz w:val="24"/>
                <w:szCs w:val="32"/>
                <w:highlight w:val="none"/>
              </w:rPr>
            </w:pPr>
            <w:r>
              <w:rPr>
                <w:rFonts w:hint="eastAsia" w:cs="宋体"/>
                <w:color w:val="auto"/>
                <w:sz w:val="24"/>
                <w:szCs w:val="32"/>
                <w:highlight w:val="none"/>
                <w:lang w:val="en-US" w:eastAsia="zh-CN"/>
              </w:rPr>
              <w:t>熔化烟尘</w:t>
            </w:r>
            <w:r>
              <w:rPr>
                <w:rFonts w:hint="eastAsia" w:ascii="Times New Roman" w:hAnsi="Times New Roman" w:eastAsia="宋体" w:cs="宋体"/>
                <w:color w:val="auto"/>
                <w:sz w:val="24"/>
                <w:szCs w:val="32"/>
                <w:highlight w:val="none"/>
              </w:rPr>
              <w:t>G1：根据《排放源统计调查产排污核算方法和系数手册》—33-37,431-434机械行业系数手册，</w:t>
            </w:r>
            <w:r>
              <w:rPr>
                <w:rFonts w:hint="eastAsia" w:cs="宋体"/>
                <w:color w:val="auto"/>
                <w:sz w:val="24"/>
                <w:szCs w:val="32"/>
                <w:highlight w:val="none"/>
                <w:lang w:val="en-US" w:eastAsia="zh-CN"/>
              </w:rPr>
              <w:t>熔化</w:t>
            </w:r>
            <w:r>
              <w:rPr>
                <w:rFonts w:hint="eastAsia" w:ascii="Times New Roman" w:hAnsi="Times New Roman" w:eastAsia="宋体" w:cs="宋体"/>
                <w:color w:val="auto"/>
                <w:sz w:val="24"/>
                <w:szCs w:val="32"/>
                <w:highlight w:val="none"/>
              </w:rPr>
              <w:t>过程颗粒物产污系数为</w:t>
            </w:r>
            <w:r>
              <w:rPr>
                <w:rFonts w:hint="eastAsia" w:cs="宋体"/>
                <w:color w:val="auto"/>
                <w:sz w:val="24"/>
                <w:szCs w:val="32"/>
                <w:highlight w:val="none"/>
                <w:lang w:val="en-US" w:eastAsia="zh-CN"/>
              </w:rPr>
              <w:t>0.943</w:t>
            </w:r>
            <w:r>
              <w:rPr>
                <w:rFonts w:hint="eastAsia" w:ascii="Times New Roman" w:hAnsi="Times New Roman" w:eastAsia="宋体" w:cs="宋体"/>
                <w:color w:val="auto"/>
                <w:sz w:val="24"/>
                <w:szCs w:val="32"/>
                <w:highlight w:val="none"/>
              </w:rPr>
              <w:t>kg/t-</w:t>
            </w:r>
            <w:r>
              <w:rPr>
                <w:rFonts w:hint="eastAsia" w:cs="宋体"/>
                <w:color w:val="auto"/>
                <w:sz w:val="24"/>
                <w:szCs w:val="32"/>
                <w:highlight w:val="none"/>
                <w:lang w:val="en-US" w:eastAsia="zh-CN"/>
              </w:rPr>
              <w:t>产品</w:t>
            </w:r>
            <w:r>
              <w:rPr>
                <w:rFonts w:hint="eastAsia" w:ascii="Times New Roman" w:hAnsi="Times New Roman" w:eastAsia="宋体" w:cs="宋体"/>
                <w:color w:val="auto"/>
                <w:sz w:val="24"/>
                <w:szCs w:val="32"/>
                <w:highlight w:val="none"/>
              </w:rPr>
              <w:t>，本项目</w:t>
            </w:r>
            <w:r>
              <w:rPr>
                <w:rFonts w:hint="eastAsia" w:cs="宋体"/>
                <w:color w:val="auto"/>
                <w:sz w:val="24"/>
                <w:szCs w:val="32"/>
                <w:highlight w:val="none"/>
                <w:lang w:val="en-US" w:eastAsia="zh-CN"/>
              </w:rPr>
              <w:t>铝铸件产量</w:t>
            </w:r>
            <w:r>
              <w:rPr>
                <w:rFonts w:hint="eastAsia" w:ascii="Times New Roman" w:hAnsi="Times New Roman" w:eastAsia="宋体" w:cs="宋体"/>
                <w:color w:val="auto"/>
                <w:sz w:val="24"/>
                <w:szCs w:val="32"/>
                <w:highlight w:val="none"/>
              </w:rPr>
              <w:t>为</w:t>
            </w:r>
            <w:r>
              <w:rPr>
                <w:rFonts w:hint="eastAsia" w:cs="宋体"/>
                <w:color w:val="auto"/>
                <w:sz w:val="24"/>
                <w:szCs w:val="32"/>
                <w:highlight w:val="none"/>
                <w:lang w:val="en-US" w:eastAsia="zh-CN"/>
              </w:rPr>
              <w:t>6</w:t>
            </w:r>
            <w:r>
              <w:rPr>
                <w:rFonts w:hint="eastAsia" w:ascii="Times New Roman" w:hAnsi="Times New Roman" w:eastAsia="宋体" w:cs="宋体"/>
                <w:color w:val="auto"/>
                <w:sz w:val="24"/>
                <w:szCs w:val="32"/>
                <w:highlight w:val="none"/>
              </w:rPr>
              <w:t>00t/a，则颗粒物产生量为</w:t>
            </w:r>
            <w:r>
              <w:rPr>
                <w:rFonts w:hint="eastAsia" w:cs="宋体"/>
                <w:color w:val="auto"/>
                <w:sz w:val="24"/>
                <w:szCs w:val="32"/>
                <w:highlight w:val="none"/>
                <w:lang w:val="en-US" w:eastAsia="zh-CN"/>
              </w:rPr>
              <w:t>0.566</w:t>
            </w:r>
            <w:r>
              <w:rPr>
                <w:rFonts w:hint="eastAsia" w:ascii="Times New Roman" w:hAnsi="Times New Roman" w:eastAsia="宋体" w:cs="宋体"/>
                <w:color w:val="auto"/>
                <w:sz w:val="24"/>
                <w:szCs w:val="32"/>
                <w:highlight w:val="none"/>
              </w:rPr>
              <w:t>t/a，</w:t>
            </w:r>
            <w:r>
              <w:rPr>
                <w:rFonts w:hint="eastAsia" w:eastAsia="宋体"/>
                <w:smallCaps w:val="0"/>
                <w:color w:val="auto"/>
                <w:sz w:val="24"/>
                <w:szCs w:val="32"/>
                <w:lang w:val="en-US" w:eastAsia="zh-CN"/>
              </w:rPr>
              <w:t>熔化炉上方</w:t>
            </w:r>
            <w:r>
              <w:rPr>
                <w:rFonts w:hint="eastAsia" w:ascii="Times New Roman" w:hAnsi="Times New Roman" w:eastAsia="宋体"/>
                <w:smallCaps w:val="0"/>
                <w:color w:val="auto"/>
                <w:sz w:val="24"/>
                <w:szCs w:val="32"/>
              </w:rPr>
              <w:t>设置集气罩，</w:t>
            </w:r>
            <w:r>
              <w:rPr>
                <w:rFonts w:hint="eastAsia" w:cs="宋体"/>
                <w:color w:val="auto"/>
                <w:sz w:val="24"/>
                <w:szCs w:val="32"/>
                <w:highlight w:val="none"/>
                <w:lang w:val="en-US" w:eastAsia="zh-CN"/>
              </w:rPr>
              <w:t>熔化烟尘</w:t>
            </w:r>
            <w:r>
              <w:rPr>
                <w:rFonts w:hint="eastAsia" w:ascii="Times New Roman" w:hAnsi="Times New Roman" w:eastAsia="宋体"/>
                <w:smallCaps w:val="0"/>
                <w:color w:val="auto"/>
                <w:sz w:val="24"/>
                <w:szCs w:val="32"/>
              </w:rPr>
              <w:t>经集气罩收集（</w:t>
            </w:r>
            <w:r>
              <w:rPr>
                <w:rFonts w:ascii="Times New Roman" w:hAnsi="Times New Roman" w:eastAsia="宋体"/>
                <w:smallCaps w:val="0"/>
                <w:color w:val="auto"/>
                <w:sz w:val="24"/>
                <w:szCs w:val="32"/>
              </w:rPr>
              <w:t>风机风量</w:t>
            </w:r>
            <w:r>
              <w:rPr>
                <w:rFonts w:hint="eastAsia" w:eastAsia="宋体"/>
                <w:smallCaps w:val="0"/>
                <w:color w:val="auto"/>
                <w:sz w:val="24"/>
                <w:szCs w:val="32"/>
                <w:lang w:val="en-US" w:eastAsia="zh-CN"/>
              </w:rPr>
              <w:t>10</w:t>
            </w:r>
            <w:r>
              <w:rPr>
                <w:rFonts w:ascii="Times New Roman" w:hAnsi="Times New Roman" w:eastAsia="宋体"/>
                <w:smallCaps w:val="0"/>
                <w:color w:val="auto"/>
                <w:sz w:val="24"/>
                <w:szCs w:val="32"/>
              </w:rPr>
              <w:t>000m</w:t>
            </w:r>
            <w:r>
              <w:rPr>
                <w:rFonts w:ascii="Times New Roman" w:hAnsi="Times New Roman" w:eastAsia="宋体"/>
                <w:smallCaps w:val="0"/>
                <w:color w:val="auto"/>
                <w:sz w:val="24"/>
                <w:szCs w:val="32"/>
                <w:vertAlign w:val="superscript"/>
              </w:rPr>
              <w:t>3</w:t>
            </w:r>
            <w:r>
              <w:rPr>
                <w:rFonts w:ascii="Times New Roman" w:hAnsi="Times New Roman" w:eastAsia="宋体"/>
                <w:smallCaps w:val="0"/>
                <w:color w:val="auto"/>
                <w:sz w:val="24"/>
                <w:szCs w:val="32"/>
              </w:rPr>
              <w:t>/h</w:t>
            </w:r>
            <w:r>
              <w:rPr>
                <w:rFonts w:hint="eastAsia" w:ascii="Times New Roman" w:hAnsi="Times New Roman" w:eastAsia="宋体" w:cs="宋体"/>
                <w:color w:val="auto"/>
                <w:sz w:val="24"/>
                <w:szCs w:val="32"/>
                <w:highlight w:val="none"/>
              </w:rPr>
              <w:t>，收集效率以9</w:t>
            </w:r>
            <w:r>
              <w:rPr>
                <w:rFonts w:hint="eastAsia" w:ascii="Times New Roman" w:hAnsi="Times New Roman" w:eastAsia="宋体" w:cs="宋体"/>
                <w:color w:val="auto"/>
                <w:sz w:val="24"/>
                <w:szCs w:val="32"/>
                <w:highlight w:val="none"/>
                <w:lang w:val="en-US" w:eastAsia="zh-CN"/>
              </w:rPr>
              <w:t>0</w:t>
            </w:r>
            <w:r>
              <w:rPr>
                <w:rFonts w:hint="eastAsia" w:ascii="Times New Roman" w:hAnsi="Times New Roman" w:eastAsia="宋体" w:cs="宋体"/>
                <w:color w:val="auto"/>
                <w:sz w:val="24"/>
                <w:szCs w:val="32"/>
                <w:highlight w:val="none"/>
              </w:rPr>
              <w:t>%计</w:t>
            </w:r>
            <w:r>
              <w:rPr>
                <w:rFonts w:hint="eastAsia" w:ascii="Times New Roman" w:hAnsi="Times New Roman" w:eastAsia="宋体"/>
                <w:smallCaps w:val="0"/>
                <w:color w:val="auto"/>
                <w:sz w:val="24"/>
                <w:szCs w:val="32"/>
              </w:rPr>
              <w:t>），</w:t>
            </w:r>
            <w:r>
              <w:rPr>
                <w:rFonts w:hint="eastAsia" w:eastAsia="宋体"/>
                <w:smallCaps w:val="0"/>
                <w:color w:val="auto"/>
                <w:sz w:val="24"/>
                <w:szCs w:val="32"/>
                <w:lang w:val="en-US" w:eastAsia="zh-CN"/>
              </w:rPr>
              <w:t>水喷淋</w:t>
            </w:r>
            <w:r>
              <w:rPr>
                <w:rFonts w:ascii="Times New Roman" w:hAnsi="Times New Roman" w:eastAsia="宋体"/>
                <w:smallCaps w:val="0"/>
                <w:color w:val="auto"/>
                <w:sz w:val="24"/>
                <w:szCs w:val="32"/>
              </w:rPr>
              <w:t>处理</w:t>
            </w:r>
            <w:r>
              <w:rPr>
                <w:rFonts w:hint="eastAsia" w:ascii="Times New Roman" w:hAnsi="Times New Roman" w:eastAsia="宋体"/>
                <w:smallCaps w:val="0"/>
                <w:color w:val="auto"/>
                <w:sz w:val="24"/>
                <w:szCs w:val="32"/>
                <w:lang w:eastAsia="zh-CN"/>
              </w:rPr>
              <w:t>（</w:t>
            </w:r>
            <w:r>
              <w:rPr>
                <w:rFonts w:hint="eastAsia" w:ascii="Times New Roman" w:hAnsi="Times New Roman" w:eastAsia="宋体" w:cs="宋体"/>
                <w:color w:val="auto"/>
                <w:sz w:val="24"/>
                <w:szCs w:val="32"/>
                <w:highlight w:val="none"/>
                <w:lang w:val="en-US" w:eastAsia="zh-CN"/>
              </w:rPr>
              <w:t>处理效率以90%计</w:t>
            </w:r>
            <w:r>
              <w:rPr>
                <w:rFonts w:hint="eastAsia" w:ascii="Times New Roman" w:hAnsi="Times New Roman" w:eastAsia="宋体"/>
                <w:smallCaps w:val="0"/>
                <w:color w:val="auto"/>
                <w:sz w:val="24"/>
                <w:szCs w:val="32"/>
                <w:lang w:eastAsia="zh-CN"/>
              </w:rPr>
              <w:t>）</w:t>
            </w:r>
            <w:r>
              <w:rPr>
                <w:rFonts w:ascii="Times New Roman" w:hAnsi="Times New Roman" w:eastAsia="宋体"/>
                <w:smallCaps w:val="0"/>
                <w:color w:val="auto"/>
                <w:sz w:val="24"/>
                <w:szCs w:val="32"/>
              </w:rPr>
              <w:t>，</w:t>
            </w:r>
            <w:r>
              <w:rPr>
                <w:rFonts w:hint="eastAsia" w:ascii="Times New Roman" w:hAnsi="Times New Roman" w:eastAsia="宋体"/>
                <w:smallCaps w:val="0"/>
                <w:color w:val="auto"/>
                <w:sz w:val="24"/>
                <w:szCs w:val="32"/>
              </w:rPr>
              <w:t>15</w:t>
            </w:r>
            <w:r>
              <w:rPr>
                <w:rFonts w:ascii="Times New Roman" w:hAnsi="Times New Roman" w:eastAsia="宋体"/>
                <w:smallCaps w:val="0"/>
                <w:color w:val="auto"/>
                <w:sz w:val="24"/>
                <w:szCs w:val="32"/>
              </w:rPr>
              <w:t>m高排气筒</w:t>
            </w:r>
            <w:r>
              <w:rPr>
                <w:rFonts w:hint="eastAsia" w:ascii="Times New Roman" w:hAnsi="Times New Roman" w:eastAsia="宋体"/>
                <w:smallCaps w:val="0"/>
                <w:color w:val="auto"/>
                <w:sz w:val="24"/>
                <w:szCs w:val="32"/>
              </w:rPr>
              <w:t>F</w:t>
            </w:r>
            <w:r>
              <w:rPr>
                <w:rFonts w:hint="eastAsia" w:ascii="Times New Roman" w:hAnsi="Times New Roman" w:eastAsia="宋体"/>
                <w:smallCaps w:val="0"/>
                <w:color w:val="auto"/>
                <w:sz w:val="24"/>
                <w:szCs w:val="32"/>
                <w:lang w:val="en-US" w:eastAsia="zh-CN"/>
              </w:rPr>
              <w:t>Q</w:t>
            </w:r>
            <w:r>
              <w:rPr>
                <w:rFonts w:hint="eastAsia" w:ascii="Times New Roman" w:hAnsi="Times New Roman" w:eastAsia="宋体"/>
                <w:smallCaps w:val="0"/>
                <w:color w:val="auto"/>
                <w:sz w:val="24"/>
                <w:szCs w:val="32"/>
              </w:rPr>
              <w:t>-</w:t>
            </w:r>
            <w:r>
              <w:rPr>
                <w:rFonts w:hint="eastAsia" w:eastAsia="宋体"/>
                <w:smallCaps w:val="0"/>
                <w:color w:val="auto"/>
                <w:sz w:val="24"/>
                <w:szCs w:val="32"/>
                <w:lang w:val="en-US" w:eastAsia="zh-CN"/>
              </w:rPr>
              <w:t>1</w:t>
            </w:r>
            <w:r>
              <w:rPr>
                <w:rFonts w:ascii="Times New Roman" w:hAnsi="Times New Roman" w:eastAsia="宋体"/>
                <w:smallCaps w:val="0"/>
                <w:color w:val="auto"/>
                <w:sz w:val="24"/>
                <w:szCs w:val="32"/>
              </w:rPr>
              <w:t>排放</w:t>
            </w:r>
            <w:r>
              <w:rPr>
                <w:rFonts w:hint="eastAsia" w:ascii="Times New Roman" w:hAnsi="Times New Roman" w:eastAsia="宋体"/>
                <w:smallCaps w:val="0"/>
                <w:color w:val="auto"/>
                <w:sz w:val="24"/>
                <w:szCs w:val="32"/>
              </w:rPr>
              <w:t>。</w:t>
            </w:r>
          </w:p>
          <w:p w14:paraId="3877F9AF">
            <w:pPr>
              <w:spacing w:line="360" w:lineRule="auto"/>
              <w:ind w:firstLine="480" w:firstLineChars="200"/>
              <w:rPr>
                <w:rFonts w:hint="eastAsia" w:ascii="Times New Roman" w:hAnsi="Times New Roman" w:eastAsia="宋体" w:cs="宋体"/>
                <w:color w:val="auto"/>
                <w:sz w:val="24"/>
                <w:szCs w:val="32"/>
                <w:highlight w:val="none"/>
              </w:rPr>
            </w:pPr>
            <w:r>
              <w:rPr>
                <w:rFonts w:hint="eastAsia" w:cs="宋体"/>
                <w:color w:val="auto"/>
                <w:sz w:val="24"/>
                <w:szCs w:val="32"/>
                <w:highlight w:val="none"/>
                <w:lang w:val="en-US" w:eastAsia="zh-CN"/>
              </w:rPr>
              <w:t>天然气燃烧废气</w:t>
            </w:r>
            <w:r>
              <w:rPr>
                <w:rFonts w:hint="eastAsia" w:ascii="Times New Roman" w:hAnsi="Times New Roman" w:eastAsia="宋体" w:cs="宋体"/>
                <w:color w:val="auto"/>
                <w:sz w:val="24"/>
                <w:szCs w:val="32"/>
                <w:highlight w:val="none"/>
              </w:rPr>
              <w:t>G</w:t>
            </w:r>
            <w:r>
              <w:rPr>
                <w:rFonts w:hint="eastAsia" w:eastAsia="宋体" w:cs="宋体"/>
                <w:color w:val="auto"/>
                <w:sz w:val="24"/>
                <w:szCs w:val="32"/>
                <w:highlight w:val="none"/>
                <w:lang w:val="en-US" w:eastAsia="zh-CN"/>
              </w:rPr>
              <w:t>2</w:t>
            </w:r>
            <w:r>
              <w:rPr>
                <w:rFonts w:hint="eastAsia" w:ascii="Times New Roman" w:hAnsi="Times New Roman" w:eastAsia="宋体" w:cs="宋体"/>
                <w:color w:val="auto"/>
                <w:sz w:val="24"/>
                <w:szCs w:val="32"/>
                <w:highlight w:val="none"/>
              </w:rPr>
              <w:t>：</w:t>
            </w:r>
            <w:r>
              <w:rPr>
                <w:rFonts w:hint="eastAsia" w:eastAsia="宋体" w:cs="宋体"/>
                <w:smallCaps w:val="0"/>
                <w:color w:val="auto"/>
                <w:kern w:val="0"/>
                <w:sz w:val="24"/>
                <w:szCs w:val="24"/>
                <w:lang w:val="en-US" w:eastAsia="zh-CN"/>
              </w:rPr>
              <w:t>本项目天然气熔化炉</w:t>
            </w:r>
            <w:r>
              <w:rPr>
                <w:rFonts w:hint="eastAsia" w:ascii="Times New Roman" w:hAnsi="Times New Roman" w:eastAsia="宋体" w:cs="宋体"/>
                <w:smallCaps w:val="0"/>
                <w:color w:val="auto"/>
                <w:kern w:val="0"/>
                <w:sz w:val="24"/>
                <w:szCs w:val="24"/>
              </w:rPr>
              <w:t>需使用天然气约</w:t>
            </w:r>
            <w:r>
              <w:rPr>
                <w:rFonts w:hint="eastAsia" w:ascii="Times New Roman" w:hAnsi="Times New Roman" w:eastAsia="宋体" w:cs="宋体"/>
                <w:smallCaps w:val="0"/>
                <w:color w:val="auto"/>
                <w:kern w:val="0"/>
                <w:sz w:val="24"/>
                <w:szCs w:val="24"/>
                <w:lang w:val="en-US" w:eastAsia="zh-CN"/>
              </w:rPr>
              <w:t>1</w:t>
            </w:r>
            <w:r>
              <w:rPr>
                <w:rFonts w:hint="eastAsia" w:eastAsia="宋体" w:cs="宋体"/>
                <w:smallCaps w:val="0"/>
                <w:color w:val="auto"/>
                <w:kern w:val="0"/>
                <w:sz w:val="24"/>
                <w:szCs w:val="24"/>
                <w:lang w:val="en-US" w:eastAsia="zh-CN"/>
              </w:rPr>
              <w:t>1</w:t>
            </w:r>
            <w:r>
              <w:rPr>
                <w:rFonts w:hint="eastAsia" w:ascii="Times New Roman" w:hAnsi="Times New Roman" w:eastAsia="宋体" w:cs="宋体"/>
                <w:smallCaps w:val="0"/>
                <w:color w:val="auto"/>
                <w:kern w:val="0"/>
                <w:sz w:val="24"/>
                <w:szCs w:val="24"/>
              </w:rPr>
              <w:t>万m</w:t>
            </w:r>
            <w:r>
              <w:rPr>
                <w:rFonts w:hint="eastAsia" w:ascii="Times New Roman" w:hAnsi="Times New Roman" w:eastAsia="宋体" w:cs="宋体"/>
                <w:smallCaps w:val="0"/>
                <w:color w:val="auto"/>
                <w:kern w:val="0"/>
                <w:sz w:val="24"/>
                <w:szCs w:val="24"/>
                <w:vertAlign w:val="superscript"/>
              </w:rPr>
              <w:t>3</w:t>
            </w:r>
            <w:r>
              <w:rPr>
                <w:rFonts w:hint="eastAsia" w:ascii="Times New Roman" w:hAnsi="Times New Roman" w:eastAsia="宋体" w:cs="宋体"/>
                <w:smallCaps w:val="0"/>
                <w:color w:val="auto"/>
                <w:kern w:val="0"/>
                <w:sz w:val="24"/>
                <w:szCs w:val="24"/>
              </w:rPr>
              <w:t>/a，产生的天然气燃烧废气</w:t>
            </w:r>
            <w:r>
              <w:rPr>
                <w:rFonts w:hint="eastAsia" w:eastAsia="宋体"/>
                <w:smallCaps w:val="0"/>
                <w:color w:val="auto"/>
                <w:sz w:val="24"/>
                <w:szCs w:val="32"/>
                <w:lang w:val="en-US" w:eastAsia="zh-CN"/>
              </w:rPr>
              <w:t>水喷淋</w:t>
            </w:r>
            <w:r>
              <w:rPr>
                <w:rFonts w:hint="eastAsia" w:ascii="Times New Roman" w:hAnsi="Times New Roman" w:eastAsia="宋体"/>
                <w:smallCaps w:val="0"/>
                <w:color w:val="auto"/>
                <w:sz w:val="24"/>
                <w:szCs w:val="32"/>
              </w:rPr>
              <w:t>装置</w:t>
            </w:r>
            <w:r>
              <w:rPr>
                <w:rFonts w:ascii="Times New Roman" w:hAnsi="Times New Roman" w:eastAsia="宋体"/>
                <w:smallCaps w:val="0"/>
                <w:color w:val="auto"/>
                <w:sz w:val="24"/>
                <w:szCs w:val="32"/>
              </w:rPr>
              <w:t>处理</w:t>
            </w:r>
            <w:r>
              <w:rPr>
                <w:rFonts w:hint="eastAsia" w:ascii="Times New Roman" w:hAnsi="Times New Roman" w:eastAsia="宋体"/>
                <w:smallCaps w:val="0"/>
                <w:color w:val="auto"/>
                <w:sz w:val="24"/>
                <w:szCs w:val="32"/>
                <w:lang w:eastAsia="zh-CN"/>
              </w:rPr>
              <w:t>（</w:t>
            </w:r>
            <w:r>
              <w:rPr>
                <w:rFonts w:hint="eastAsia" w:ascii="Times New Roman" w:hAnsi="Times New Roman" w:eastAsia="宋体" w:cs="宋体"/>
                <w:color w:val="auto"/>
                <w:sz w:val="24"/>
                <w:szCs w:val="32"/>
                <w:highlight w:val="none"/>
                <w:lang w:val="en-US" w:eastAsia="zh-CN"/>
              </w:rPr>
              <w:t>处理效率以90%计</w:t>
            </w:r>
            <w:r>
              <w:rPr>
                <w:rFonts w:hint="eastAsia" w:ascii="Times New Roman" w:hAnsi="Times New Roman" w:eastAsia="宋体"/>
                <w:smallCaps w:val="0"/>
                <w:color w:val="auto"/>
                <w:sz w:val="24"/>
                <w:szCs w:val="32"/>
                <w:lang w:eastAsia="zh-CN"/>
              </w:rPr>
              <w:t>）</w:t>
            </w:r>
            <w:r>
              <w:rPr>
                <w:rFonts w:ascii="Times New Roman" w:hAnsi="Times New Roman" w:eastAsia="宋体"/>
                <w:smallCaps w:val="0"/>
                <w:color w:val="auto"/>
                <w:sz w:val="24"/>
                <w:szCs w:val="32"/>
              </w:rPr>
              <w:t>，</w:t>
            </w:r>
            <w:r>
              <w:rPr>
                <w:rFonts w:hint="eastAsia" w:ascii="Times New Roman" w:hAnsi="Times New Roman" w:eastAsia="宋体"/>
                <w:smallCaps w:val="0"/>
                <w:color w:val="auto"/>
                <w:sz w:val="24"/>
                <w:szCs w:val="32"/>
              </w:rPr>
              <w:t>15</w:t>
            </w:r>
            <w:r>
              <w:rPr>
                <w:rFonts w:ascii="Times New Roman" w:hAnsi="Times New Roman" w:eastAsia="宋体"/>
                <w:smallCaps w:val="0"/>
                <w:color w:val="auto"/>
                <w:sz w:val="24"/>
                <w:szCs w:val="32"/>
              </w:rPr>
              <w:t>m高排气筒</w:t>
            </w:r>
            <w:r>
              <w:rPr>
                <w:rFonts w:hint="eastAsia" w:ascii="Times New Roman" w:hAnsi="Times New Roman" w:eastAsia="宋体"/>
                <w:smallCaps w:val="0"/>
                <w:color w:val="auto"/>
                <w:sz w:val="24"/>
                <w:szCs w:val="32"/>
              </w:rPr>
              <w:t>F</w:t>
            </w:r>
            <w:r>
              <w:rPr>
                <w:rFonts w:hint="eastAsia" w:ascii="Times New Roman" w:hAnsi="Times New Roman" w:eastAsia="宋体"/>
                <w:smallCaps w:val="0"/>
                <w:color w:val="auto"/>
                <w:sz w:val="24"/>
                <w:szCs w:val="32"/>
                <w:lang w:val="en-US" w:eastAsia="zh-CN"/>
              </w:rPr>
              <w:t>Q</w:t>
            </w:r>
            <w:r>
              <w:rPr>
                <w:rFonts w:hint="eastAsia" w:ascii="Times New Roman" w:hAnsi="Times New Roman" w:eastAsia="宋体"/>
                <w:smallCaps w:val="0"/>
                <w:color w:val="auto"/>
                <w:sz w:val="24"/>
                <w:szCs w:val="32"/>
              </w:rPr>
              <w:t>-</w:t>
            </w:r>
            <w:r>
              <w:rPr>
                <w:rFonts w:hint="eastAsia" w:eastAsia="宋体"/>
                <w:smallCaps w:val="0"/>
                <w:color w:val="auto"/>
                <w:sz w:val="24"/>
                <w:szCs w:val="32"/>
                <w:lang w:val="en-US" w:eastAsia="zh-CN"/>
              </w:rPr>
              <w:t>1</w:t>
            </w:r>
            <w:r>
              <w:rPr>
                <w:rFonts w:ascii="Times New Roman" w:hAnsi="Times New Roman" w:eastAsia="宋体"/>
                <w:smallCaps w:val="0"/>
                <w:color w:val="auto"/>
                <w:sz w:val="24"/>
                <w:szCs w:val="32"/>
              </w:rPr>
              <w:t>排放</w:t>
            </w:r>
            <w:r>
              <w:rPr>
                <w:rFonts w:hint="eastAsia" w:ascii="Times New Roman" w:hAnsi="Times New Roman" w:eastAsia="宋体" w:cs="宋体"/>
                <w:smallCaps w:val="0"/>
                <w:color w:val="auto"/>
                <w:kern w:val="0"/>
                <w:sz w:val="24"/>
                <w:szCs w:val="24"/>
              </w:rPr>
              <w:t>。参照</w:t>
            </w:r>
            <w:r>
              <w:rPr>
                <w:rFonts w:hint="eastAsia" w:ascii="Times New Roman" w:hAnsi="Times New Roman" w:eastAsia="宋体"/>
                <w:smallCaps w:val="0"/>
                <w:color w:val="auto"/>
                <w:sz w:val="24"/>
                <w:szCs w:val="32"/>
              </w:rPr>
              <w:t>《排放源统计调查产排污核算方法和系数手册》-33-37</w:t>
            </w:r>
            <w:r>
              <w:rPr>
                <w:rFonts w:hint="eastAsia" w:ascii="Times New Roman" w:hAnsi="Times New Roman" w:eastAsia="宋体"/>
                <w:smallCaps w:val="0"/>
                <w:color w:val="auto"/>
                <w:sz w:val="24"/>
                <w:szCs w:val="32"/>
                <w:lang w:val="en-US" w:eastAsia="zh-CN"/>
              </w:rPr>
              <w:t>,</w:t>
            </w:r>
            <w:r>
              <w:rPr>
                <w:rFonts w:hint="eastAsia" w:ascii="Times New Roman" w:hAnsi="Times New Roman" w:eastAsia="宋体"/>
                <w:smallCaps w:val="0"/>
                <w:color w:val="auto"/>
                <w:sz w:val="24"/>
                <w:szCs w:val="32"/>
              </w:rPr>
              <w:t>431-434机械行业系数手册，天然气工业炉窑</w:t>
            </w:r>
            <w:r>
              <w:rPr>
                <w:rFonts w:hint="eastAsia" w:eastAsia="宋体"/>
                <w:smallCaps w:val="0"/>
                <w:color w:val="auto"/>
                <w:sz w:val="24"/>
                <w:szCs w:val="32"/>
                <w:lang w:val="en-US" w:eastAsia="zh-CN"/>
              </w:rPr>
              <w:t>工业废气量为13.6立方米/立方米-天然气，</w:t>
            </w:r>
            <w:r>
              <w:rPr>
                <w:rFonts w:hint="eastAsia" w:ascii="Times New Roman" w:hAnsi="Times New Roman" w:eastAsia="宋体"/>
                <w:smallCaps w:val="0"/>
                <w:color w:val="auto"/>
                <w:sz w:val="24"/>
                <w:szCs w:val="32"/>
              </w:rPr>
              <w:t>颗粒物产污系数为2.86kg/万m</w:t>
            </w:r>
            <w:r>
              <w:rPr>
                <w:rFonts w:hint="eastAsia" w:ascii="Times New Roman" w:hAnsi="Times New Roman" w:eastAsia="宋体"/>
                <w:smallCaps w:val="0"/>
                <w:color w:val="auto"/>
                <w:sz w:val="24"/>
                <w:szCs w:val="32"/>
                <w:vertAlign w:val="superscript"/>
              </w:rPr>
              <w:t>3</w:t>
            </w:r>
            <w:r>
              <w:rPr>
                <w:rFonts w:hint="eastAsia" w:ascii="Times New Roman" w:hAnsi="Times New Roman" w:eastAsia="宋体"/>
                <w:smallCaps w:val="0"/>
                <w:color w:val="auto"/>
                <w:sz w:val="24"/>
                <w:szCs w:val="32"/>
              </w:rPr>
              <w:t>天然气，二氧化硫产污系数为0.02S（S为收到基硫分，取值范围0~100，本次取100）kg/万m</w:t>
            </w:r>
            <w:r>
              <w:rPr>
                <w:rFonts w:hint="eastAsia" w:ascii="Times New Roman" w:hAnsi="Times New Roman" w:eastAsia="宋体"/>
                <w:smallCaps w:val="0"/>
                <w:color w:val="auto"/>
                <w:sz w:val="24"/>
                <w:szCs w:val="32"/>
                <w:vertAlign w:val="superscript"/>
              </w:rPr>
              <w:t>3</w:t>
            </w:r>
            <w:r>
              <w:rPr>
                <w:rFonts w:hint="eastAsia" w:ascii="Times New Roman" w:hAnsi="Times New Roman" w:eastAsia="宋体"/>
                <w:smallCaps w:val="0"/>
                <w:color w:val="auto"/>
                <w:sz w:val="24"/>
                <w:szCs w:val="32"/>
              </w:rPr>
              <w:t>天然气，氮氧化物产污系数为18.7kg/万m</w:t>
            </w:r>
            <w:r>
              <w:rPr>
                <w:rFonts w:hint="eastAsia" w:ascii="Times New Roman" w:hAnsi="Times New Roman" w:eastAsia="宋体"/>
                <w:smallCaps w:val="0"/>
                <w:color w:val="auto"/>
                <w:sz w:val="24"/>
                <w:szCs w:val="32"/>
                <w:vertAlign w:val="superscript"/>
              </w:rPr>
              <w:t>3</w:t>
            </w:r>
            <w:r>
              <w:rPr>
                <w:rFonts w:hint="eastAsia" w:ascii="Times New Roman" w:hAnsi="Times New Roman" w:eastAsia="宋体"/>
                <w:smallCaps w:val="0"/>
                <w:color w:val="auto"/>
                <w:sz w:val="24"/>
                <w:szCs w:val="32"/>
              </w:rPr>
              <w:t>天然气，则本项目</w:t>
            </w:r>
            <w:r>
              <w:rPr>
                <w:rFonts w:hint="eastAsia" w:eastAsia="宋体"/>
                <w:smallCaps w:val="0"/>
                <w:color w:val="auto"/>
                <w:sz w:val="24"/>
                <w:szCs w:val="32"/>
                <w:lang w:val="en-US" w:eastAsia="zh-CN"/>
              </w:rPr>
              <w:t>天然气废气产生量为149.6万m</w:t>
            </w:r>
            <w:r>
              <w:rPr>
                <w:rFonts w:hint="eastAsia" w:eastAsia="宋体"/>
                <w:smallCaps w:val="0"/>
                <w:color w:val="auto"/>
                <w:sz w:val="24"/>
                <w:szCs w:val="32"/>
                <w:vertAlign w:val="superscript"/>
                <w:lang w:val="en-US" w:eastAsia="zh-CN"/>
              </w:rPr>
              <w:t>3</w:t>
            </w:r>
            <w:r>
              <w:rPr>
                <w:rFonts w:hint="eastAsia" w:eastAsia="宋体"/>
                <w:smallCaps w:val="0"/>
                <w:color w:val="auto"/>
                <w:sz w:val="24"/>
                <w:szCs w:val="32"/>
                <w:lang w:val="en-US" w:eastAsia="zh-CN"/>
              </w:rPr>
              <w:t>/a（年工作1200h，折合为1247m</w:t>
            </w:r>
            <w:r>
              <w:rPr>
                <w:rFonts w:hint="eastAsia" w:eastAsia="宋体"/>
                <w:smallCaps w:val="0"/>
                <w:color w:val="auto"/>
                <w:sz w:val="24"/>
                <w:szCs w:val="32"/>
                <w:vertAlign w:val="superscript"/>
                <w:lang w:val="en-US" w:eastAsia="zh-CN"/>
              </w:rPr>
              <w:t>3</w:t>
            </w:r>
            <w:r>
              <w:rPr>
                <w:rFonts w:hint="eastAsia" w:eastAsia="宋体"/>
                <w:smallCaps w:val="0"/>
                <w:color w:val="auto"/>
                <w:sz w:val="24"/>
                <w:szCs w:val="32"/>
                <w:lang w:val="en-US" w:eastAsia="zh-CN"/>
              </w:rPr>
              <w:t>/h），</w:t>
            </w:r>
            <w:r>
              <w:rPr>
                <w:rFonts w:hint="eastAsia" w:ascii="Times New Roman" w:hAnsi="Times New Roman" w:eastAsia="宋体"/>
                <w:smallCaps w:val="0"/>
                <w:color w:val="auto"/>
                <w:sz w:val="24"/>
                <w:szCs w:val="32"/>
              </w:rPr>
              <w:t>颗粒物产生量为0.</w:t>
            </w:r>
            <w:r>
              <w:rPr>
                <w:rFonts w:hint="eastAsia" w:ascii="Times New Roman" w:hAnsi="Times New Roman" w:eastAsia="宋体"/>
                <w:smallCaps w:val="0"/>
                <w:color w:val="auto"/>
                <w:sz w:val="24"/>
                <w:szCs w:val="32"/>
                <w:lang w:val="en-US" w:eastAsia="zh-CN"/>
              </w:rPr>
              <w:t>0</w:t>
            </w:r>
            <w:r>
              <w:rPr>
                <w:rFonts w:hint="eastAsia" w:eastAsia="宋体"/>
                <w:smallCaps w:val="0"/>
                <w:color w:val="auto"/>
                <w:sz w:val="24"/>
                <w:szCs w:val="32"/>
                <w:lang w:val="en-US" w:eastAsia="zh-CN"/>
              </w:rPr>
              <w:t>3</w:t>
            </w:r>
            <w:r>
              <w:rPr>
                <w:rFonts w:hint="eastAsia" w:ascii="Times New Roman" w:hAnsi="Times New Roman" w:eastAsia="宋体"/>
                <w:smallCaps w:val="0"/>
                <w:color w:val="auto"/>
                <w:sz w:val="24"/>
                <w:szCs w:val="32"/>
                <w:lang w:val="en-US" w:eastAsia="zh-CN"/>
              </w:rPr>
              <w:t>1</w:t>
            </w:r>
            <w:r>
              <w:rPr>
                <w:rFonts w:hint="eastAsia" w:ascii="Times New Roman" w:hAnsi="Times New Roman" w:eastAsia="宋体"/>
                <w:smallCaps w:val="0"/>
                <w:color w:val="auto"/>
                <w:sz w:val="24"/>
                <w:szCs w:val="32"/>
              </w:rPr>
              <w:t>t/a，二氧化硫产生量为0.0</w:t>
            </w:r>
            <w:r>
              <w:rPr>
                <w:rFonts w:hint="eastAsia" w:eastAsia="宋体"/>
                <w:smallCaps w:val="0"/>
                <w:color w:val="auto"/>
                <w:sz w:val="24"/>
                <w:szCs w:val="32"/>
                <w:lang w:val="en-US" w:eastAsia="zh-CN"/>
              </w:rPr>
              <w:t>22</w:t>
            </w:r>
            <w:r>
              <w:rPr>
                <w:rFonts w:hint="eastAsia" w:ascii="Times New Roman" w:hAnsi="Times New Roman" w:eastAsia="宋体"/>
                <w:smallCaps w:val="0"/>
                <w:color w:val="auto"/>
                <w:sz w:val="24"/>
                <w:szCs w:val="32"/>
              </w:rPr>
              <w:t>t/a，氮氧化物产生量为</w:t>
            </w:r>
            <w:r>
              <w:rPr>
                <w:rFonts w:hint="eastAsia" w:ascii="Times New Roman" w:hAnsi="Times New Roman" w:eastAsia="宋体"/>
                <w:smallCaps w:val="0"/>
                <w:color w:val="auto"/>
                <w:sz w:val="24"/>
                <w:szCs w:val="32"/>
                <w:lang w:val="en-US" w:eastAsia="zh-CN"/>
              </w:rPr>
              <w:t>0.</w:t>
            </w:r>
            <w:r>
              <w:rPr>
                <w:rFonts w:hint="eastAsia" w:eastAsia="宋体"/>
                <w:smallCaps w:val="0"/>
                <w:color w:val="auto"/>
                <w:sz w:val="24"/>
                <w:szCs w:val="32"/>
                <w:lang w:val="en-US" w:eastAsia="zh-CN"/>
              </w:rPr>
              <w:t>206</w:t>
            </w:r>
            <w:r>
              <w:rPr>
                <w:rFonts w:hint="eastAsia" w:ascii="Times New Roman" w:hAnsi="Times New Roman" w:eastAsia="宋体"/>
                <w:smallCaps w:val="0"/>
                <w:color w:val="auto"/>
                <w:sz w:val="24"/>
                <w:szCs w:val="32"/>
              </w:rPr>
              <w:t>t/a</w:t>
            </w:r>
            <w:r>
              <w:rPr>
                <w:rFonts w:hint="eastAsia" w:ascii="Times New Roman" w:hAnsi="Times New Roman" w:eastAsia="宋体"/>
                <w:smallCaps w:val="0"/>
                <w:color w:val="auto"/>
                <w:sz w:val="24"/>
                <w:szCs w:val="32"/>
                <w:lang w:eastAsia="zh-CN"/>
              </w:rPr>
              <w:t>。</w:t>
            </w:r>
          </w:p>
          <w:p w14:paraId="7068F385">
            <w:pPr>
              <w:spacing w:line="360" w:lineRule="auto"/>
              <w:ind w:firstLine="480" w:firstLineChars="200"/>
              <w:rPr>
                <w:rFonts w:hint="eastAsia" w:ascii="Times New Roman" w:hAnsi="Times New Roman" w:eastAsia="宋体" w:cs="宋体"/>
                <w:color w:val="auto"/>
                <w:sz w:val="24"/>
                <w:szCs w:val="32"/>
                <w:highlight w:val="none"/>
              </w:rPr>
            </w:pPr>
            <w:r>
              <w:rPr>
                <w:rFonts w:hint="eastAsia" w:cs="宋体"/>
                <w:color w:val="auto"/>
                <w:sz w:val="24"/>
                <w:szCs w:val="32"/>
                <w:highlight w:val="none"/>
                <w:lang w:val="en-US" w:eastAsia="zh-CN"/>
              </w:rPr>
              <w:t>压铸粉尘</w:t>
            </w:r>
            <w:r>
              <w:rPr>
                <w:rFonts w:hint="eastAsia" w:ascii="Times New Roman" w:hAnsi="Times New Roman" w:eastAsia="宋体" w:cs="宋体"/>
                <w:color w:val="auto"/>
                <w:sz w:val="24"/>
                <w:szCs w:val="32"/>
                <w:highlight w:val="none"/>
              </w:rPr>
              <w:t>G</w:t>
            </w:r>
            <w:r>
              <w:rPr>
                <w:rFonts w:hint="eastAsia" w:eastAsia="宋体" w:cs="宋体"/>
                <w:color w:val="auto"/>
                <w:sz w:val="24"/>
                <w:szCs w:val="32"/>
                <w:highlight w:val="none"/>
                <w:lang w:val="en-US" w:eastAsia="zh-CN"/>
              </w:rPr>
              <w:t>3</w:t>
            </w:r>
            <w:r>
              <w:rPr>
                <w:rFonts w:hint="eastAsia" w:ascii="Times New Roman" w:hAnsi="Times New Roman" w:eastAsia="宋体" w:cs="宋体"/>
                <w:color w:val="auto"/>
                <w:sz w:val="24"/>
                <w:szCs w:val="32"/>
                <w:highlight w:val="none"/>
              </w:rPr>
              <w:t>：根据《排放源统计调查产排污核算方法和系数手册》—33-37,431-434机械行业系数手册，</w:t>
            </w:r>
            <w:r>
              <w:rPr>
                <w:rFonts w:hint="eastAsia" w:cs="宋体"/>
                <w:color w:val="auto"/>
                <w:sz w:val="24"/>
                <w:szCs w:val="32"/>
                <w:highlight w:val="none"/>
                <w:lang w:val="en-US" w:eastAsia="zh-CN"/>
              </w:rPr>
              <w:t>压铸</w:t>
            </w:r>
            <w:r>
              <w:rPr>
                <w:rFonts w:hint="eastAsia" w:ascii="Times New Roman" w:hAnsi="Times New Roman" w:eastAsia="宋体" w:cs="宋体"/>
                <w:color w:val="auto"/>
                <w:sz w:val="24"/>
                <w:szCs w:val="32"/>
                <w:highlight w:val="none"/>
              </w:rPr>
              <w:t>过程颗粒物产污系数为</w:t>
            </w:r>
            <w:r>
              <w:rPr>
                <w:rFonts w:hint="eastAsia" w:cs="宋体"/>
                <w:color w:val="auto"/>
                <w:sz w:val="24"/>
                <w:szCs w:val="32"/>
                <w:highlight w:val="none"/>
                <w:lang w:val="en-US" w:eastAsia="zh-CN"/>
              </w:rPr>
              <w:t>0.247</w:t>
            </w:r>
            <w:r>
              <w:rPr>
                <w:rFonts w:hint="eastAsia" w:ascii="Times New Roman" w:hAnsi="Times New Roman" w:eastAsia="宋体" w:cs="宋体"/>
                <w:color w:val="auto"/>
                <w:sz w:val="24"/>
                <w:szCs w:val="32"/>
                <w:highlight w:val="none"/>
              </w:rPr>
              <w:t>kg/t-</w:t>
            </w:r>
            <w:r>
              <w:rPr>
                <w:rFonts w:hint="eastAsia" w:cs="宋体"/>
                <w:color w:val="auto"/>
                <w:sz w:val="24"/>
                <w:szCs w:val="32"/>
                <w:highlight w:val="none"/>
                <w:lang w:val="en-US" w:eastAsia="zh-CN"/>
              </w:rPr>
              <w:t>产品</w:t>
            </w:r>
            <w:r>
              <w:rPr>
                <w:rFonts w:hint="eastAsia" w:ascii="Times New Roman" w:hAnsi="Times New Roman" w:eastAsia="宋体" w:cs="宋体"/>
                <w:color w:val="auto"/>
                <w:sz w:val="24"/>
                <w:szCs w:val="32"/>
                <w:highlight w:val="none"/>
              </w:rPr>
              <w:t>，本项目</w:t>
            </w:r>
            <w:r>
              <w:rPr>
                <w:rFonts w:hint="eastAsia" w:cs="宋体"/>
                <w:color w:val="auto"/>
                <w:sz w:val="24"/>
                <w:szCs w:val="32"/>
                <w:highlight w:val="none"/>
                <w:lang w:val="en-US" w:eastAsia="zh-CN"/>
              </w:rPr>
              <w:t>铝铸件产量</w:t>
            </w:r>
            <w:r>
              <w:rPr>
                <w:rFonts w:hint="eastAsia" w:ascii="Times New Roman" w:hAnsi="Times New Roman" w:eastAsia="宋体" w:cs="宋体"/>
                <w:color w:val="auto"/>
                <w:sz w:val="24"/>
                <w:szCs w:val="32"/>
                <w:highlight w:val="none"/>
              </w:rPr>
              <w:t>为</w:t>
            </w:r>
            <w:r>
              <w:rPr>
                <w:rFonts w:hint="eastAsia" w:cs="宋体"/>
                <w:color w:val="auto"/>
                <w:sz w:val="24"/>
                <w:szCs w:val="32"/>
                <w:highlight w:val="none"/>
                <w:lang w:val="en-US" w:eastAsia="zh-CN"/>
              </w:rPr>
              <w:t>6</w:t>
            </w:r>
            <w:r>
              <w:rPr>
                <w:rFonts w:hint="eastAsia" w:ascii="Times New Roman" w:hAnsi="Times New Roman" w:eastAsia="宋体" w:cs="宋体"/>
                <w:color w:val="auto"/>
                <w:sz w:val="24"/>
                <w:szCs w:val="32"/>
                <w:highlight w:val="none"/>
              </w:rPr>
              <w:t>00t/a，则颗粒物产生量为</w:t>
            </w:r>
            <w:r>
              <w:rPr>
                <w:rFonts w:hint="eastAsia" w:cs="宋体"/>
                <w:color w:val="auto"/>
                <w:sz w:val="24"/>
                <w:szCs w:val="32"/>
                <w:highlight w:val="none"/>
                <w:lang w:val="en-US" w:eastAsia="zh-CN"/>
              </w:rPr>
              <w:t>0.148</w:t>
            </w:r>
            <w:r>
              <w:rPr>
                <w:rFonts w:hint="eastAsia" w:ascii="Times New Roman" w:hAnsi="Times New Roman" w:eastAsia="宋体" w:cs="宋体"/>
                <w:color w:val="auto"/>
                <w:sz w:val="24"/>
                <w:szCs w:val="32"/>
                <w:highlight w:val="none"/>
              </w:rPr>
              <w:t>t/a，</w:t>
            </w:r>
            <w:r>
              <w:rPr>
                <w:rFonts w:hint="eastAsia" w:eastAsia="宋体"/>
                <w:smallCaps w:val="0"/>
                <w:color w:val="auto"/>
                <w:sz w:val="24"/>
                <w:szCs w:val="32"/>
                <w:lang w:val="en-US" w:eastAsia="zh-CN"/>
              </w:rPr>
              <w:t>压铸机上方</w:t>
            </w:r>
            <w:r>
              <w:rPr>
                <w:rFonts w:hint="eastAsia" w:ascii="Times New Roman" w:hAnsi="Times New Roman" w:eastAsia="宋体"/>
                <w:smallCaps w:val="0"/>
                <w:color w:val="auto"/>
                <w:sz w:val="24"/>
                <w:szCs w:val="32"/>
              </w:rPr>
              <w:t>设置集气罩，</w:t>
            </w:r>
            <w:r>
              <w:rPr>
                <w:rFonts w:hint="eastAsia" w:cs="宋体"/>
                <w:color w:val="auto"/>
                <w:sz w:val="24"/>
                <w:szCs w:val="32"/>
                <w:highlight w:val="none"/>
                <w:lang w:val="en-US" w:eastAsia="zh-CN"/>
              </w:rPr>
              <w:t>压铸粉尘</w:t>
            </w:r>
            <w:r>
              <w:rPr>
                <w:rFonts w:hint="eastAsia" w:ascii="Times New Roman" w:hAnsi="Times New Roman" w:eastAsia="宋体"/>
                <w:smallCaps w:val="0"/>
                <w:color w:val="auto"/>
                <w:sz w:val="24"/>
                <w:szCs w:val="32"/>
              </w:rPr>
              <w:t>经集气罩收集（</w:t>
            </w:r>
            <w:r>
              <w:rPr>
                <w:rFonts w:ascii="Times New Roman" w:hAnsi="Times New Roman" w:eastAsia="宋体"/>
                <w:smallCaps w:val="0"/>
                <w:color w:val="auto"/>
                <w:sz w:val="24"/>
                <w:szCs w:val="32"/>
              </w:rPr>
              <w:t>风机风量</w:t>
            </w:r>
            <w:r>
              <w:rPr>
                <w:rFonts w:hint="eastAsia" w:eastAsia="宋体"/>
                <w:smallCaps w:val="0"/>
                <w:color w:val="auto"/>
                <w:sz w:val="24"/>
                <w:szCs w:val="32"/>
                <w:lang w:val="en-US" w:eastAsia="zh-CN"/>
              </w:rPr>
              <w:t>10</w:t>
            </w:r>
            <w:r>
              <w:rPr>
                <w:rFonts w:ascii="Times New Roman" w:hAnsi="Times New Roman" w:eastAsia="宋体"/>
                <w:smallCaps w:val="0"/>
                <w:color w:val="auto"/>
                <w:sz w:val="24"/>
                <w:szCs w:val="32"/>
              </w:rPr>
              <w:t>000m</w:t>
            </w:r>
            <w:r>
              <w:rPr>
                <w:rFonts w:ascii="Times New Roman" w:hAnsi="Times New Roman" w:eastAsia="宋体"/>
                <w:smallCaps w:val="0"/>
                <w:color w:val="auto"/>
                <w:sz w:val="24"/>
                <w:szCs w:val="32"/>
                <w:vertAlign w:val="superscript"/>
              </w:rPr>
              <w:t>3</w:t>
            </w:r>
            <w:r>
              <w:rPr>
                <w:rFonts w:ascii="Times New Roman" w:hAnsi="Times New Roman" w:eastAsia="宋体"/>
                <w:smallCaps w:val="0"/>
                <w:color w:val="auto"/>
                <w:sz w:val="24"/>
                <w:szCs w:val="32"/>
              </w:rPr>
              <w:t>/h</w:t>
            </w:r>
            <w:r>
              <w:rPr>
                <w:rFonts w:hint="eastAsia" w:ascii="Times New Roman" w:hAnsi="Times New Roman" w:eastAsia="宋体" w:cs="宋体"/>
                <w:color w:val="auto"/>
                <w:sz w:val="24"/>
                <w:szCs w:val="32"/>
                <w:highlight w:val="none"/>
              </w:rPr>
              <w:t>，收集效率以9</w:t>
            </w:r>
            <w:r>
              <w:rPr>
                <w:rFonts w:hint="eastAsia" w:ascii="Times New Roman" w:hAnsi="Times New Roman" w:eastAsia="宋体" w:cs="宋体"/>
                <w:color w:val="auto"/>
                <w:sz w:val="24"/>
                <w:szCs w:val="32"/>
                <w:highlight w:val="none"/>
                <w:lang w:val="en-US" w:eastAsia="zh-CN"/>
              </w:rPr>
              <w:t>0</w:t>
            </w:r>
            <w:r>
              <w:rPr>
                <w:rFonts w:hint="eastAsia" w:ascii="Times New Roman" w:hAnsi="Times New Roman" w:eastAsia="宋体" w:cs="宋体"/>
                <w:color w:val="auto"/>
                <w:sz w:val="24"/>
                <w:szCs w:val="32"/>
                <w:highlight w:val="none"/>
              </w:rPr>
              <w:t>%计</w:t>
            </w:r>
            <w:r>
              <w:rPr>
                <w:rFonts w:hint="eastAsia" w:ascii="Times New Roman" w:hAnsi="Times New Roman" w:eastAsia="宋体"/>
                <w:smallCaps w:val="0"/>
                <w:color w:val="auto"/>
                <w:sz w:val="24"/>
                <w:szCs w:val="32"/>
              </w:rPr>
              <w:t>），</w:t>
            </w:r>
            <w:r>
              <w:rPr>
                <w:rFonts w:hint="eastAsia"/>
                <w:smallCaps w:val="0"/>
                <w:color w:val="auto"/>
                <w:sz w:val="24"/>
                <w:szCs w:val="32"/>
                <w:lang w:val="en-US" w:eastAsia="zh-CN"/>
              </w:rPr>
              <w:t>经</w:t>
            </w:r>
            <w:r>
              <w:rPr>
                <w:rFonts w:hint="eastAsia" w:eastAsia="宋体"/>
                <w:smallCaps w:val="0"/>
                <w:color w:val="auto"/>
                <w:sz w:val="24"/>
                <w:szCs w:val="32"/>
                <w:lang w:val="en-US" w:eastAsia="zh-CN"/>
              </w:rPr>
              <w:t>静电除</w:t>
            </w:r>
            <w:r>
              <w:rPr>
                <w:rFonts w:hint="eastAsia"/>
                <w:smallCaps w:val="0"/>
                <w:color w:val="auto"/>
                <w:sz w:val="24"/>
                <w:szCs w:val="32"/>
                <w:lang w:val="en-US" w:eastAsia="zh-CN"/>
              </w:rPr>
              <w:t>油+水喷淋+除湿</w:t>
            </w:r>
            <w:r>
              <w:rPr>
                <w:rFonts w:hint="eastAsia" w:eastAsia="宋体"/>
                <w:smallCaps w:val="0"/>
                <w:color w:val="auto"/>
                <w:sz w:val="24"/>
                <w:szCs w:val="32"/>
                <w:lang w:val="en-US" w:eastAsia="zh-CN"/>
              </w:rPr>
              <w:t>+二级活性炭</w:t>
            </w:r>
            <w:r>
              <w:rPr>
                <w:rFonts w:hint="eastAsia" w:ascii="Times New Roman" w:hAnsi="Times New Roman" w:eastAsia="宋体"/>
                <w:smallCaps w:val="0"/>
                <w:color w:val="auto"/>
                <w:sz w:val="24"/>
                <w:szCs w:val="32"/>
              </w:rPr>
              <w:t>装置</w:t>
            </w:r>
            <w:r>
              <w:rPr>
                <w:rFonts w:ascii="Times New Roman" w:hAnsi="Times New Roman" w:eastAsia="宋体"/>
                <w:smallCaps w:val="0"/>
                <w:color w:val="auto"/>
                <w:sz w:val="24"/>
                <w:szCs w:val="32"/>
              </w:rPr>
              <w:t>处理</w:t>
            </w:r>
            <w:r>
              <w:rPr>
                <w:rFonts w:hint="eastAsia" w:ascii="Times New Roman" w:hAnsi="Times New Roman" w:eastAsia="宋体"/>
                <w:smallCaps w:val="0"/>
                <w:color w:val="auto"/>
                <w:sz w:val="24"/>
                <w:szCs w:val="32"/>
                <w:lang w:eastAsia="zh-CN"/>
              </w:rPr>
              <w:t>（</w:t>
            </w:r>
            <w:r>
              <w:rPr>
                <w:rFonts w:hint="eastAsia" w:ascii="Times New Roman" w:hAnsi="Times New Roman" w:eastAsia="宋体" w:cs="宋体"/>
                <w:color w:val="auto"/>
                <w:sz w:val="24"/>
                <w:szCs w:val="32"/>
                <w:highlight w:val="none"/>
                <w:lang w:val="en-US" w:eastAsia="zh-CN"/>
              </w:rPr>
              <w:t>处理效率以90%计</w:t>
            </w:r>
            <w:r>
              <w:rPr>
                <w:rFonts w:hint="eastAsia" w:ascii="Times New Roman" w:hAnsi="Times New Roman" w:eastAsia="宋体"/>
                <w:smallCaps w:val="0"/>
                <w:color w:val="auto"/>
                <w:sz w:val="24"/>
                <w:szCs w:val="32"/>
                <w:lang w:eastAsia="zh-CN"/>
              </w:rPr>
              <w:t>）</w:t>
            </w:r>
            <w:r>
              <w:rPr>
                <w:rFonts w:ascii="Times New Roman" w:hAnsi="Times New Roman" w:eastAsia="宋体"/>
                <w:smallCaps w:val="0"/>
                <w:color w:val="auto"/>
                <w:sz w:val="24"/>
                <w:szCs w:val="32"/>
              </w:rPr>
              <w:t>，</w:t>
            </w:r>
            <w:r>
              <w:rPr>
                <w:rFonts w:hint="eastAsia" w:ascii="Times New Roman" w:hAnsi="Times New Roman" w:eastAsia="宋体"/>
                <w:smallCaps w:val="0"/>
                <w:color w:val="auto"/>
                <w:sz w:val="24"/>
                <w:szCs w:val="32"/>
              </w:rPr>
              <w:t>15</w:t>
            </w:r>
            <w:r>
              <w:rPr>
                <w:rFonts w:ascii="Times New Roman" w:hAnsi="Times New Roman" w:eastAsia="宋体"/>
                <w:smallCaps w:val="0"/>
                <w:color w:val="auto"/>
                <w:sz w:val="24"/>
                <w:szCs w:val="32"/>
              </w:rPr>
              <w:t>m高排气筒</w:t>
            </w:r>
            <w:r>
              <w:rPr>
                <w:rFonts w:hint="eastAsia" w:ascii="Times New Roman" w:hAnsi="Times New Roman" w:eastAsia="宋体"/>
                <w:smallCaps w:val="0"/>
                <w:color w:val="auto"/>
                <w:sz w:val="24"/>
                <w:szCs w:val="32"/>
              </w:rPr>
              <w:t>F</w:t>
            </w:r>
            <w:r>
              <w:rPr>
                <w:rFonts w:hint="eastAsia" w:ascii="Times New Roman" w:hAnsi="Times New Roman" w:eastAsia="宋体"/>
                <w:smallCaps w:val="0"/>
                <w:color w:val="auto"/>
                <w:sz w:val="24"/>
                <w:szCs w:val="32"/>
                <w:lang w:val="en-US" w:eastAsia="zh-CN"/>
              </w:rPr>
              <w:t>Q</w:t>
            </w:r>
            <w:r>
              <w:rPr>
                <w:rFonts w:hint="eastAsia" w:ascii="Times New Roman" w:hAnsi="Times New Roman" w:eastAsia="宋体"/>
                <w:smallCaps w:val="0"/>
                <w:color w:val="auto"/>
                <w:sz w:val="24"/>
                <w:szCs w:val="32"/>
              </w:rPr>
              <w:t>-</w:t>
            </w:r>
            <w:r>
              <w:rPr>
                <w:rFonts w:hint="eastAsia" w:eastAsia="宋体"/>
                <w:smallCaps w:val="0"/>
                <w:color w:val="auto"/>
                <w:sz w:val="24"/>
                <w:szCs w:val="32"/>
                <w:lang w:val="en-US" w:eastAsia="zh-CN"/>
              </w:rPr>
              <w:t>1</w:t>
            </w:r>
            <w:r>
              <w:rPr>
                <w:rFonts w:ascii="Times New Roman" w:hAnsi="Times New Roman" w:eastAsia="宋体"/>
                <w:smallCaps w:val="0"/>
                <w:color w:val="auto"/>
                <w:sz w:val="24"/>
                <w:szCs w:val="32"/>
              </w:rPr>
              <w:t>排放</w:t>
            </w:r>
            <w:r>
              <w:rPr>
                <w:rFonts w:hint="eastAsia" w:ascii="Times New Roman" w:hAnsi="Times New Roman" w:eastAsia="宋体"/>
                <w:smallCaps w:val="0"/>
                <w:color w:val="auto"/>
                <w:sz w:val="24"/>
                <w:szCs w:val="32"/>
              </w:rPr>
              <w:t>。</w:t>
            </w:r>
          </w:p>
          <w:p w14:paraId="6A8AEC21">
            <w:pPr>
              <w:spacing w:line="360" w:lineRule="auto"/>
              <w:ind w:firstLine="480" w:firstLineChars="200"/>
              <w:rPr>
                <w:rFonts w:hint="eastAsia" w:ascii="Times New Roman" w:hAnsi="Times New Roman" w:eastAsia="宋体" w:cs="宋体"/>
                <w:color w:val="auto"/>
                <w:sz w:val="24"/>
                <w:szCs w:val="32"/>
                <w:highlight w:val="none"/>
              </w:rPr>
            </w:pPr>
            <w:r>
              <w:rPr>
                <w:rFonts w:hint="eastAsia" w:cs="宋体"/>
                <w:color w:val="auto"/>
                <w:sz w:val="24"/>
                <w:szCs w:val="32"/>
                <w:highlight w:val="none"/>
                <w:lang w:val="en-US" w:eastAsia="zh-CN"/>
              </w:rPr>
              <w:t>脱模剂废气</w:t>
            </w:r>
            <w:r>
              <w:rPr>
                <w:rFonts w:hint="eastAsia" w:ascii="Times New Roman" w:hAnsi="Times New Roman" w:eastAsia="宋体" w:cs="宋体"/>
                <w:color w:val="auto"/>
                <w:sz w:val="24"/>
                <w:szCs w:val="32"/>
                <w:highlight w:val="none"/>
              </w:rPr>
              <w:t>G</w:t>
            </w:r>
            <w:r>
              <w:rPr>
                <w:rFonts w:hint="eastAsia" w:eastAsia="宋体" w:cs="宋体"/>
                <w:color w:val="auto"/>
                <w:sz w:val="24"/>
                <w:szCs w:val="32"/>
                <w:highlight w:val="none"/>
                <w:lang w:val="en-US" w:eastAsia="zh-CN"/>
              </w:rPr>
              <w:t>4</w:t>
            </w:r>
            <w:r>
              <w:rPr>
                <w:rFonts w:hint="eastAsia" w:ascii="Times New Roman" w:hAnsi="Times New Roman" w:eastAsia="宋体" w:cs="宋体"/>
                <w:color w:val="auto"/>
                <w:sz w:val="24"/>
                <w:szCs w:val="32"/>
                <w:highlight w:val="none"/>
              </w:rPr>
              <w:t>：根据</w:t>
            </w:r>
            <w:r>
              <w:rPr>
                <w:rFonts w:hint="eastAsia" w:eastAsia="宋体" w:cs="宋体"/>
                <w:color w:val="auto"/>
                <w:sz w:val="24"/>
                <w:szCs w:val="32"/>
                <w:highlight w:val="none"/>
                <w:lang w:val="en-US" w:eastAsia="zh-CN"/>
              </w:rPr>
              <w:t>业主提供的脱模剂MSDS报告，本次评价按最不利情况计算，即脱模剂中硅油和脂肪醇聚乙烯醚全部挥发</w:t>
            </w:r>
            <w:r>
              <w:rPr>
                <w:rFonts w:hint="eastAsia" w:ascii="Times New Roman" w:hAnsi="Times New Roman" w:eastAsia="宋体" w:cs="宋体"/>
                <w:color w:val="auto"/>
                <w:sz w:val="24"/>
                <w:szCs w:val="32"/>
                <w:highlight w:val="none"/>
              </w:rPr>
              <w:t>，则</w:t>
            </w:r>
            <w:r>
              <w:rPr>
                <w:rFonts w:hint="eastAsia" w:eastAsia="宋体" w:cs="宋体"/>
                <w:color w:val="auto"/>
                <w:sz w:val="24"/>
                <w:szCs w:val="32"/>
                <w:highlight w:val="none"/>
                <w:lang w:val="en-US" w:eastAsia="zh-CN"/>
              </w:rPr>
              <w:t>非甲烷总烃</w:t>
            </w:r>
            <w:r>
              <w:rPr>
                <w:rFonts w:hint="eastAsia" w:ascii="Times New Roman" w:hAnsi="Times New Roman" w:eastAsia="宋体" w:cs="宋体"/>
                <w:color w:val="auto"/>
                <w:sz w:val="24"/>
                <w:szCs w:val="32"/>
                <w:highlight w:val="none"/>
              </w:rPr>
              <w:t>产生量为</w:t>
            </w:r>
            <w:r>
              <w:rPr>
                <w:rFonts w:hint="eastAsia" w:cs="宋体"/>
                <w:color w:val="auto"/>
                <w:sz w:val="24"/>
                <w:szCs w:val="32"/>
                <w:highlight w:val="none"/>
                <w:lang w:val="en-US" w:eastAsia="zh-CN"/>
              </w:rPr>
              <w:t>1.5</w:t>
            </w:r>
            <w:r>
              <w:rPr>
                <w:rFonts w:hint="eastAsia" w:ascii="Times New Roman" w:hAnsi="Times New Roman" w:eastAsia="宋体" w:cs="宋体"/>
                <w:color w:val="auto"/>
                <w:sz w:val="24"/>
                <w:szCs w:val="32"/>
                <w:highlight w:val="none"/>
              </w:rPr>
              <w:t>t/a，</w:t>
            </w:r>
            <w:r>
              <w:rPr>
                <w:rFonts w:hint="eastAsia" w:eastAsia="宋体"/>
                <w:smallCaps w:val="0"/>
                <w:color w:val="auto"/>
                <w:sz w:val="24"/>
                <w:szCs w:val="32"/>
                <w:lang w:val="en-US" w:eastAsia="zh-CN"/>
              </w:rPr>
              <w:t>压铸机上方</w:t>
            </w:r>
            <w:r>
              <w:rPr>
                <w:rFonts w:hint="eastAsia" w:ascii="Times New Roman" w:hAnsi="Times New Roman" w:eastAsia="宋体"/>
                <w:smallCaps w:val="0"/>
                <w:color w:val="auto"/>
                <w:sz w:val="24"/>
                <w:szCs w:val="32"/>
              </w:rPr>
              <w:t>设置集气罩，</w:t>
            </w:r>
            <w:r>
              <w:rPr>
                <w:rFonts w:hint="eastAsia" w:cs="宋体"/>
                <w:color w:val="auto"/>
                <w:sz w:val="24"/>
                <w:szCs w:val="32"/>
                <w:highlight w:val="none"/>
                <w:lang w:val="en-US" w:eastAsia="zh-CN"/>
              </w:rPr>
              <w:t>压铸粉尘</w:t>
            </w:r>
            <w:r>
              <w:rPr>
                <w:rFonts w:hint="eastAsia" w:ascii="Times New Roman" w:hAnsi="Times New Roman" w:eastAsia="宋体"/>
                <w:smallCaps w:val="0"/>
                <w:color w:val="auto"/>
                <w:sz w:val="24"/>
                <w:szCs w:val="32"/>
              </w:rPr>
              <w:t>经集气罩收集（</w:t>
            </w:r>
            <w:r>
              <w:rPr>
                <w:rFonts w:ascii="Times New Roman" w:hAnsi="Times New Roman" w:eastAsia="宋体"/>
                <w:smallCaps w:val="0"/>
                <w:color w:val="auto"/>
                <w:sz w:val="24"/>
                <w:szCs w:val="32"/>
              </w:rPr>
              <w:t>风机风量</w:t>
            </w:r>
            <w:r>
              <w:rPr>
                <w:rFonts w:hint="eastAsia" w:eastAsia="宋体"/>
                <w:smallCaps w:val="0"/>
                <w:color w:val="auto"/>
                <w:sz w:val="24"/>
                <w:szCs w:val="32"/>
                <w:lang w:val="en-US" w:eastAsia="zh-CN"/>
              </w:rPr>
              <w:t>10</w:t>
            </w:r>
            <w:r>
              <w:rPr>
                <w:rFonts w:ascii="Times New Roman" w:hAnsi="Times New Roman" w:eastAsia="宋体"/>
                <w:smallCaps w:val="0"/>
                <w:color w:val="auto"/>
                <w:sz w:val="24"/>
                <w:szCs w:val="32"/>
              </w:rPr>
              <w:t>000m</w:t>
            </w:r>
            <w:r>
              <w:rPr>
                <w:rFonts w:ascii="Times New Roman" w:hAnsi="Times New Roman" w:eastAsia="宋体"/>
                <w:smallCaps w:val="0"/>
                <w:color w:val="auto"/>
                <w:sz w:val="24"/>
                <w:szCs w:val="32"/>
                <w:vertAlign w:val="superscript"/>
              </w:rPr>
              <w:t>3</w:t>
            </w:r>
            <w:r>
              <w:rPr>
                <w:rFonts w:ascii="Times New Roman" w:hAnsi="Times New Roman" w:eastAsia="宋体"/>
                <w:smallCaps w:val="0"/>
                <w:color w:val="auto"/>
                <w:sz w:val="24"/>
                <w:szCs w:val="32"/>
              </w:rPr>
              <w:t>/h</w:t>
            </w:r>
            <w:r>
              <w:rPr>
                <w:rFonts w:hint="eastAsia" w:ascii="Times New Roman" w:hAnsi="Times New Roman" w:eastAsia="宋体" w:cs="宋体"/>
                <w:color w:val="auto"/>
                <w:sz w:val="24"/>
                <w:szCs w:val="32"/>
                <w:highlight w:val="none"/>
              </w:rPr>
              <w:t>，收集效率以9</w:t>
            </w:r>
            <w:r>
              <w:rPr>
                <w:rFonts w:hint="eastAsia" w:ascii="Times New Roman" w:hAnsi="Times New Roman" w:eastAsia="宋体" w:cs="宋体"/>
                <w:color w:val="auto"/>
                <w:sz w:val="24"/>
                <w:szCs w:val="32"/>
                <w:highlight w:val="none"/>
                <w:lang w:val="en-US" w:eastAsia="zh-CN"/>
              </w:rPr>
              <w:t>0</w:t>
            </w:r>
            <w:r>
              <w:rPr>
                <w:rFonts w:hint="eastAsia" w:ascii="Times New Roman" w:hAnsi="Times New Roman" w:eastAsia="宋体" w:cs="宋体"/>
                <w:color w:val="auto"/>
                <w:sz w:val="24"/>
                <w:szCs w:val="32"/>
                <w:highlight w:val="none"/>
              </w:rPr>
              <w:t>%计</w:t>
            </w:r>
            <w:r>
              <w:rPr>
                <w:rFonts w:hint="eastAsia" w:ascii="Times New Roman" w:hAnsi="Times New Roman" w:eastAsia="宋体"/>
                <w:smallCaps w:val="0"/>
                <w:color w:val="auto"/>
                <w:sz w:val="24"/>
                <w:szCs w:val="32"/>
              </w:rPr>
              <w:t>），</w:t>
            </w:r>
            <w:r>
              <w:rPr>
                <w:rFonts w:hint="eastAsia"/>
                <w:smallCaps w:val="0"/>
                <w:color w:val="auto"/>
                <w:sz w:val="24"/>
                <w:szCs w:val="32"/>
                <w:lang w:val="en-US" w:eastAsia="zh-CN"/>
              </w:rPr>
              <w:t>经</w:t>
            </w:r>
            <w:r>
              <w:rPr>
                <w:rFonts w:hint="eastAsia" w:eastAsia="宋体"/>
                <w:smallCaps w:val="0"/>
                <w:color w:val="auto"/>
                <w:sz w:val="24"/>
                <w:szCs w:val="32"/>
                <w:lang w:val="en-US" w:eastAsia="zh-CN"/>
              </w:rPr>
              <w:t>静电除</w:t>
            </w:r>
            <w:r>
              <w:rPr>
                <w:rFonts w:hint="eastAsia"/>
                <w:smallCaps w:val="0"/>
                <w:color w:val="auto"/>
                <w:sz w:val="24"/>
                <w:szCs w:val="32"/>
                <w:lang w:val="en-US" w:eastAsia="zh-CN"/>
              </w:rPr>
              <w:t>油+水喷淋+除湿</w:t>
            </w:r>
            <w:r>
              <w:rPr>
                <w:rFonts w:hint="eastAsia" w:eastAsia="宋体"/>
                <w:smallCaps w:val="0"/>
                <w:color w:val="auto"/>
                <w:sz w:val="24"/>
                <w:szCs w:val="32"/>
                <w:lang w:val="en-US" w:eastAsia="zh-CN"/>
              </w:rPr>
              <w:t>+二级活性炭</w:t>
            </w:r>
            <w:r>
              <w:rPr>
                <w:rFonts w:hint="eastAsia" w:ascii="Times New Roman" w:hAnsi="Times New Roman" w:eastAsia="宋体"/>
                <w:smallCaps w:val="0"/>
                <w:color w:val="auto"/>
                <w:sz w:val="24"/>
                <w:szCs w:val="32"/>
              </w:rPr>
              <w:t>装置</w:t>
            </w:r>
            <w:r>
              <w:rPr>
                <w:rFonts w:ascii="Times New Roman" w:hAnsi="Times New Roman" w:eastAsia="宋体"/>
                <w:smallCaps w:val="0"/>
                <w:color w:val="auto"/>
                <w:sz w:val="24"/>
                <w:szCs w:val="32"/>
              </w:rPr>
              <w:t>处理</w:t>
            </w:r>
            <w:r>
              <w:rPr>
                <w:rFonts w:hint="eastAsia" w:ascii="Times New Roman" w:hAnsi="Times New Roman" w:eastAsia="宋体"/>
                <w:smallCaps w:val="0"/>
                <w:color w:val="auto"/>
                <w:sz w:val="24"/>
                <w:szCs w:val="32"/>
                <w:lang w:eastAsia="zh-CN"/>
              </w:rPr>
              <w:t>（</w:t>
            </w:r>
            <w:r>
              <w:rPr>
                <w:rFonts w:hint="eastAsia"/>
                <w:smallCaps w:val="0"/>
                <w:color w:val="auto"/>
                <w:sz w:val="24"/>
                <w:szCs w:val="32"/>
                <w:lang w:val="en-US" w:eastAsia="zh-CN"/>
              </w:rPr>
              <w:t>其中静电除油处理效率为50%，二级活性炭吸附效率为80%，合计</w:t>
            </w:r>
            <w:r>
              <w:rPr>
                <w:rFonts w:hint="eastAsia" w:ascii="Times New Roman" w:hAnsi="Times New Roman" w:eastAsia="宋体" w:cs="宋体"/>
                <w:color w:val="auto"/>
                <w:sz w:val="24"/>
                <w:szCs w:val="32"/>
                <w:highlight w:val="none"/>
                <w:lang w:val="en-US" w:eastAsia="zh-CN"/>
              </w:rPr>
              <w:t>处理效率以</w:t>
            </w:r>
            <w:r>
              <w:rPr>
                <w:rFonts w:hint="eastAsia" w:eastAsia="宋体" w:cs="宋体"/>
                <w:color w:val="auto"/>
                <w:sz w:val="24"/>
                <w:szCs w:val="32"/>
                <w:highlight w:val="none"/>
                <w:lang w:val="en-US" w:eastAsia="zh-CN"/>
              </w:rPr>
              <w:t>9</w:t>
            </w:r>
            <w:r>
              <w:rPr>
                <w:rFonts w:hint="eastAsia" w:ascii="Times New Roman" w:hAnsi="Times New Roman" w:eastAsia="宋体" w:cs="宋体"/>
                <w:color w:val="auto"/>
                <w:sz w:val="24"/>
                <w:szCs w:val="32"/>
                <w:highlight w:val="none"/>
                <w:lang w:val="en-US" w:eastAsia="zh-CN"/>
              </w:rPr>
              <w:t>0%计</w:t>
            </w:r>
            <w:r>
              <w:rPr>
                <w:rFonts w:hint="eastAsia" w:ascii="Times New Roman" w:hAnsi="Times New Roman" w:eastAsia="宋体"/>
                <w:smallCaps w:val="0"/>
                <w:color w:val="auto"/>
                <w:sz w:val="24"/>
                <w:szCs w:val="32"/>
                <w:lang w:eastAsia="zh-CN"/>
              </w:rPr>
              <w:t>）</w:t>
            </w:r>
            <w:r>
              <w:rPr>
                <w:rFonts w:ascii="Times New Roman" w:hAnsi="Times New Roman" w:eastAsia="宋体"/>
                <w:smallCaps w:val="0"/>
                <w:color w:val="auto"/>
                <w:sz w:val="24"/>
                <w:szCs w:val="32"/>
              </w:rPr>
              <w:t>，</w:t>
            </w:r>
            <w:r>
              <w:rPr>
                <w:rFonts w:hint="eastAsia" w:ascii="Times New Roman" w:hAnsi="Times New Roman" w:eastAsia="宋体"/>
                <w:smallCaps w:val="0"/>
                <w:color w:val="auto"/>
                <w:sz w:val="24"/>
                <w:szCs w:val="32"/>
              </w:rPr>
              <w:t>15</w:t>
            </w:r>
            <w:r>
              <w:rPr>
                <w:rFonts w:ascii="Times New Roman" w:hAnsi="Times New Roman" w:eastAsia="宋体"/>
                <w:smallCaps w:val="0"/>
                <w:color w:val="auto"/>
                <w:sz w:val="24"/>
                <w:szCs w:val="32"/>
              </w:rPr>
              <w:t>m高排气筒</w:t>
            </w:r>
            <w:r>
              <w:rPr>
                <w:rFonts w:hint="eastAsia" w:ascii="Times New Roman" w:hAnsi="Times New Roman" w:eastAsia="宋体"/>
                <w:smallCaps w:val="0"/>
                <w:color w:val="auto"/>
                <w:sz w:val="24"/>
                <w:szCs w:val="32"/>
              </w:rPr>
              <w:t>F</w:t>
            </w:r>
            <w:r>
              <w:rPr>
                <w:rFonts w:hint="eastAsia" w:ascii="Times New Roman" w:hAnsi="Times New Roman" w:eastAsia="宋体"/>
                <w:smallCaps w:val="0"/>
                <w:color w:val="auto"/>
                <w:sz w:val="24"/>
                <w:szCs w:val="32"/>
                <w:lang w:val="en-US" w:eastAsia="zh-CN"/>
              </w:rPr>
              <w:t>Q</w:t>
            </w:r>
            <w:r>
              <w:rPr>
                <w:rFonts w:hint="eastAsia" w:ascii="Times New Roman" w:hAnsi="Times New Roman" w:eastAsia="宋体"/>
                <w:smallCaps w:val="0"/>
                <w:color w:val="auto"/>
                <w:sz w:val="24"/>
                <w:szCs w:val="32"/>
              </w:rPr>
              <w:t>-</w:t>
            </w:r>
            <w:r>
              <w:rPr>
                <w:rFonts w:hint="eastAsia" w:eastAsia="宋体"/>
                <w:smallCaps w:val="0"/>
                <w:color w:val="auto"/>
                <w:sz w:val="24"/>
                <w:szCs w:val="32"/>
                <w:lang w:val="en-US" w:eastAsia="zh-CN"/>
              </w:rPr>
              <w:t>1</w:t>
            </w:r>
            <w:r>
              <w:rPr>
                <w:rFonts w:ascii="Times New Roman" w:hAnsi="Times New Roman" w:eastAsia="宋体"/>
                <w:smallCaps w:val="0"/>
                <w:color w:val="auto"/>
                <w:sz w:val="24"/>
                <w:szCs w:val="32"/>
              </w:rPr>
              <w:t>排放</w:t>
            </w:r>
            <w:r>
              <w:rPr>
                <w:rFonts w:hint="eastAsia" w:ascii="Times New Roman" w:hAnsi="Times New Roman" w:eastAsia="宋体"/>
                <w:smallCaps w:val="0"/>
                <w:color w:val="auto"/>
                <w:sz w:val="24"/>
                <w:szCs w:val="32"/>
              </w:rPr>
              <w:t>。</w:t>
            </w:r>
          </w:p>
          <w:p w14:paraId="2A3C0F0A">
            <w:pPr>
              <w:spacing w:line="360" w:lineRule="auto"/>
              <w:ind w:firstLine="480" w:firstLineChars="200"/>
              <w:rPr>
                <w:rFonts w:hint="default" w:ascii="Times New Roman" w:hAnsi="Times New Roman" w:eastAsia="宋体" w:cs="宋体"/>
                <w:color w:val="auto"/>
                <w:sz w:val="24"/>
                <w:szCs w:val="32"/>
                <w:highlight w:val="none"/>
                <w:lang w:val="en-US" w:eastAsia="zh-CN"/>
              </w:rPr>
            </w:pPr>
            <w:r>
              <w:rPr>
                <w:rFonts w:hint="eastAsia" w:cs="宋体"/>
                <w:color w:val="auto"/>
                <w:sz w:val="24"/>
                <w:szCs w:val="32"/>
                <w:highlight w:val="none"/>
                <w:lang w:val="en-US" w:eastAsia="zh-CN"/>
              </w:rPr>
              <w:t>打磨粉尘G5：</w:t>
            </w:r>
            <w:r>
              <w:rPr>
                <w:rFonts w:hint="eastAsia" w:ascii="Times New Roman" w:hAnsi="Times New Roman" w:eastAsia="宋体" w:cs="宋体"/>
                <w:color w:val="auto"/>
                <w:sz w:val="24"/>
                <w:szCs w:val="32"/>
                <w:highlight w:val="none"/>
              </w:rPr>
              <w:t>根据《排放源统计调查产排污核算方法和系数手册》—33-37,431-434机械行业系数手册，</w:t>
            </w:r>
            <w:r>
              <w:rPr>
                <w:rFonts w:hint="eastAsia" w:cs="宋体"/>
                <w:color w:val="auto"/>
                <w:sz w:val="24"/>
                <w:szCs w:val="32"/>
                <w:highlight w:val="none"/>
                <w:lang w:val="en-US" w:eastAsia="zh-CN"/>
              </w:rPr>
              <w:t>打磨</w:t>
            </w:r>
            <w:r>
              <w:rPr>
                <w:rFonts w:hint="eastAsia" w:ascii="Times New Roman" w:hAnsi="Times New Roman" w:eastAsia="宋体" w:cs="宋体"/>
                <w:color w:val="auto"/>
                <w:sz w:val="24"/>
                <w:szCs w:val="32"/>
                <w:highlight w:val="none"/>
              </w:rPr>
              <w:t>过程</w:t>
            </w:r>
            <w:r>
              <w:rPr>
                <w:rFonts w:hint="eastAsia" w:eastAsia="宋体" w:cs="宋体"/>
                <w:color w:val="auto"/>
                <w:sz w:val="24"/>
                <w:szCs w:val="32"/>
                <w:highlight w:val="none"/>
                <w:lang w:val="en-US" w:eastAsia="zh-CN"/>
              </w:rPr>
              <w:t>颗粒物</w:t>
            </w:r>
            <w:r>
              <w:rPr>
                <w:rFonts w:hint="eastAsia" w:ascii="Times New Roman" w:hAnsi="Times New Roman" w:eastAsia="宋体" w:cs="宋体"/>
                <w:color w:val="auto"/>
                <w:sz w:val="24"/>
                <w:szCs w:val="32"/>
                <w:highlight w:val="none"/>
              </w:rPr>
              <w:t>产污系数为</w:t>
            </w:r>
            <w:r>
              <w:rPr>
                <w:rFonts w:hint="eastAsia" w:cs="宋体"/>
                <w:color w:val="auto"/>
                <w:sz w:val="24"/>
                <w:szCs w:val="32"/>
                <w:highlight w:val="none"/>
                <w:lang w:val="en-US" w:eastAsia="zh-CN"/>
              </w:rPr>
              <w:t>2.19</w:t>
            </w:r>
            <w:r>
              <w:rPr>
                <w:rFonts w:hint="eastAsia" w:ascii="Times New Roman" w:hAnsi="Times New Roman" w:eastAsia="宋体" w:cs="宋体"/>
                <w:color w:val="auto"/>
                <w:sz w:val="24"/>
                <w:szCs w:val="32"/>
                <w:highlight w:val="none"/>
              </w:rPr>
              <w:t>kg/t-</w:t>
            </w:r>
            <w:r>
              <w:rPr>
                <w:rFonts w:hint="eastAsia" w:cs="宋体"/>
                <w:color w:val="auto"/>
                <w:sz w:val="24"/>
                <w:szCs w:val="32"/>
                <w:highlight w:val="none"/>
                <w:lang w:val="en-US" w:eastAsia="zh-CN"/>
              </w:rPr>
              <w:t>产品</w:t>
            </w:r>
            <w:r>
              <w:rPr>
                <w:rFonts w:hint="eastAsia" w:ascii="Times New Roman" w:hAnsi="Times New Roman" w:eastAsia="宋体" w:cs="宋体"/>
                <w:color w:val="auto"/>
                <w:sz w:val="24"/>
                <w:szCs w:val="32"/>
                <w:highlight w:val="none"/>
              </w:rPr>
              <w:t>，</w:t>
            </w:r>
            <w:r>
              <w:rPr>
                <w:rFonts w:hint="eastAsia" w:eastAsia="宋体" w:cs="宋体"/>
                <w:color w:val="auto"/>
                <w:sz w:val="24"/>
                <w:szCs w:val="32"/>
                <w:highlight w:val="none"/>
                <w:lang w:val="en-US" w:eastAsia="zh-CN"/>
              </w:rPr>
              <w:t>本项目</w:t>
            </w:r>
            <w:r>
              <w:rPr>
                <w:rFonts w:hint="eastAsia"/>
                <w:b w:val="0"/>
                <w:bCs w:val="0"/>
                <w:color w:val="auto"/>
                <w:sz w:val="24"/>
                <w:szCs w:val="24"/>
                <w:lang w:val="en-US" w:eastAsia="zh-CN"/>
              </w:rPr>
              <w:t>打磨的铝铸件为600t/a，则打磨粉尘产生量为1.314t/a，经湿式打磨台、设备自带的水膜除尘器</w:t>
            </w:r>
            <w:r>
              <w:rPr>
                <w:rFonts w:hint="eastAsia" w:ascii="Times New Roman" w:hAnsi="Times New Roman" w:eastAsia="宋体"/>
                <w:smallCaps w:val="0"/>
                <w:color w:val="auto"/>
                <w:sz w:val="24"/>
                <w:szCs w:val="32"/>
                <w:lang w:eastAsia="zh-CN"/>
              </w:rPr>
              <w:t>（</w:t>
            </w:r>
            <w:r>
              <w:rPr>
                <w:rFonts w:hint="eastAsia" w:eastAsia="宋体"/>
                <w:smallCaps w:val="0"/>
                <w:color w:val="auto"/>
                <w:sz w:val="24"/>
                <w:szCs w:val="32"/>
                <w:lang w:val="en-US" w:eastAsia="zh-CN"/>
              </w:rPr>
              <w:t>收集效率以90%计，</w:t>
            </w:r>
            <w:r>
              <w:rPr>
                <w:rFonts w:hint="eastAsia" w:ascii="Times New Roman" w:hAnsi="Times New Roman" w:eastAsia="宋体" w:cs="宋体"/>
                <w:color w:val="auto"/>
                <w:sz w:val="24"/>
                <w:szCs w:val="32"/>
                <w:highlight w:val="none"/>
                <w:lang w:val="en-US" w:eastAsia="zh-CN"/>
              </w:rPr>
              <w:t>处理效率以90%计</w:t>
            </w:r>
            <w:r>
              <w:rPr>
                <w:rFonts w:hint="eastAsia" w:ascii="Times New Roman" w:hAnsi="Times New Roman" w:eastAsia="宋体"/>
                <w:smallCaps w:val="0"/>
                <w:color w:val="auto"/>
                <w:sz w:val="24"/>
                <w:szCs w:val="32"/>
                <w:lang w:eastAsia="zh-CN"/>
              </w:rPr>
              <w:t>）</w:t>
            </w:r>
            <w:r>
              <w:rPr>
                <w:rFonts w:hint="eastAsia"/>
                <w:b w:val="0"/>
                <w:bCs w:val="0"/>
                <w:color w:val="auto"/>
                <w:sz w:val="24"/>
                <w:szCs w:val="24"/>
                <w:lang w:val="en-US" w:eastAsia="zh-CN"/>
              </w:rPr>
              <w:t>处理后经车间无组织排放。</w:t>
            </w:r>
          </w:p>
          <w:p w14:paraId="25D9B3A0">
            <w:pPr>
              <w:spacing w:line="360" w:lineRule="auto"/>
              <w:ind w:firstLine="480" w:firstLineChars="200"/>
              <w:rPr>
                <w:rFonts w:hint="eastAsia" w:cs="宋体"/>
                <w:color w:val="auto"/>
                <w:sz w:val="24"/>
                <w:szCs w:val="32"/>
                <w:highlight w:val="none"/>
                <w:lang w:val="en-US" w:eastAsia="zh-CN"/>
              </w:rPr>
            </w:pPr>
            <w:r>
              <w:rPr>
                <w:rFonts w:hint="eastAsia" w:cs="宋体"/>
                <w:color w:val="auto"/>
                <w:sz w:val="24"/>
                <w:szCs w:val="32"/>
                <w:highlight w:val="none"/>
                <w:lang w:val="en-US" w:eastAsia="zh-CN"/>
              </w:rPr>
              <w:t>抛丸粉尘G6：</w:t>
            </w:r>
            <w:r>
              <w:rPr>
                <w:rFonts w:hint="eastAsia" w:ascii="Times New Roman" w:hAnsi="Times New Roman" w:eastAsia="宋体" w:cs="宋体"/>
                <w:color w:val="auto"/>
                <w:sz w:val="24"/>
                <w:szCs w:val="32"/>
                <w:highlight w:val="none"/>
              </w:rPr>
              <w:t>根据《排放源统计调查产排污核算方法和系数手册》—33-37,431-434机械行业系数手册，</w:t>
            </w:r>
            <w:r>
              <w:rPr>
                <w:rFonts w:hint="eastAsia" w:cs="宋体"/>
                <w:color w:val="auto"/>
                <w:sz w:val="24"/>
                <w:szCs w:val="32"/>
                <w:highlight w:val="none"/>
                <w:lang w:val="en-US" w:eastAsia="zh-CN"/>
              </w:rPr>
              <w:t>抛丸</w:t>
            </w:r>
            <w:r>
              <w:rPr>
                <w:rFonts w:hint="eastAsia" w:ascii="Times New Roman" w:hAnsi="Times New Roman" w:eastAsia="宋体" w:cs="宋体"/>
                <w:color w:val="auto"/>
                <w:sz w:val="24"/>
                <w:szCs w:val="32"/>
                <w:highlight w:val="none"/>
              </w:rPr>
              <w:t>过程</w:t>
            </w:r>
            <w:r>
              <w:rPr>
                <w:rFonts w:hint="eastAsia" w:eastAsia="宋体" w:cs="宋体"/>
                <w:color w:val="auto"/>
                <w:sz w:val="24"/>
                <w:szCs w:val="32"/>
                <w:highlight w:val="none"/>
                <w:lang w:val="en-US" w:eastAsia="zh-CN"/>
              </w:rPr>
              <w:t>颗粒物</w:t>
            </w:r>
            <w:r>
              <w:rPr>
                <w:rFonts w:hint="eastAsia" w:ascii="Times New Roman" w:hAnsi="Times New Roman" w:eastAsia="宋体" w:cs="宋体"/>
                <w:color w:val="auto"/>
                <w:sz w:val="24"/>
                <w:szCs w:val="32"/>
                <w:highlight w:val="none"/>
              </w:rPr>
              <w:t>产污系数为</w:t>
            </w:r>
            <w:r>
              <w:rPr>
                <w:rFonts w:hint="eastAsia" w:cs="宋体"/>
                <w:color w:val="auto"/>
                <w:sz w:val="24"/>
                <w:szCs w:val="32"/>
                <w:highlight w:val="none"/>
                <w:lang w:val="en-US" w:eastAsia="zh-CN"/>
              </w:rPr>
              <w:t>2.19</w:t>
            </w:r>
            <w:r>
              <w:rPr>
                <w:rFonts w:hint="eastAsia" w:ascii="Times New Roman" w:hAnsi="Times New Roman" w:eastAsia="宋体" w:cs="宋体"/>
                <w:color w:val="auto"/>
                <w:sz w:val="24"/>
                <w:szCs w:val="32"/>
                <w:highlight w:val="none"/>
              </w:rPr>
              <w:t>kg/t-</w:t>
            </w:r>
            <w:r>
              <w:rPr>
                <w:rFonts w:hint="eastAsia" w:cs="宋体"/>
                <w:color w:val="auto"/>
                <w:sz w:val="24"/>
                <w:szCs w:val="32"/>
                <w:highlight w:val="none"/>
                <w:lang w:val="en-US" w:eastAsia="zh-CN"/>
              </w:rPr>
              <w:t>产品</w:t>
            </w:r>
            <w:r>
              <w:rPr>
                <w:rFonts w:hint="eastAsia" w:ascii="Times New Roman" w:hAnsi="Times New Roman" w:eastAsia="宋体" w:cs="宋体"/>
                <w:color w:val="auto"/>
                <w:sz w:val="24"/>
                <w:szCs w:val="32"/>
                <w:highlight w:val="none"/>
              </w:rPr>
              <w:t>，</w:t>
            </w:r>
            <w:r>
              <w:rPr>
                <w:rFonts w:hint="eastAsia" w:eastAsia="宋体" w:cs="宋体"/>
                <w:color w:val="auto"/>
                <w:sz w:val="24"/>
                <w:szCs w:val="32"/>
                <w:highlight w:val="none"/>
                <w:lang w:val="en-US" w:eastAsia="zh-CN"/>
              </w:rPr>
              <w:t>本项目</w:t>
            </w:r>
            <w:r>
              <w:rPr>
                <w:rFonts w:hint="eastAsia"/>
                <w:b w:val="0"/>
                <w:bCs w:val="0"/>
                <w:color w:val="auto"/>
                <w:sz w:val="24"/>
                <w:szCs w:val="24"/>
                <w:lang w:val="en-US" w:eastAsia="zh-CN"/>
              </w:rPr>
              <w:t>抛丸的铝铸件为600t/a，则抛丸粉尘产生量为1.314t/a，</w:t>
            </w:r>
            <w:r>
              <w:rPr>
                <w:rFonts w:hint="eastAsia" w:ascii="Times New Roman" w:hAnsi="Times New Roman" w:eastAsia="宋体" w:cs="宋体"/>
                <w:color w:val="auto"/>
                <w:sz w:val="24"/>
                <w:szCs w:val="32"/>
                <w:highlight w:val="none"/>
              </w:rPr>
              <w:t>本项目</w:t>
            </w:r>
            <w:r>
              <w:rPr>
                <w:rFonts w:hint="eastAsia" w:cs="宋体"/>
                <w:color w:val="auto"/>
                <w:sz w:val="24"/>
                <w:szCs w:val="32"/>
                <w:highlight w:val="none"/>
                <w:lang w:val="en-US" w:eastAsia="zh-CN"/>
              </w:rPr>
              <w:t>抛丸机</w:t>
            </w:r>
            <w:r>
              <w:rPr>
                <w:rFonts w:hint="eastAsia" w:ascii="Times New Roman" w:hAnsi="Times New Roman" w:eastAsia="宋体" w:cs="宋体"/>
                <w:color w:val="auto"/>
                <w:sz w:val="24"/>
                <w:szCs w:val="32"/>
                <w:highlight w:val="none"/>
              </w:rPr>
              <w:t>自动化水平高，配套有</w:t>
            </w:r>
            <w:r>
              <w:rPr>
                <w:rFonts w:hint="eastAsia"/>
                <w:color w:val="auto"/>
                <w:sz w:val="24"/>
                <w:szCs w:val="24"/>
                <w:lang w:val="en-US" w:eastAsia="zh-CN"/>
              </w:rPr>
              <w:t>湿式除尘</w:t>
            </w:r>
            <w:r>
              <w:rPr>
                <w:rFonts w:hint="eastAsia" w:ascii="Times New Roman" w:hAnsi="Times New Roman" w:eastAsia="宋体" w:cs="宋体"/>
                <w:color w:val="auto"/>
                <w:sz w:val="24"/>
                <w:szCs w:val="32"/>
                <w:highlight w:val="none"/>
              </w:rPr>
              <w:t>收集、处理</w:t>
            </w:r>
            <w:r>
              <w:rPr>
                <w:rFonts w:hint="eastAsia" w:cs="宋体"/>
                <w:color w:val="auto"/>
                <w:sz w:val="24"/>
                <w:szCs w:val="32"/>
                <w:highlight w:val="none"/>
                <w:lang w:val="en-US" w:eastAsia="zh-CN"/>
              </w:rPr>
              <w:t>后经1根15m高排气筒FQ-3排放</w:t>
            </w:r>
            <w:r>
              <w:rPr>
                <w:rFonts w:hint="eastAsia" w:ascii="Times New Roman" w:hAnsi="Times New Roman" w:eastAsia="宋体" w:cs="宋体"/>
                <w:color w:val="auto"/>
                <w:sz w:val="24"/>
                <w:szCs w:val="32"/>
                <w:highlight w:val="none"/>
              </w:rPr>
              <w:t>，收集效率以95%计，处理效率以</w:t>
            </w:r>
            <w:r>
              <w:rPr>
                <w:rFonts w:hint="eastAsia" w:cs="宋体"/>
                <w:color w:val="auto"/>
                <w:sz w:val="24"/>
                <w:szCs w:val="32"/>
                <w:highlight w:val="none"/>
                <w:lang w:val="en-US" w:eastAsia="zh-CN"/>
              </w:rPr>
              <w:t>90</w:t>
            </w:r>
            <w:r>
              <w:rPr>
                <w:rFonts w:hint="eastAsia" w:ascii="Times New Roman" w:hAnsi="Times New Roman" w:eastAsia="宋体" w:cs="宋体"/>
                <w:color w:val="auto"/>
                <w:sz w:val="24"/>
                <w:szCs w:val="32"/>
                <w:highlight w:val="none"/>
              </w:rPr>
              <w:t>%计。</w:t>
            </w:r>
          </w:p>
          <w:p w14:paraId="33CF2E1F">
            <w:pPr>
              <w:spacing w:line="360" w:lineRule="auto"/>
              <w:ind w:firstLine="480" w:firstLineChars="200"/>
              <w:rPr>
                <w:rFonts w:hint="eastAsia" w:cs="宋体"/>
                <w:color w:val="auto"/>
                <w:sz w:val="24"/>
                <w:szCs w:val="32"/>
                <w:highlight w:val="none"/>
                <w:lang w:val="en-US" w:eastAsia="zh-CN"/>
              </w:rPr>
            </w:pPr>
            <w:r>
              <w:rPr>
                <w:rFonts w:hint="eastAsia" w:cs="宋体"/>
                <w:color w:val="auto"/>
                <w:sz w:val="24"/>
                <w:szCs w:val="32"/>
                <w:highlight w:val="none"/>
                <w:lang w:val="en-US" w:eastAsia="zh-CN"/>
              </w:rPr>
              <w:t>清洗废气G7：本项目精洗工段使用水基清洗剂，工件放入清洗机在常温下进行清洗，根据清洗剂检测报告可知，VOC含量为42g/L(测试环境为烘箱105℃，4h)，本次考虑VOC全部挥发，清洗剂使用量为0.1t/a，故有机废气产生量极其有限，但实际清洗及烘干工段运行温度远低于测试环境温度，则产生量更少，因此本报告不做定量分析。</w:t>
            </w:r>
          </w:p>
          <w:p w14:paraId="1A692020">
            <w:pPr>
              <w:tabs>
                <w:tab w:val="left" w:pos="960"/>
              </w:tabs>
              <w:spacing w:beforeLines="50"/>
              <w:jc w:val="center"/>
              <w:rPr>
                <w:rFonts w:hint="eastAsia" w:ascii="Times New Roman" w:hAnsi="Times New Roman" w:eastAsia="宋体" w:cs="宋体"/>
                <w:b/>
                <w:bCs/>
                <w:color w:val="auto"/>
                <w:spacing w:val="-4"/>
                <w:szCs w:val="21"/>
                <w:highlight w:val="none"/>
              </w:rPr>
            </w:pPr>
          </w:p>
          <w:p w14:paraId="040B1B55">
            <w:pPr>
              <w:tabs>
                <w:tab w:val="left" w:pos="960"/>
              </w:tabs>
              <w:spacing w:beforeLines="50"/>
              <w:jc w:val="center"/>
              <w:rPr>
                <w:rFonts w:hint="eastAsia" w:ascii="Times New Roman" w:hAnsi="Times New Roman" w:eastAsia="宋体" w:cs="宋体"/>
                <w:b/>
                <w:bCs/>
                <w:color w:val="auto"/>
                <w:spacing w:val="-4"/>
                <w:szCs w:val="21"/>
                <w:highlight w:val="none"/>
              </w:rPr>
            </w:pPr>
          </w:p>
          <w:p w14:paraId="2547FEA6">
            <w:pPr>
              <w:tabs>
                <w:tab w:val="left" w:pos="960"/>
              </w:tabs>
              <w:spacing w:beforeLines="50"/>
              <w:jc w:val="center"/>
              <w:rPr>
                <w:rFonts w:hint="eastAsia" w:ascii="Times New Roman" w:hAnsi="Times New Roman" w:eastAsia="宋体" w:cs="宋体"/>
                <w:b/>
                <w:bCs/>
                <w:color w:val="auto"/>
                <w:spacing w:val="-4"/>
                <w:szCs w:val="21"/>
                <w:highlight w:val="none"/>
              </w:rPr>
            </w:pPr>
          </w:p>
          <w:p w14:paraId="63EE6D45">
            <w:pPr>
              <w:tabs>
                <w:tab w:val="left" w:pos="960"/>
              </w:tabs>
              <w:spacing w:beforeLines="50"/>
              <w:jc w:val="center"/>
              <w:rPr>
                <w:rFonts w:hint="eastAsia" w:ascii="Times New Roman" w:hAnsi="Times New Roman" w:eastAsia="宋体" w:cs="宋体"/>
                <w:b/>
                <w:bCs/>
                <w:color w:val="auto"/>
                <w:spacing w:val="-4"/>
                <w:szCs w:val="21"/>
                <w:highlight w:val="none"/>
              </w:rPr>
            </w:pPr>
          </w:p>
          <w:p w14:paraId="0C25BB57">
            <w:pPr>
              <w:tabs>
                <w:tab w:val="left" w:pos="960"/>
              </w:tabs>
              <w:spacing w:beforeLines="50"/>
              <w:jc w:val="center"/>
              <w:rPr>
                <w:rFonts w:hint="eastAsia" w:ascii="Times New Roman" w:hAnsi="Times New Roman" w:eastAsia="宋体" w:cs="宋体"/>
                <w:b/>
                <w:bCs/>
                <w:color w:val="auto"/>
                <w:spacing w:val="-4"/>
                <w:szCs w:val="21"/>
                <w:highlight w:val="none"/>
              </w:rPr>
            </w:pPr>
          </w:p>
          <w:p w14:paraId="3AD41648">
            <w:pPr>
              <w:tabs>
                <w:tab w:val="left" w:pos="960"/>
              </w:tabs>
              <w:spacing w:beforeLines="50"/>
              <w:jc w:val="center"/>
              <w:rPr>
                <w:rFonts w:hint="eastAsia" w:ascii="Times New Roman" w:hAnsi="Times New Roman" w:eastAsia="宋体" w:cs="宋体"/>
                <w:b/>
                <w:bCs/>
                <w:color w:val="auto"/>
                <w:spacing w:val="-4"/>
                <w:szCs w:val="21"/>
                <w:highlight w:val="none"/>
              </w:rPr>
            </w:pPr>
          </w:p>
          <w:p w14:paraId="341C2FEC">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 xml:space="preserve">1  </w:t>
            </w:r>
            <w:r>
              <w:rPr>
                <w:rFonts w:ascii="Times New Roman" w:hAnsi="Times New Roman" w:eastAsia="宋体" w:cs="宋体"/>
                <w:b/>
                <w:bCs/>
                <w:color w:val="auto"/>
                <w:spacing w:val="-4"/>
                <w:szCs w:val="21"/>
                <w:highlight w:val="none"/>
              </w:rPr>
              <w:t>有组织</w:t>
            </w:r>
            <w:r>
              <w:rPr>
                <w:rFonts w:hint="eastAsia" w:ascii="Times New Roman" w:hAnsi="Times New Roman" w:eastAsia="宋体" w:cs="宋体"/>
                <w:b/>
                <w:bCs/>
                <w:color w:val="auto"/>
                <w:spacing w:val="-4"/>
                <w:szCs w:val="21"/>
                <w:highlight w:val="none"/>
              </w:rPr>
              <w:t>废气产生情况表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52"/>
              <w:gridCol w:w="1062"/>
              <w:gridCol w:w="1214"/>
              <w:gridCol w:w="1624"/>
              <w:gridCol w:w="1161"/>
              <w:gridCol w:w="1161"/>
              <w:gridCol w:w="1165"/>
            </w:tblGrid>
            <w:tr w14:paraId="29F6A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2" w:type="pct"/>
                  <w:gridSpan w:val="2"/>
                  <w:vAlign w:val="center"/>
                </w:tcPr>
                <w:p w14:paraId="3C0A3760">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污染源</w:t>
                  </w:r>
                </w:p>
              </w:tc>
              <w:tc>
                <w:tcPr>
                  <w:tcW w:w="719" w:type="pct"/>
                  <w:vMerge w:val="restart"/>
                  <w:vAlign w:val="center"/>
                </w:tcPr>
                <w:p w14:paraId="48228F92">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工序</w:t>
                  </w:r>
                </w:p>
              </w:tc>
              <w:tc>
                <w:tcPr>
                  <w:tcW w:w="962" w:type="pct"/>
                  <w:vMerge w:val="restart"/>
                  <w:vAlign w:val="center"/>
                </w:tcPr>
                <w:p w14:paraId="7759B9D6">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污染物名称</w:t>
                  </w:r>
                </w:p>
              </w:tc>
              <w:tc>
                <w:tcPr>
                  <w:tcW w:w="2066" w:type="pct"/>
                  <w:gridSpan w:val="3"/>
                  <w:vAlign w:val="center"/>
                </w:tcPr>
                <w:p w14:paraId="5F13CCF0">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产生情况</w:t>
                  </w:r>
                </w:p>
              </w:tc>
            </w:tr>
            <w:tr w14:paraId="34C24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restart"/>
                  <w:vAlign w:val="center"/>
                </w:tcPr>
                <w:p w14:paraId="64B18100">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排气筒</w:t>
                  </w:r>
                </w:p>
              </w:tc>
              <w:tc>
                <w:tcPr>
                  <w:tcW w:w="629" w:type="pct"/>
                  <w:vAlign w:val="center"/>
                </w:tcPr>
                <w:p w14:paraId="647B7D04">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排气量</w:t>
                  </w:r>
                </w:p>
              </w:tc>
              <w:tc>
                <w:tcPr>
                  <w:tcW w:w="719" w:type="pct"/>
                  <w:vMerge w:val="continue"/>
                  <w:vAlign w:val="center"/>
                </w:tcPr>
                <w:p w14:paraId="2FE45A01">
                  <w:pPr>
                    <w:snapToGrid w:val="0"/>
                    <w:jc w:val="center"/>
                    <w:rPr>
                      <w:rFonts w:ascii="Times New Roman" w:hAnsi="Times New Roman" w:eastAsia="宋体" w:cs="宋体"/>
                      <w:b/>
                      <w:color w:val="auto"/>
                      <w:kern w:val="0"/>
                      <w:szCs w:val="21"/>
                      <w:highlight w:val="none"/>
                    </w:rPr>
                  </w:pPr>
                </w:p>
              </w:tc>
              <w:tc>
                <w:tcPr>
                  <w:tcW w:w="962" w:type="pct"/>
                  <w:vMerge w:val="continue"/>
                  <w:vAlign w:val="center"/>
                </w:tcPr>
                <w:p w14:paraId="6CF0F5E7">
                  <w:pPr>
                    <w:snapToGrid w:val="0"/>
                    <w:jc w:val="center"/>
                    <w:rPr>
                      <w:rFonts w:ascii="Times New Roman" w:hAnsi="Times New Roman" w:eastAsia="宋体" w:cs="宋体"/>
                      <w:b/>
                      <w:color w:val="auto"/>
                      <w:kern w:val="0"/>
                      <w:szCs w:val="21"/>
                      <w:highlight w:val="none"/>
                    </w:rPr>
                  </w:pPr>
                </w:p>
              </w:tc>
              <w:tc>
                <w:tcPr>
                  <w:tcW w:w="688" w:type="pct"/>
                  <w:vAlign w:val="center"/>
                </w:tcPr>
                <w:p w14:paraId="4047CB29">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浓度</w:t>
                  </w:r>
                </w:p>
              </w:tc>
              <w:tc>
                <w:tcPr>
                  <w:tcW w:w="688" w:type="pct"/>
                  <w:vAlign w:val="center"/>
                </w:tcPr>
                <w:p w14:paraId="7F5877CF">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速率</w:t>
                  </w:r>
                </w:p>
              </w:tc>
              <w:tc>
                <w:tcPr>
                  <w:tcW w:w="690" w:type="pct"/>
                  <w:vAlign w:val="center"/>
                </w:tcPr>
                <w:p w14:paraId="04DF6547">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产生量</w:t>
                  </w:r>
                </w:p>
              </w:tc>
            </w:tr>
            <w:tr w14:paraId="1F2B8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7555EB13">
                  <w:pPr>
                    <w:snapToGrid w:val="0"/>
                    <w:jc w:val="center"/>
                    <w:rPr>
                      <w:rFonts w:ascii="Times New Roman" w:hAnsi="Times New Roman" w:eastAsia="宋体" w:cs="宋体"/>
                      <w:b/>
                      <w:color w:val="auto"/>
                      <w:kern w:val="0"/>
                      <w:szCs w:val="21"/>
                      <w:highlight w:val="none"/>
                    </w:rPr>
                  </w:pPr>
                </w:p>
              </w:tc>
              <w:tc>
                <w:tcPr>
                  <w:tcW w:w="629" w:type="pct"/>
                  <w:vAlign w:val="center"/>
                </w:tcPr>
                <w:p w14:paraId="0750D77C">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3</w:t>
                  </w:r>
                  <w:r>
                    <w:rPr>
                      <w:rFonts w:ascii="Times New Roman" w:hAnsi="Times New Roman" w:eastAsia="宋体" w:cs="宋体"/>
                      <w:color w:val="auto"/>
                      <w:kern w:val="0"/>
                      <w:szCs w:val="21"/>
                      <w:highlight w:val="none"/>
                    </w:rPr>
                    <w:t>/h</w:t>
                  </w:r>
                </w:p>
              </w:tc>
              <w:tc>
                <w:tcPr>
                  <w:tcW w:w="719" w:type="pct"/>
                  <w:vMerge w:val="continue"/>
                  <w:vAlign w:val="center"/>
                </w:tcPr>
                <w:p w14:paraId="04DB2CDF">
                  <w:pPr>
                    <w:snapToGrid w:val="0"/>
                    <w:jc w:val="center"/>
                    <w:rPr>
                      <w:rFonts w:ascii="Times New Roman" w:hAnsi="Times New Roman" w:eastAsia="宋体" w:cs="宋体"/>
                      <w:b/>
                      <w:color w:val="auto"/>
                      <w:kern w:val="0"/>
                      <w:szCs w:val="21"/>
                      <w:highlight w:val="none"/>
                    </w:rPr>
                  </w:pPr>
                </w:p>
              </w:tc>
              <w:tc>
                <w:tcPr>
                  <w:tcW w:w="962" w:type="pct"/>
                  <w:vMerge w:val="continue"/>
                  <w:vAlign w:val="center"/>
                </w:tcPr>
                <w:p w14:paraId="266BE5BD">
                  <w:pPr>
                    <w:snapToGrid w:val="0"/>
                    <w:jc w:val="center"/>
                    <w:rPr>
                      <w:rFonts w:ascii="Times New Roman" w:hAnsi="Times New Roman" w:eastAsia="宋体" w:cs="宋体"/>
                      <w:b/>
                      <w:color w:val="auto"/>
                      <w:kern w:val="0"/>
                      <w:szCs w:val="21"/>
                      <w:highlight w:val="none"/>
                    </w:rPr>
                  </w:pPr>
                </w:p>
              </w:tc>
              <w:tc>
                <w:tcPr>
                  <w:tcW w:w="688" w:type="pct"/>
                  <w:vAlign w:val="center"/>
                </w:tcPr>
                <w:p w14:paraId="33CBECFC">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688" w:type="pct"/>
                  <w:vAlign w:val="center"/>
                </w:tcPr>
                <w:p w14:paraId="3642A828">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kg/h</w:t>
                  </w:r>
                </w:p>
              </w:tc>
              <w:tc>
                <w:tcPr>
                  <w:tcW w:w="690" w:type="pct"/>
                  <w:vAlign w:val="center"/>
                </w:tcPr>
                <w:p w14:paraId="51C59EE4">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t/a</w:t>
                  </w:r>
                </w:p>
              </w:tc>
            </w:tr>
            <w:tr w14:paraId="39CDD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restart"/>
                  <w:vAlign w:val="center"/>
                </w:tcPr>
                <w:p w14:paraId="2EA2D9BF">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FQ-1</w:t>
                  </w:r>
                </w:p>
              </w:tc>
              <w:tc>
                <w:tcPr>
                  <w:tcW w:w="629" w:type="pct"/>
                  <w:vAlign w:val="center"/>
                </w:tcPr>
                <w:p w14:paraId="7BDE9199">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10000</w:t>
                  </w:r>
                </w:p>
              </w:tc>
              <w:tc>
                <w:tcPr>
                  <w:tcW w:w="719" w:type="pct"/>
                  <w:vAlign w:val="center"/>
                </w:tcPr>
                <w:p w14:paraId="00ABA0F9">
                  <w:pPr>
                    <w:snapToGrid w:val="0"/>
                    <w:jc w:val="center"/>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熔化</w:t>
                  </w:r>
                </w:p>
              </w:tc>
              <w:tc>
                <w:tcPr>
                  <w:tcW w:w="962" w:type="pct"/>
                  <w:vAlign w:val="center"/>
                </w:tcPr>
                <w:p w14:paraId="4C00EA82">
                  <w:pPr>
                    <w:tabs>
                      <w:tab w:val="left" w:pos="960"/>
                    </w:tabs>
                    <w:snapToGrid w:val="0"/>
                    <w:jc w:val="center"/>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颗粒物</w:t>
                  </w:r>
                </w:p>
              </w:tc>
              <w:tc>
                <w:tcPr>
                  <w:tcW w:w="688" w:type="pct"/>
                  <w:vAlign w:val="center"/>
                </w:tcPr>
                <w:p w14:paraId="3554731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42.42</w:t>
                  </w:r>
                </w:p>
              </w:tc>
              <w:tc>
                <w:tcPr>
                  <w:tcW w:w="688" w:type="pct"/>
                  <w:vAlign w:val="center"/>
                </w:tcPr>
                <w:p w14:paraId="3D84CAA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0.424</w:t>
                  </w:r>
                </w:p>
              </w:tc>
              <w:tc>
                <w:tcPr>
                  <w:tcW w:w="690" w:type="pct"/>
                  <w:vAlign w:val="center"/>
                </w:tcPr>
                <w:p w14:paraId="6F0556CF">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0.509</w:t>
                  </w:r>
                </w:p>
              </w:tc>
            </w:tr>
            <w:tr w14:paraId="0C8CB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0A535346">
                  <w:pPr>
                    <w:snapToGrid w:val="0"/>
                    <w:jc w:val="center"/>
                    <w:rPr>
                      <w:rFonts w:ascii="Times New Roman" w:hAnsi="Times New Roman" w:eastAsia="宋体" w:cs="宋体"/>
                      <w:color w:val="auto"/>
                      <w:kern w:val="0"/>
                      <w:szCs w:val="21"/>
                      <w:highlight w:val="none"/>
                    </w:rPr>
                  </w:pPr>
                </w:p>
              </w:tc>
              <w:tc>
                <w:tcPr>
                  <w:tcW w:w="629" w:type="pct"/>
                  <w:vMerge w:val="restart"/>
                  <w:vAlign w:val="center"/>
                </w:tcPr>
                <w:p w14:paraId="5AB9D414">
                  <w:pPr>
                    <w:snapToGrid w:val="0"/>
                    <w:jc w:val="center"/>
                    <w:rPr>
                      <w:rFonts w:hint="default" w:ascii="Times New Roman" w:hAnsi="Times New Roman" w:eastAsia="宋体" w:cs="宋体"/>
                      <w:color w:val="auto"/>
                      <w:kern w:val="0"/>
                      <w:szCs w:val="21"/>
                      <w:highlight w:val="none"/>
                      <w:lang w:val="en-US"/>
                    </w:rPr>
                  </w:pPr>
                  <w:r>
                    <w:rPr>
                      <w:rFonts w:hint="eastAsia" w:cs="宋体"/>
                      <w:color w:val="auto"/>
                      <w:kern w:val="0"/>
                      <w:szCs w:val="21"/>
                      <w:highlight w:val="none"/>
                      <w:lang w:val="en-US" w:eastAsia="zh-CN"/>
                    </w:rPr>
                    <w:t>1247</w:t>
                  </w:r>
                </w:p>
              </w:tc>
              <w:tc>
                <w:tcPr>
                  <w:tcW w:w="719" w:type="pct"/>
                  <w:vMerge w:val="restart"/>
                  <w:vAlign w:val="center"/>
                </w:tcPr>
                <w:p w14:paraId="2058613E">
                  <w:pPr>
                    <w:snapToGrid w:val="0"/>
                    <w:jc w:val="center"/>
                    <w:rPr>
                      <w:rFonts w:hint="eastAsia" w:ascii="Times New Roman" w:hAnsi="Times New Roman" w:eastAsia="宋体" w:cs="宋体"/>
                      <w:color w:val="auto"/>
                      <w:kern w:val="0"/>
                      <w:sz w:val="21"/>
                      <w:szCs w:val="21"/>
                      <w:highlight w:val="none"/>
                      <w:lang w:val="en-US" w:eastAsia="zh-CN" w:bidi="ar-SA"/>
                    </w:rPr>
                  </w:pPr>
                  <w:r>
                    <w:rPr>
                      <w:rFonts w:hint="eastAsia" w:ascii="Times New Roman" w:hAnsi="Times New Roman" w:eastAsia="宋体" w:cs="宋体"/>
                      <w:color w:val="auto"/>
                      <w:kern w:val="0"/>
                      <w:szCs w:val="21"/>
                      <w:highlight w:val="none"/>
                      <w:lang w:val="en-US" w:eastAsia="zh-CN"/>
                    </w:rPr>
                    <w:t>天然气燃烧</w:t>
                  </w:r>
                </w:p>
              </w:tc>
              <w:tc>
                <w:tcPr>
                  <w:tcW w:w="962" w:type="pct"/>
                  <w:vAlign w:val="center"/>
                </w:tcPr>
                <w:p w14:paraId="74671009">
                  <w:pPr>
                    <w:tabs>
                      <w:tab w:val="left" w:pos="960"/>
                    </w:tabs>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颗粒物</w:t>
                  </w:r>
                </w:p>
              </w:tc>
              <w:tc>
                <w:tcPr>
                  <w:tcW w:w="688" w:type="pct"/>
                  <w:vAlign w:val="center"/>
                </w:tcPr>
                <w:p w14:paraId="2F7B3D9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20.67</w:t>
                  </w:r>
                </w:p>
              </w:tc>
              <w:tc>
                <w:tcPr>
                  <w:tcW w:w="688" w:type="pct"/>
                  <w:vAlign w:val="center"/>
                </w:tcPr>
                <w:p w14:paraId="1B7C756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0.026</w:t>
                  </w:r>
                </w:p>
              </w:tc>
              <w:tc>
                <w:tcPr>
                  <w:tcW w:w="690" w:type="pct"/>
                  <w:vAlign w:val="center"/>
                </w:tcPr>
                <w:p w14:paraId="15A5C43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0.031</w:t>
                  </w:r>
                </w:p>
              </w:tc>
            </w:tr>
            <w:tr w14:paraId="02052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66D648D9">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7E14BFED">
                  <w:pPr>
                    <w:snapToGrid w:val="0"/>
                    <w:jc w:val="center"/>
                    <w:rPr>
                      <w:rFonts w:ascii="Times New Roman" w:hAnsi="Times New Roman" w:eastAsia="宋体" w:cs="宋体"/>
                      <w:color w:val="auto"/>
                      <w:kern w:val="0"/>
                      <w:szCs w:val="21"/>
                      <w:highlight w:val="none"/>
                    </w:rPr>
                  </w:pPr>
                </w:p>
              </w:tc>
              <w:tc>
                <w:tcPr>
                  <w:tcW w:w="719" w:type="pct"/>
                  <w:vMerge w:val="continue"/>
                  <w:vAlign w:val="center"/>
                </w:tcPr>
                <w:p w14:paraId="31B2936F">
                  <w:pPr>
                    <w:snapToGrid w:val="0"/>
                    <w:jc w:val="center"/>
                    <w:rPr>
                      <w:rFonts w:hint="eastAsia" w:ascii="Times New Roman" w:hAnsi="Times New Roman" w:eastAsia="宋体" w:cs="宋体"/>
                      <w:color w:val="auto"/>
                      <w:kern w:val="0"/>
                      <w:szCs w:val="21"/>
                      <w:highlight w:val="none"/>
                    </w:rPr>
                  </w:pPr>
                </w:p>
              </w:tc>
              <w:tc>
                <w:tcPr>
                  <w:tcW w:w="962" w:type="pct"/>
                  <w:vAlign w:val="center"/>
                </w:tcPr>
                <w:p w14:paraId="0BA21260">
                  <w:pPr>
                    <w:tabs>
                      <w:tab w:val="left" w:pos="960"/>
                    </w:tabs>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二氧化硫</w:t>
                  </w:r>
                </w:p>
              </w:tc>
              <w:tc>
                <w:tcPr>
                  <w:tcW w:w="688" w:type="pct"/>
                  <w:vAlign w:val="center"/>
                </w:tcPr>
                <w:p w14:paraId="5082F09D">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14.67</w:t>
                  </w:r>
                </w:p>
              </w:tc>
              <w:tc>
                <w:tcPr>
                  <w:tcW w:w="688" w:type="pct"/>
                  <w:vAlign w:val="center"/>
                </w:tcPr>
                <w:p w14:paraId="5FC91964">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0.018</w:t>
                  </w:r>
                </w:p>
              </w:tc>
              <w:tc>
                <w:tcPr>
                  <w:tcW w:w="690" w:type="pct"/>
                  <w:vAlign w:val="center"/>
                </w:tcPr>
                <w:p w14:paraId="623C283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0.022</w:t>
                  </w:r>
                </w:p>
              </w:tc>
            </w:tr>
            <w:tr w14:paraId="63E6A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70FC7797">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2F05965B">
                  <w:pPr>
                    <w:snapToGrid w:val="0"/>
                    <w:jc w:val="center"/>
                    <w:rPr>
                      <w:rFonts w:ascii="Times New Roman" w:hAnsi="Times New Roman" w:eastAsia="宋体" w:cs="宋体"/>
                      <w:color w:val="auto"/>
                      <w:kern w:val="0"/>
                      <w:szCs w:val="21"/>
                      <w:highlight w:val="none"/>
                    </w:rPr>
                  </w:pPr>
                </w:p>
              </w:tc>
              <w:tc>
                <w:tcPr>
                  <w:tcW w:w="719" w:type="pct"/>
                  <w:vMerge w:val="continue"/>
                  <w:vAlign w:val="center"/>
                </w:tcPr>
                <w:p w14:paraId="063BD813">
                  <w:pPr>
                    <w:snapToGrid w:val="0"/>
                    <w:jc w:val="center"/>
                    <w:rPr>
                      <w:rFonts w:hint="eastAsia" w:ascii="Times New Roman" w:hAnsi="Times New Roman" w:eastAsia="宋体" w:cs="宋体"/>
                      <w:color w:val="auto"/>
                      <w:kern w:val="0"/>
                      <w:szCs w:val="21"/>
                      <w:highlight w:val="none"/>
                    </w:rPr>
                  </w:pPr>
                </w:p>
              </w:tc>
              <w:tc>
                <w:tcPr>
                  <w:tcW w:w="962" w:type="pct"/>
                  <w:vAlign w:val="center"/>
                </w:tcPr>
                <w:p w14:paraId="34CC270A">
                  <w:pPr>
                    <w:tabs>
                      <w:tab w:val="left" w:pos="960"/>
                    </w:tabs>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氮氧化物</w:t>
                  </w:r>
                </w:p>
              </w:tc>
              <w:tc>
                <w:tcPr>
                  <w:tcW w:w="688" w:type="pct"/>
                  <w:vAlign w:val="center"/>
                </w:tcPr>
                <w:p w14:paraId="50FDAFBE">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137.33</w:t>
                  </w:r>
                </w:p>
              </w:tc>
              <w:tc>
                <w:tcPr>
                  <w:tcW w:w="688" w:type="pct"/>
                  <w:vAlign w:val="center"/>
                </w:tcPr>
                <w:p w14:paraId="5C60A2DE">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0.172</w:t>
                  </w:r>
                </w:p>
              </w:tc>
              <w:tc>
                <w:tcPr>
                  <w:tcW w:w="690" w:type="pct"/>
                  <w:vAlign w:val="center"/>
                </w:tcPr>
                <w:p w14:paraId="0A98A69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0.206</w:t>
                  </w:r>
                </w:p>
              </w:tc>
            </w:tr>
            <w:tr w14:paraId="13684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445F94B4">
                  <w:pPr>
                    <w:snapToGrid w:val="0"/>
                    <w:jc w:val="center"/>
                    <w:rPr>
                      <w:rFonts w:ascii="Times New Roman" w:hAnsi="Times New Roman" w:eastAsia="宋体" w:cs="宋体"/>
                      <w:color w:val="auto"/>
                      <w:kern w:val="0"/>
                      <w:szCs w:val="21"/>
                      <w:highlight w:val="none"/>
                    </w:rPr>
                  </w:pPr>
                </w:p>
              </w:tc>
              <w:tc>
                <w:tcPr>
                  <w:tcW w:w="629" w:type="pct"/>
                  <w:vMerge w:val="restart"/>
                  <w:vAlign w:val="center"/>
                </w:tcPr>
                <w:p w14:paraId="30FE7984">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10000</w:t>
                  </w:r>
                </w:p>
              </w:tc>
              <w:tc>
                <w:tcPr>
                  <w:tcW w:w="719" w:type="pct"/>
                  <w:vAlign w:val="center"/>
                </w:tcPr>
                <w:p w14:paraId="14E31C7E">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压铸</w:t>
                  </w:r>
                </w:p>
              </w:tc>
              <w:tc>
                <w:tcPr>
                  <w:tcW w:w="962" w:type="pct"/>
                  <w:vAlign w:val="center"/>
                </w:tcPr>
                <w:p w14:paraId="61FD88D5">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688" w:type="pct"/>
                  <w:vAlign w:val="center"/>
                </w:tcPr>
                <w:p w14:paraId="3E87096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11.08</w:t>
                  </w:r>
                </w:p>
              </w:tc>
              <w:tc>
                <w:tcPr>
                  <w:tcW w:w="688" w:type="pct"/>
                  <w:vAlign w:val="center"/>
                </w:tcPr>
                <w:p w14:paraId="56AB3FF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0.111</w:t>
                  </w:r>
                </w:p>
              </w:tc>
              <w:tc>
                <w:tcPr>
                  <w:tcW w:w="690" w:type="pct"/>
                  <w:vAlign w:val="center"/>
                </w:tcPr>
                <w:p w14:paraId="5130816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0.133</w:t>
                  </w:r>
                </w:p>
              </w:tc>
            </w:tr>
            <w:tr w14:paraId="426E2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48DF06A7">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257A52EC">
                  <w:pPr>
                    <w:snapToGrid w:val="0"/>
                    <w:jc w:val="center"/>
                    <w:rPr>
                      <w:rFonts w:ascii="Times New Roman" w:hAnsi="Times New Roman" w:eastAsia="宋体" w:cs="宋体"/>
                      <w:color w:val="auto"/>
                      <w:kern w:val="0"/>
                      <w:szCs w:val="21"/>
                      <w:highlight w:val="none"/>
                    </w:rPr>
                  </w:pPr>
                </w:p>
              </w:tc>
              <w:tc>
                <w:tcPr>
                  <w:tcW w:w="719" w:type="pct"/>
                  <w:vAlign w:val="center"/>
                </w:tcPr>
                <w:p w14:paraId="223571E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脱模</w:t>
                  </w:r>
                </w:p>
              </w:tc>
              <w:tc>
                <w:tcPr>
                  <w:tcW w:w="962" w:type="pct"/>
                  <w:vAlign w:val="center"/>
                </w:tcPr>
                <w:p w14:paraId="0744C08B">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非甲烷总烃</w:t>
                  </w:r>
                </w:p>
              </w:tc>
              <w:tc>
                <w:tcPr>
                  <w:tcW w:w="688" w:type="pct"/>
                  <w:vAlign w:val="center"/>
                </w:tcPr>
                <w:p w14:paraId="5EE7D5E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112.5</w:t>
                  </w:r>
                </w:p>
              </w:tc>
              <w:tc>
                <w:tcPr>
                  <w:tcW w:w="688" w:type="pct"/>
                  <w:vAlign w:val="center"/>
                </w:tcPr>
                <w:p w14:paraId="32EA3134">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1.13</w:t>
                  </w:r>
                </w:p>
              </w:tc>
              <w:tc>
                <w:tcPr>
                  <w:tcW w:w="690" w:type="pct"/>
                  <w:vAlign w:val="center"/>
                </w:tcPr>
                <w:p w14:paraId="4B99A4B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1.35</w:t>
                  </w:r>
                </w:p>
              </w:tc>
            </w:tr>
            <w:tr w14:paraId="4FAE1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4E164C31">
                  <w:pPr>
                    <w:snapToGrid w:val="0"/>
                    <w:jc w:val="center"/>
                    <w:rPr>
                      <w:rFonts w:ascii="Times New Roman" w:hAnsi="Times New Roman" w:eastAsia="宋体" w:cs="宋体"/>
                      <w:color w:val="auto"/>
                      <w:kern w:val="0"/>
                      <w:szCs w:val="21"/>
                      <w:highlight w:val="none"/>
                    </w:rPr>
                  </w:pPr>
                </w:p>
              </w:tc>
              <w:tc>
                <w:tcPr>
                  <w:tcW w:w="629" w:type="pct"/>
                  <w:vMerge w:val="restart"/>
                  <w:vAlign w:val="center"/>
                </w:tcPr>
                <w:p w14:paraId="438A232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21247</w:t>
                  </w:r>
                </w:p>
              </w:tc>
              <w:tc>
                <w:tcPr>
                  <w:tcW w:w="719" w:type="pct"/>
                  <w:vMerge w:val="restart"/>
                  <w:vAlign w:val="center"/>
                </w:tcPr>
                <w:p w14:paraId="18ED7ACB">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合计</w:t>
                  </w:r>
                </w:p>
              </w:tc>
              <w:tc>
                <w:tcPr>
                  <w:tcW w:w="1569" w:type="dxa"/>
                  <w:vAlign w:val="center"/>
                </w:tcPr>
                <w:p w14:paraId="03574582">
                  <w:pPr>
                    <w:tabs>
                      <w:tab w:val="left" w:pos="960"/>
                    </w:tabs>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颗粒物</w:t>
                  </w:r>
                </w:p>
              </w:tc>
              <w:tc>
                <w:tcPr>
                  <w:tcW w:w="688" w:type="pct"/>
                  <w:vAlign w:val="center"/>
                </w:tcPr>
                <w:p w14:paraId="4B83E41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26.39</w:t>
                  </w:r>
                </w:p>
              </w:tc>
              <w:tc>
                <w:tcPr>
                  <w:tcW w:w="688" w:type="pct"/>
                  <w:vAlign w:val="center"/>
                </w:tcPr>
                <w:p w14:paraId="25F5929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0.561</w:t>
                  </w:r>
                </w:p>
              </w:tc>
              <w:tc>
                <w:tcPr>
                  <w:tcW w:w="690" w:type="pct"/>
                  <w:vAlign w:val="center"/>
                </w:tcPr>
                <w:p w14:paraId="55DCAE1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0.673</w:t>
                  </w:r>
                </w:p>
              </w:tc>
            </w:tr>
            <w:tr w14:paraId="59C8C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6BCB35C7">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03E76033">
                  <w:pPr>
                    <w:snapToGrid w:val="0"/>
                    <w:jc w:val="center"/>
                    <w:rPr>
                      <w:rFonts w:ascii="Times New Roman" w:hAnsi="Times New Roman" w:eastAsia="宋体" w:cs="宋体"/>
                      <w:color w:val="auto"/>
                      <w:kern w:val="0"/>
                      <w:szCs w:val="21"/>
                      <w:highlight w:val="none"/>
                    </w:rPr>
                  </w:pPr>
                </w:p>
              </w:tc>
              <w:tc>
                <w:tcPr>
                  <w:tcW w:w="719" w:type="pct"/>
                  <w:vMerge w:val="continue"/>
                  <w:vAlign w:val="center"/>
                </w:tcPr>
                <w:p w14:paraId="1DF6AEC1">
                  <w:pPr>
                    <w:snapToGrid w:val="0"/>
                    <w:jc w:val="center"/>
                    <w:rPr>
                      <w:rFonts w:hint="eastAsia" w:cs="宋体"/>
                      <w:color w:val="auto"/>
                      <w:kern w:val="0"/>
                      <w:szCs w:val="21"/>
                      <w:highlight w:val="none"/>
                      <w:lang w:val="en-US" w:eastAsia="zh-CN"/>
                    </w:rPr>
                  </w:pPr>
                </w:p>
              </w:tc>
              <w:tc>
                <w:tcPr>
                  <w:tcW w:w="1569" w:type="dxa"/>
                  <w:vAlign w:val="center"/>
                </w:tcPr>
                <w:p w14:paraId="42DDBC64">
                  <w:pPr>
                    <w:tabs>
                      <w:tab w:val="left" w:pos="960"/>
                    </w:tabs>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二氧化硫</w:t>
                  </w:r>
                </w:p>
              </w:tc>
              <w:tc>
                <w:tcPr>
                  <w:tcW w:w="688" w:type="pct"/>
                  <w:vAlign w:val="center"/>
                </w:tcPr>
                <w:p w14:paraId="1579737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0.98</w:t>
                  </w:r>
                </w:p>
              </w:tc>
              <w:tc>
                <w:tcPr>
                  <w:tcW w:w="1122" w:type="dxa"/>
                  <w:vAlign w:val="center"/>
                </w:tcPr>
                <w:p w14:paraId="78548A01">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0.018</w:t>
                  </w:r>
                </w:p>
              </w:tc>
              <w:tc>
                <w:tcPr>
                  <w:tcW w:w="1126" w:type="dxa"/>
                  <w:vAlign w:val="center"/>
                </w:tcPr>
                <w:p w14:paraId="0005E49F">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0.022</w:t>
                  </w:r>
                </w:p>
              </w:tc>
            </w:tr>
            <w:tr w14:paraId="569D4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531F7DF9">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64D37484">
                  <w:pPr>
                    <w:snapToGrid w:val="0"/>
                    <w:jc w:val="center"/>
                    <w:rPr>
                      <w:rFonts w:ascii="Times New Roman" w:hAnsi="Times New Roman" w:eastAsia="宋体" w:cs="宋体"/>
                      <w:color w:val="auto"/>
                      <w:kern w:val="0"/>
                      <w:szCs w:val="21"/>
                      <w:highlight w:val="none"/>
                    </w:rPr>
                  </w:pPr>
                </w:p>
              </w:tc>
              <w:tc>
                <w:tcPr>
                  <w:tcW w:w="719" w:type="pct"/>
                  <w:vMerge w:val="continue"/>
                  <w:vAlign w:val="center"/>
                </w:tcPr>
                <w:p w14:paraId="1D877923">
                  <w:pPr>
                    <w:snapToGrid w:val="0"/>
                    <w:jc w:val="center"/>
                    <w:rPr>
                      <w:rFonts w:hint="eastAsia" w:cs="宋体"/>
                      <w:color w:val="auto"/>
                      <w:kern w:val="0"/>
                      <w:szCs w:val="21"/>
                      <w:highlight w:val="none"/>
                      <w:lang w:val="en-US" w:eastAsia="zh-CN"/>
                    </w:rPr>
                  </w:pPr>
                </w:p>
              </w:tc>
              <w:tc>
                <w:tcPr>
                  <w:tcW w:w="1569" w:type="dxa"/>
                  <w:vAlign w:val="center"/>
                </w:tcPr>
                <w:p w14:paraId="2A332659">
                  <w:pPr>
                    <w:tabs>
                      <w:tab w:val="left" w:pos="960"/>
                    </w:tabs>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氮氧化物</w:t>
                  </w:r>
                </w:p>
              </w:tc>
              <w:tc>
                <w:tcPr>
                  <w:tcW w:w="688" w:type="pct"/>
                  <w:vAlign w:val="center"/>
                </w:tcPr>
                <w:p w14:paraId="6C50837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9.16</w:t>
                  </w:r>
                </w:p>
              </w:tc>
              <w:tc>
                <w:tcPr>
                  <w:tcW w:w="1122" w:type="dxa"/>
                  <w:vAlign w:val="center"/>
                </w:tcPr>
                <w:p w14:paraId="687F0797">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0.172</w:t>
                  </w:r>
                </w:p>
              </w:tc>
              <w:tc>
                <w:tcPr>
                  <w:tcW w:w="1126" w:type="dxa"/>
                  <w:vAlign w:val="center"/>
                </w:tcPr>
                <w:p w14:paraId="6B9A6D54">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0.206</w:t>
                  </w:r>
                </w:p>
              </w:tc>
            </w:tr>
            <w:tr w14:paraId="01A29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Merge w:val="continue"/>
                  <w:vAlign w:val="center"/>
                </w:tcPr>
                <w:p w14:paraId="7272C5DD">
                  <w:pPr>
                    <w:snapToGrid w:val="0"/>
                    <w:jc w:val="center"/>
                    <w:rPr>
                      <w:rFonts w:ascii="Times New Roman" w:hAnsi="Times New Roman" w:eastAsia="宋体" w:cs="宋体"/>
                      <w:color w:val="auto"/>
                      <w:kern w:val="0"/>
                      <w:szCs w:val="21"/>
                      <w:highlight w:val="none"/>
                    </w:rPr>
                  </w:pPr>
                </w:p>
              </w:tc>
              <w:tc>
                <w:tcPr>
                  <w:tcW w:w="629" w:type="pct"/>
                  <w:vMerge w:val="continue"/>
                  <w:vAlign w:val="center"/>
                </w:tcPr>
                <w:p w14:paraId="66A7762C">
                  <w:pPr>
                    <w:snapToGrid w:val="0"/>
                    <w:jc w:val="center"/>
                    <w:rPr>
                      <w:rFonts w:ascii="Times New Roman" w:hAnsi="Times New Roman" w:eastAsia="宋体" w:cs="宋体"/>
                      <w:color w:val="auto"/>
                      <w:kern w:val="0"/>
                      <w:szCs w:val="21"/>
                      <w:highlight w:val="none"/>
                    </w:rPr>
                  </w:pPr>
                </w:p>
              </w:tc>
              <w:tc>
                <w:tcPr>
                  <w:tcW w:w="719" w:type="pct"/>
                  <w:vMerge w:val="continue"/>
                  <w:vAlign w:val="center"/>
                </w:tcPr>
                <w:p w14:paraId="2AF84856">
                  <w:pPr>
                    <w:snapToGrid w:val="0"/>
                    <w:jc w:val="center"/>
                    <w:rPr>
                      <w:rFonts w:hint="eastAsia" w:cs="宋体"/>
                      <w:color w:val="auto"/>
                      <w:kern w:val="0"/>
                      <w:szCs w:val="21"/>
                      <w:highlight w:val="none"/>
                      <w:lang w:val="en-US" w:eastAsia="zh-CN"/>
                    </w:rPr>
                  </w:pPr>
                </w:p>
              </w:tc>
              <w:tc>
                <w:tcPr>
                  <w:tcW w:w="962" w:type="pct"/>
                  <w:vAlign w:val="center"/>
                </w:tcPr>
                <w:p w14:paraId="767B5DE1">
                  <w:pPr>
                    <w:tabs>
                      <w:tab w:val="left" w:pos="960"/>
                    </w:tabs>
                    <w:snapToGrid w:val="0"/>
                    <w:jc w:val="center"/>
                    <w:rPr>
                      <w:rFonts w:hint="eastAsia" w:cs="宋体"/>
                      <w:color w:val="auto"/>
                      <w:szCs w:val="21"/>
                      <w:highlight w:val="none"/>
                      <w:lang w:val="en-US" w:eastAsia="zh-CN"/>
                    </w:rPr>
                  </w:pPr>
                  <w:r>
                    <w:rPr>
                      <w:rFonts w:hint="eastAsia" w:cs="宋体"/>
                      <w:color w:val="auto"/>
                      <w:szCs w:val="21"/>
                      <w:highlight w:val="none"/>
                      <w:lang w:val="en-US" w:eastAsia="zh-CN"/>
                    </w:rPr>
                    <w:t>非甲烷总烃</w:t>
                  </w:r>
                </w:p>
              </w:tc>
              <w:tc>
                <w:tcPr>
                  <w:tcW w:w="688" w:type="pct"/>
                  <w:vAlign w:val="center"/>
                </w:tcPr>
                <w:p w14:paraId="081961DD">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688" w:type="pct"/>
                  <w:vAlign w:val="center"/>
                </w:tcPr>
                <w:p w14:paraId="5C144ADD">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1.13</w:t>
                  </w:r>
                </w:p>
              </w:tc>
              <w:tc>
                <w:tcPr>
                  <w:tcW w:w="690" w:type="pct"/>
                  <w:vAlign w:val="center"/>
                </w:tcPr>
                <w:p w14:paraId="23D564E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1.35</w:t>
                  </w:r>
                </w:p>
              </w:tc>
            </w:tr>
            <w:tr w14:paraId="408D6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23" w:type="pct"/>
                  <w:vAlign w:val="center"/>
                </w:tcPr>
                <w:p w14:paraId="0FC5BA4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629" w:type="pct"/>
                  <w:vAlign w:val="center"/>
                </w:tcPr>
                <w:p w14:paraId="2D588AA4">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5000</w:t>
                  </w:r>
                </w:p>
              </w:tc>
              <w:tc>
                <w:tcPr>
                  <w:tcW w:w="719" w:type="pct"/>
                  <w:vAlign w:val="center"/>
                </w:tcPr>
                <w:p w14:paraId="2301242B">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抛丸</w:t>
                  </w:r>
                </w:p>
              </w:tc>
              <w:tc>
                <w:tcPr>
                  <w:tcW w:w="962" w:type="pct"/>
                  <w:vAlign w:val="center"/>
                </w:tcPr>
                <w:p w14:paraId="23B571F9">
                  <w:pPr>
                    <w:tabs>
                      <w:tab w:val="left" w:pos="960"/>
                    </w:tabs>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颗粒物</w:t>
                  </w:r>
                </w:p>
              </w:tc>
              <w:tc>
                <w:tcPr>
                  <w:tcW w:w="688" w:type="pct"/>
                  <w:vAlign w:val="center"/>
                </w:tcPr>
                <w:p w14:paraId="0AC58E9B">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52</w:t>
                  </w:r>
                </w:p>
              </w:tc>
              <w:tc>
                <w:tcPr>
                  <w:tcW w:w="688" w:type="pct"/>
                  <w:vAlign w:val="center"/>
                </w:tcPr>
                <w:p w14:paraId="199F0D3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0.26</w:t>
                  </w:r>
                </w:p>
              </w:tc>
              <w:tc>
                <w:tcPr>
                  <w:tcW w:w="690" w:type="pct"/>
                  <w:vAlign w:val="center"/>
                </w:tcPr>
                <w:p w14:paraId="279057F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1.248</w:t>
                  </w:r>
                </w:p>
              </w:tc>
            </w:tr>
          </w:tbl>
          <w:p w14:paraId="715E413B">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2  无</w:t>
            </w:r>
            <w:r>
              <w:rPr>
                <w:rFonts w:ascii="Times New Roman" w:hAnsi="Times New Roman" w:eastAsia="宋体" w:cs="宋体"/>
                <w:b/>
                <w:bCs/>
                <w:color w:val="auto"/>
                <w:spacing w:val="-4"/>
                <w:szCs w:val="21"/>
                <w:highlight w:val="none"/>
              </w:rPr>
              <w:t>组织</w:t>
            </w:r>
            <w:r>
              <w:rPr>
                <w:rFonts w:hint="eastAsia" w:ascii="Times New Roman" w:hAnsi="Times New Roman" w:eastAsia="宋体" w:cs="宋体"/>
                <w:b/>
                <w:bCs/>
                <w:color w:val="auto"/>
                <w:spacing w:val="-4"/>
                <w:szCs w:val="21"/>
                <w:highlight w:val="none"/>
              </w:rPr>
              <w:t>废气产生情况表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80"/>
              <w:gridCol w:w="1755"/>
              <w:gridCol w:w="1468"/>
              <w:gridCol w:w="1344"/>
              <w:gridCol w:w="1344"/>
              <w:gridCol w:w="1345"/>
            </w:tblGrid>
            <w:tr w14:paraId="55B4A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restart"/>
                  <w:vAlign w:val="center"/>
                </w:tcPr>
                <w:p w14:paraId="491D1F28">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污染源位置</w:t>
                  </w:r>
                </w:p>
              </w:tc>
              <w:tc>
                <w:tcPr>
                  <w:tcW w:w="1039" w:type="pct"/>
                  <w:vMerge w:val="restart"/>
                  <w:vAlign w:val="center"/>
                </w:tcPr>
                <w:p w14:paraId="321B6BFC">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工序</w:t>
                  </w:r>
                </w:p>
              </w:tc>
              <w:tc>
                <w:tcPr>
                  <w:tcW w:w="869" w:type="pct"/>
                  <w:vMerge w:val="restart"/>
                  <w:vAlign w:val="center"/>
                </w:tcPr>
                <w:p w14:paraId="169B377C">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污染物名称</w:t>
                  </w:r>
                </w:p>
              </w:tc>
              <w:tc>
                <w:tcPr>
                  <w:tcW w:w="796" w:type="pct"/>
                  <w:vAlign w:val="center"/>
                </w:tcPr>
                <w:p w14:paraId="6C68ED13">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产生量</w:t>
                  </w:r>
                </w:p>
              </w:tc>
              <w:tc>
                <w:tcPr>
                  <w:tcW w:w="796" w:type="pct"/>
                  <w:vAlign w:val="center"/>
                </w:tcPr>
                <w:p w14:paraId="125A38D0">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面源面积</w:t>
                  </w:r>
                </w:p>
              </w:tc>
              <w:tc>
                <w:tcPr>
                  <w:tcW w:w="796" w:type="pct"/>
                  <w:vAlign w:val="center"/>
                </w:tcPr>
                <w:p w14:paraId="05E6AE92">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面源高度</w:t>
                  </w:r>
                </w:p>
              </w:tc>
            </w:tr>
            <w:tr w14:paraId="483B6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01326A86">
                  <w:pPr>
                    <w:snapToGrid w:val="0"/>
                    <w:jc w:val="center"/>
                    <w:rPr>
                      <w:rFonts w:ascii="Times New Roman" w:hAnsi="Times New Roman" w:eastAsia="宋体" w:cs="宋体"/>
                      <w:b/>
                      <w:color w:val="auto"/>
                      <w:szCs w:val="21"/>
                      <w:highlight w:val="none"/>
                    </w:rPr>
                  </w:pPr>
                </w:p>
              </w:tc>
              <w:tc>
                <w:tcPr>
                  <w:tcW w:w="1039" w:type="pct"/>
                  <w:vMerge w:val="continue"/>
                  <w:vAlign w:val="center"/>
                </w:tcPr>
                <w:p w14:paraId="23049D5E">
                  <w:pPr>
                    <w:snapToGrid w:val="0"/>
                    <w:jc w:val="center"/>
                    <w:rPr>
                      <w:rFonts w:ascii="Times New Roman" w:hAnsi="Times New Roman" w:eastAsia="宋体" w:cs="宋体"/>
                      <w:b/>
                      <w:color w:val="auto"/>
                      <w:szCs w:val="21"/>
                      <w:highlight w:val="none"/>
                    </w:rPr>
                  </w:pPr>
                </w:p>
              </w:tc>
              <w:tc>
                <w:tcPr>
                  <w:tcW w:w="869" w:type="pct"/>
                  <w:vMerge w:val="continue"/>
                  <w:vAlign w:val="center"/>
                </w:tcPr>
                <w:p w14:paraId="40C68F14">
                  <w:pPr>
                    <w:snapToGrid w:val="0"/>
                    <w:jc w:val="center"/>
                    <w:rPr>
                      <w:rFonts w:ascii="Times New Roman" w:hAnsi="Times New Roman" w:eastAsia="宋体" w:cs="宋体"/>
                      <w:b/>
                      <w:color w:val="auto"/>
                      <w:szCs w:val="21"/>
                      <w:highlight w:val="none"/>
                    </w:rPr>
                  </w:pPr>
                </w:p>
              </w:tc>
              <w:tc>
                <w:tcPr>
                  <w:tcW w:w="796" w:type="pct"/>
                  <w:vAlign w:val="center"/>
                </w:tcPr>
                <w:p w14:paraId="4D49E8D7">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t/a</w:t>
                  </w:r>
                </w:p>
              </w:tc>
              <w:tc>
                <w:tcPr>
                  <w:tcW w:w="796" w:type="pct"/>
                  <w:vAlign w:val="center"/>
                </w:tcPr>
                <w:p w14:paraId="58020E68">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2</w:t>
                  </w:r>
                </w:p>
              </w:tc>
              <w:tc>
                <w:tcPr>
                  <w:tcW w:w="796" w:type="pct"/>
                  <w:vAlign w:val="center"/>
                </w:tcPr>
                <w:p w14:paraId="188A384A">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p>
              </w:tc>
            </w:tr>
            <w:tr w14:paraId="41CBA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restart"/>
                  <w:vAlign w:val="center"/>
                </w:tcPr>
                <w:p w14:paraId="13DF58CC">
                  <w:pPr>
                    <w:snapToGrid w:val="0"/>
                    <w:jc w:val="center"/>
                    <w:rPr>
                      <w:rFonts w:ascii="Times New Roman" w:hAnsi="Times New Roman" w:eastAsia="宋体" w:cs="宋体"/>
                      <w:color w:val="auto"/>
                      <w:szCs w:val="21"/>
                      <w:highlight w:val="none"/>
                    </w:rPr>
                  </w:pPr>
                  <w:r>
                    <w:rPr>
                      <w:rFonts w:hint="eastAsia" w:cs="宋体"/>
                      <w:color w:val="auto"/>
                      <w:highlight w:val="none"/>
                      <w:lang w:val="en-US" w:eastAsia="zh-CN"/>
                    </w:rPr>
                    <w:t>2#</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1039" w:type="pct"/>
                  <w:vAlign w:val="center"/>
                </w:tcPr>
                <w:p w14:paraId="10E7FD18">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熔化</w:t>
                  </w:r>
                </w:p>
              </w:tc>
              <w:tc>
                <w:tcPr>
                  <w:tcW w:w="869" w:type="pct"/>
                  <w:vAlign w:val="center"/>
                </w:tcPr>
                <w:p w14:paraId="6669D0BA">
                  <w:pPr>
                    <w:snapToGrid w:val="0"/>
                    <w:jc w:val="center"/>
                    <w:rPr>
                      <w:rFonts w:hint="eastAsia" w:ascii="Times New Roman" w:hAnsi="Times New Roman" w:eastAsia="宋体" w:cs="宋体"/>
                      <w:bCs/>
                      <w:color w:val="auto"/>
                      <w:szCs w:val="21"/>
                      <w:highlight w:val="none"/>
                      <w:lang w:val="en-US" w:eastAsia="zh-CN"/>
                    </w:rPr>
                  </w:pPr>
                  <w:r>
                    <w:rPr>
                      <w:rFonts w:hint="eastAsia" w:ascii="Times New Roman" w:hAnsi="Times New Roman" w:eastAsia="宋体" w:cs="宋体"/>
                      <w:bCs/>
                      <w:color w:val="auto"/>
                      <w:szCs w:val="21"/>
                      <w:highlight w:val="none"/>
                    </w:rPr>
                    <w:t>颗粒物</w:t>
                  </w:r>
                </w:p>
              </w:tc>
              <w:tc>
                <w:tcPr>
                  <w:tcW w:w="796" w:type="pct"/>
                  <w:vAlign w:val="center"/>
                </w:tcPr>
                <w:p w14:paraId="7FF5C6ED">
                  <w:pPr>
                    <w:snapToGrid w:val="0"/>
                    <w:jc w:val="center"/>
                    <w:rPr>
                      <w:rFonts w:hint="default" w:ascii="Times New Roman" w:hAnsi="Times New Roman" w:eastAsia="宋体" w:cs="宋体"/>
                      <w:bCs/>
                      <w:color w:val="auto"/>
                      <w:kern w:val="0"/>
                      <w:szCs w:val="21"/>
                      <w:highlight w:val="none"/>
                      <w:lang w:val="en-US" w:eastAsia="zh-CN"/>
                    </w:rPr>
                  </w:pPr>
                  <w:r>
                    <w:rPr>
                      <w:rFonts w:hint="eastAsia" w:cs="宋体"/>
                      <w:bCs/>
                      <w:color w:val="auto"/>
                      <w:kern w:val="0"/>
                      <w:szCs w:val="21"/>
                      <w:highlight w:val="none"/>
                      <w:lang w:val="en-US" w:eastAsia="zh-CN"/>
                    </w:rPr>
                    <w:t>0.057</w:t>
                  </w:r>
                </w:p>
              </w:tc>
              <w:tc>
                <w:tcPr>
                  <w:tcW w:w="796" w:type="pct"/>
                  <w:vMerge w:val="restart"/>
                  <w:vAlign w:val="center"/>
                </w:tcPr>
                <w:p w14:paraId="4FFC12DD">
                  <w:pPr>
                    <w:pStyle w:val="59"/>
                    <w:autoSpaceDE w:val="0"/>
                    <w:autoSpaceDN w:val="0"/>
                    <w:snapToGrid w:val="0"/>
                    <w:jc w:val="center"/>
                    <w:rPr>
                      <w:rFonts w:hint="default" w:ascii="Times New Roman" w:hAnsi="Times New Roman" w:eastAsia="宋体"/>
                      <w:snapToGrid w:val="0"/>
                      <w:color w:val="auto"/>
                      <w:kern w:val="0"/>
                      <w:highlight w:val="none"/>
                      <w:lang w:val="en-US" w:eastAsia="zh-CN"/>
                    </w:rPr>
                  </w:pPr>
                  <w:r>
                    <w:rPr>
                      <w:rFonts w:hint="eastAsia" w:ascii="Times New Roman" w:hAnsi="Times New Roman"/>
                      <w:snapToGrid w:val="0"/>
                      <w:color w:val="auto"/>
                      <w:kern w:val="0"/>
                      <w:highlight w:val="none"/>
                      <w:lang w:val="en-US" w:eastAsia="zh-CN"/>
                    </w:rPr>
                    <w:t>6160.04</w:t>
                  </w:r>
                </w:p>
              </w:tc>
              <w:tc>
                <w:tcPr>
                  <w:tcW w:w="796" w:type="pct"/>
                  <w:vMerge w:val="restart"/>
                  <w:vAlign w:val="center"/>
                </w:tcPr>
                <w:p w14:paraId="17B3DB98">
                  <w:pPr>
                    <w:pStyle w:val="59"/>
                    <w:autoSpaceDE w:val="0"/>
                    <w:autoSpaceDN w:val="0"/>
                    <w:snapToGrid w:val="0"/>
                    <w:jc w:val="center"/>
                    <w:rPr>
                      <w:rFonts w:hint="default" w:ascii="Times New Roman" w:hAnsi="Times New Roman" w:eastAsia="宋体"/>
                      <w:snapToGrid w:val="0"/>
                      <w:color w:val="auto"/>
                      <w:kern w:val="0"/>
                      <w:highlight w:val="none"/>
                      <w:lang w:val="en-US" w:eastAsia="zh-CN"/>
                    </w:rPr>
                  </w:pPr>
                  <w:r>
                    <w:rPr>
                      <w:rFonts w:hint="eastAsia" w:ascii="Times New Roman" w:hAnsi="Times New Roman"/>
                      <w:snapToGrid w:val="0"/>
                      <w:color w:val="auto"/>
                      <w:kern w:val="0"/>
                      <w:highlight w:val="none"/>
                      <w:lang w:val="en-US" w:eastAsia="zh-CN"/>
                    </w:rPr>
                    <w:t>12</w:t>
                  </w:r>
                </w:p>
              </w:tc>
            </w:tr>
            <w:tr w14:paraId="2DEE8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18D31ABF">
                  <w:pPr>
                    <w:snapToGrid w:val="0"/>
                    <w:jc w:val="center"/>
                    <w:rPr>
                      <w:rFonts w:hint="eastAsia" w:ascii="Times New Roman" w:hAnsi="Times New Roman" w:eastAsia="宋体" w:cs="宋体"/>
                      <w:color w:val="auto"/>
                      <w:highlight w:val="none"/>
                      <w:lang w:val="en-US" w:eastAsia="zh-CN"/>
                    </w:rPr>
                  </w:pPr>
                </w:p>
              </w:tc>
              <w:tc>
                <w:tcPr>
                  <w:tcW w:w="1039" w:type="pct"/>
                  <w:shd w:val="clear" w:color="auto" w:fill="auto"/>
                  <w:vAlign w:val="center"/>
                </w:tcPr>
                <w:p w14:paraId="495E7889">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cs="宋体"/>
                      <w:bCs/>
                      <w:color w:val="auto"/>
                      <w:szCs w:val="21"/>
                      <w:highlight w:val="none"/>
                      <w:lang w:val="en-US" w:eastAsia="zh-CN"/>
                    </w:rPr>
                    <w:t>压铸</w:t>
                  </w:r>
                </w:p>
              </w:tc>
              <w:tc>
                <w:tcPr>
                  <w:tcW w:w="869" w:type="pct"/>
                  <w:shd w:val="clear" w:color="auto" w:fill="auto"/>
                  <w:vAlign w:val="center"/>
                </w:tcPr>
                <w:p w14:paraId="4552CE0A">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szCs w:val="21"/>
                      <w:highlight w:val="none"/>
                    </w:rPr>
                    <w:t>颗粒物</w:t>
                  </w:r>
                </w:p>
              </w:tc>
              <w:tc>
                <w:tcPr>
                  <w:tcW w:w="796" w:type="pct"/>
                  <w:shd w:val="clear" w:color="auto" w:fill="auto"/>
                  <w:vAlign w:val="center"/>
                </w:tcPr>
                <w:p w14:paraId="652876D4">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Cs w:val="21"/>
                      <w:highlight w:val="none"/>
                      <w:lang w:val="en-US" w:eastAsia="zh-CN"/>
                    </w:rPr>
                    <w:t>0.015</w:t>
                  </w:r>
                </w:p>
              </w:tc>
              <w:tc>
                <w:tcPr>
                  <w:tcW w:w="796" w:type="pct"/>
                  <w:vMerge w:val="continue"/>
                  <w:vAlign w:val="center"/>
                </w:tcPr>
                <w:p w14:paraId="2952B6E6">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c>
                <w:tcPr>
                  <w:tcW w:w="796" w:type="pct"/>
                  <w:vMerge w:val="continue"/>
                  <w:vAlign w:val="center"/>
                </w:tcPr>
                <w:p w14:paraId="79C2F6C4">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r>
            <w:tr w14:paraId="2F7BE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1B91C396">
                  <w:pPr>
                    <w:snapToGrid w:val="0"/>
                    <w:jc w:val="center"/>
                    <w:rPr>
                      <w:rFonts w:ascii="Times New Roman" w:hAnsi="Times New Roman" w:eastAsia="宋体" w:cs="宋体"/>
                      <w:bCs/>
                      <w:color w:val="auto"/>
                      <w:szCs w:val="21"/>
                      <w:highlight w:val="none"/>
                    </w:rPr>
                  </w:pPr>
                </w:p>
              </w:tc>
              <w:tc>
                <w:tcPr>
                  <w:tcW w:w="1039" w:type="pct"/>
                  <w:vAlign w:val="center"/>
                </w:tcPr>
                <w:p w14:paraId="20FDAC7C">
                  <w:pPr>
                    <w:snapToGrid w:val="0"/>
                    <w:jc w:val="center"/>
                    <w:rPr>
                      <w:rFonts w:hint="eastAsia" w:ascii="Times New Roman" w:hAnsi="Times New Roman" w:eastAsia="宋体" w:cs="宋体"/>
                      <w:bCs/>
                      <w:color w:val="auto"/>
                      <w:szCs w:val="21"/>
                      <w:highlight w:val="none"/>
                      <w:lang w:eastAsia="zh-CN"/>
                    </w:rPr>
                  </w:pPr>
                  <w:r>
                    <w:rPr>
                      <w:rFonts w:hint="eastAsia" w:cs="宋体"/>
                      <w:bCs/>
                      <w:color w:val="auto"/>
                      <w:szCs w:val="21"/>
                      <w:highlight w:val="none"/>
                      <w:lang w:val="en-US" w:eastAsia="zh-CN"/>
                    </w:rPr>
                    <w:t>脱模</w:t>
                  </w:r>
                </w:p>
              </w:tc>
              <w:tc>
                <w:tcPr>
                  <w:tcW w:w="869" w:type="pct"/>
                  <w:vAlign w:val="center"/>
                </w:tcPr>
                <w:p w14:paraId="34004246">
                  <w:pPr>
                    <w:snapToGrid w:val="0"/>
                    <w:jc w:val="center"/>
                    <w:rPr>
                      <w:rFonts w:hint="eastAsia" w:ascii="Times New Roman" w:hAnsi="Times New Roman" w:eastAsia="宋体" w:cs="宋体"/>
                      <w:bCs/>
                      <w:color w:val="auto"/>
                      <w:szCs w:val="21"/>
                      <w:highlight w:val="none"/>
                      <w:lang w:eastAsia="zh-CN"/>
                    </w:rPr>
                  </w:pPr>
                  <w:r>
                    <w:rPr>
                      <w:rFonts w:hint="eastAsia" w:ascii="Times New Roman" w:hAnsi="Times New Roman" w:eastAsia="宋体" w:cs="宋体"/>
                      <w:bCs/>
                      <w:color w:val="auto"/>
                      <w:szCs w:val="21"/>
                      <w:highlight w:val="none"/>
                      <w:lang w:val="en-US" w:eastAsia="zh-CN"/>
                    </w:rPr>
                    <w:t>非甲烷总烃</w:t>
                  </w:r>
                </w:p>
              </w:tc>
              <w:tc>
                <w:tcPr>
                  <w:tcW w:w="796" w:type="pct"/>
                  <w:vAlign w:val="center"/>
                </w:tcPr>
                <w:p w14:paraId="58FF51F9">
                  <w:pPr>
                    <w:snapToGrid w:val="0"/>
                    <w:jc w:val="center"/>
                    <w:rPr>
                      <w:rFonts w:hint="default" w:ascii="Times New Roman" w:hAnsi="Times New Roman" w:eastAsia="宋体" w:cs="宋体"/>
                      <w:bCs/>
                      <w:color w:val="auto"/>
                      <w:kern w:val="0"/>
                      <w:szCs w:val="21"/>
                      <w:highlight w:val="none"/>
                      <w:lang w:val="en-US" w:eastAsia="zh-CN"/>
                    </w:rPr>
                  </w:pPr>
                  <w:r>
                    <w:rPr>
                      <w:rFonts w:hint="eastAsia" w:cs="宋体"/>
                      <w:bCs/>
                      <w:color w:val="auto"/>
                      <w:kern w:val="0"/>
                      <w:szCs w:val="21"/>
                      <w:highlight w:val="none"/>
                      <w:lang w:val="en-US" w:eastAsia="zh-CN"/>
                    </w:rPr>
                    <w:t>0.15</w:t>
                  </w:r>
                </w:p>
              </w:tc>
              <w:tc>
                <w:tcPr>
                  <w:tcW w:w="796" w:type="pct"/>
                  <w:vMerge w:val="continue"/>
                  <w:vAlign w:val="center"/>
                </w:tcPr>
                <w:p w14:paraId="291CD863">
                  <w:pPr>
                    <w:snapToGrid w:val="0"/>
                    <w:jc w:val="center"/>
                    <w:rPr>
                      <w:rFonts w:ascii="Times New Roman" w:hAnsi="Times New Roman" w:eastAsia="宋体" w:cs="宋体"/>
                      <w:bCs/>
                      <w:color w:val="auto"/>
                      <w:kern w:val="0"/>
                      <w:szCs w:val="21"/>
                      <w:highlight w:val="none"/>
                    </w:rPr>
                  </w:pPr>
                </w:p>
              </w:tc>
              <w:tc>
                <w:tcPr>
                  <w:tcW w:w="796" w:type="pct"/>
                  <w:vMerge w:val="continue"/>
                  <w:vAlign w:val="center"/>
                </w:tcPr>
                <w:p w14:paraId="3155AD24">
                  <w:pPr>
                    <w:snapToGrid w:val="0"/>
                    <w:jc w:val="center"/>
                    <w:rPr>
                      <w:rFonts w:ascii="Times New Roman" w:hAnsi="Times New Roman" w:eastAsia="宋体" w:cs="宋体"/>
                      <w:bCs/>
                      <w:color w:val="auto"/>
                      <w:kern w:val="0"/>
                      <w:szCs w:val="21"/>
                      <w:highlight w:val="none"/>
                    </w:rPr>
                  </w:pPr>
                </w:p>
              </w:tc>
            </w:tr>
            <w:tr w14:paraId="1F3B4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565C8FFF">
                  <w:pPr>
                    <w:snapToGrid w:val="0"/>
                    <w:jc w:val="center"/>
                    <w:rPr>
                      <w:rFonts w:ascii="Times New Roman" w:hAnsi="Times New Roman" w:eastAsia="宋体" w:cs="宋体"/>
                      <w:color w:val="auto"/>
                      <w:highlight w:val="none"/>
                    </w:rPr>
                  </w:pPr>
                </w:p>
              </w:tc>
              <w:tc>
                <w:tcPr>
                  <w:tcW w:w="1039" w:type="pct"/>
                  <w:vMerge w:val="restart"/>
                  <w:vAlign w:val="center"/>
                </w:tcPr>
                <w:p w14:paraId="0D94E44F">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合计</w:t>
                  </w:r>
                </w:p>
              </w:tc>
              <w:tc>
                <w:tcPr>
                  <w:tcW w:w="869" w:type="pct"/>
                  <w:vAlign w:val="center"/>
                </w:tcPr>
                <w:p w14:paraId="3898AB75">
                  <w:pPr>
                    <w:tabs>
                      <w:tab w:val="left" w:pos="9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w:t>
                  </w:r>
                </w:p>
              </w:tc>
              <w:tc>
                <w:tcPr>
                  <w:tcW w:w="796" w:type="pct"/>
                  <w:vAlign w:val="center"/>
                </w:tcPr>
                <w:p w14:paraId="677CE860">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0.072</w:t>
                  </w:r>
                </w:p>
              </w:tc>
              <w:tc>
                <w:tcPr>
                  <w:tcW w:w="796" w:type="pct"/>
                  <w:vMerge w:val="continue"/>
                  <w:vAlign w:val="center"/>
                </w:tcPr>
                <w:p w14:paraId="3DB6CA12">
                  <w:pPr>
                    <w:pStyle w:val="59"/>
                    <w:autoSpaceDE w:val="0"/>
                    <w:autoSpaceDN w:val="0"/>
                    <w:snapToGrid w:val="0"/>
                    <w:jc w:val="center"/>
                    <w:rPr>
                      <w:rFonts w:ascii="Times New Roman" w:hAnsi="Times New Roman" w:eastAsia="宋体"/>
                      <w:snapToGrid w:val="0"/>
                      <w:color w:val="auto"/>
                      <w:kern w:val="0"/>
                      <w:highlight w:val="none"/>
                    </w:rPr>
                  </w:pPr>
                </w:p>
              </w:tc>
              <w:tc>
                <w:tcPr>
                  <w:tcW w:w="796" w:type="pct"/>
                  <w:vMerge w:val="continue"/>
                  <w:vAlign w:val="center"/>
                </w:tcPr>
                <w:p w14:paraId="03566C41">
                  <w:pPr>
                    <w:pStyle w:val="59"/>
                    <w:autoSpaceDE w:val="0"/>
                    <w:autoSpaceDN w:val="0"/>
                    <w:snapToGrid w:val="0"/>
                    <w:jc w:val="center"/>
                    <w:rPr>
                      <w:rFonts w:ascii="Times New Roman" w:hAnsi="Times New Roman" w:eastAsia="宋体"/>
                      <w:snapToGrid w:val="0"/>
                      <w:color w:val="auto"/>
                      <w:kern w:val="0"/>
                      <w:highlight w:val="none"/>
                    </w:rPr>
                  </w:pPr>
                </w:p>
              </w:tc>
            </w:tr>
            <w:tr w14:paraId="6257D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5D1E5BAD">
                  <w:pPr>
                    <w:snapToGrid w:val="0"/>
                    <w:jc w:val="center"/>
                    <w:rPr>
                      <w:rFonts w:ascii="Times New Roman" w:hAnsi="Times New Roman" w:eastAsia="宋体" w:cs="宋体"/>
                      <w:color w:val="auto"/>
                      <w:highlight w:val="none"/>
                    </w:rPr>
                  </w:pPr>
                </w:p>
              </w:tc>
              <w:tc>
                <w:tcPr>
                  <w:tcW w:w="1039" w:type="pct"/>
                  <w:vMerge w:val="continue"/>
                  <w:vAlign w:val="center"/>
                </w:tcPr>
                <w:p w14:paraId="06020471">
                  <w:pPr>
                    <w:snapToGrid w:val="0"/>
                    <w:jc w:val="center"/>
                    <w:rPr>
                      <w:rFonts w:ascii="Times New Roman" w:hAnsi="Times New Roman" w:eastAsia="宋体" w:cs="宋体"/>
                      <w:color w:val="auto"/>
                      <w:kern w:val="0"/>
                      <w:szCs w:val="21"/>
                      <w:highlight w:val="none"/>
                    </w:rPr>
                  </w:pPr>
                </w:p>
              </w:tc>
              <w:tc>
                <w:tcPr>
                  <w:tcW w:w="869" w:type="pct"/>
                  <w:vAlign w:val="center"/>
                </w:tcPr>
                <w:p w14:paraId="03498708">
                  <w:pPr>
                    <w:tabs>
                      <w:tab w:val="left" w:pos="9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非甲烷总烃</w:t>
                  </w:r>
                </w:p>
              </w:tc>
              <w:tc>
                <w:tcPr>
                  <w:tcW w:w="796" w:type="pct"/>
                  <w:vAlign w:val="center"/>
                </w:tcPr>
                <w:p w14:paraId="3C2CFC9F">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0.15</w:t>
                  </w:r>
                </w:p>
              </w:tc>
              <w:tc>
                <w:tcPr>
                  <w:tcW w:w="796" w:type="pct"/>
                  <w:vMerge w:val="continue"/>
                  <w:vAlign w:val="center"/>
                </w:tcPr>
                <w:p w14:paraId="281D93DC">
                  <w:pPr>
                    <w:pStyle w:val="59"/>
                    <w:autoSpaceDE w:val="0"/>
                    <w:autoSpaceDN w:val="0"/>
                    <w:snapToGrid w:val="0"/>
                    <w:jc w:val="center"/>
                    <w:rPr>
                      <w:rFonts w:ascii="Times New Roman" w:hAnsi="Times New Roman" w:eastAsia="宋体"/>
                      <w:snapToGrid w:val="0"/>
                      <w:color w:val="auto"/>
                      <w:kern w:val="0"/>
                      <w:highlight w:val="none"/>
                    </w:rPr>
                  </w:pPr>
                </w:p>
              </w:tc>
              <w:tc>
                <w:tcPr>
                  <w:tcW w:w="796" w:type="pct"/>
                  <w:vMerge w:val="continue"/>
                  <w:vAlign w:val="center"/>
                </w:tcPr>
                <w:p w14:paraId="0DCFD82F">
                  <w:pPr>
                    <w:pStyle w:val="59"/>
                    <w:autoSpaceDE w:val="0"/>
                    <w:autoSpaceDN w:val="0"/>
                    <w:snapToGrid w:val="0"/>
                    <w:jc w:val="center"/>
                    <w:rPr>
                      <w:rFonts w:ascii="Times New Roman" w:hAnsi="Times New Roman" w:eastAsia="宋体"/>
                      <w:snapToGrid w:val="0"/>
                      <w:color w:val="auto"/>
                      <w:kern w:val="0"/>
                      <w:highlight w:val="none"/>
                    </w:rPr>
                  </w:pPr>
                </w:p>
              </w:tc>
            </w:tr>
            <w:tr w14:paraId="03592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restart"/>
                  <w:vAlign w:val="center"/>
                </w:tcPr>
                <w:p w14:paraId="1AC296E4">
                  <w:pPr>
                    <w:snapToGrid w:val="0"/>
                    <w:jc w:val="center"/>
                    <w:rPr>
                      <w:rFonts w:ascii="Times New Roman" w:hAnsi="Times New Roman" w:eastAsia="宋体" w:cs="宋体"/>
                      <w:color w:val="auto"/>
                      <w:highlight w:val="none"/>
                    </w:rPr>
                  </w:pP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1039" w:type="pct"/>
                  <w:vAlign w:val="center"/>
                </w:tcPr>
                <w:p w14:paraId="6CFD8FE9">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打磨</w:t>
                  </w:r>
                </w:p>
              </w:tc>
              <w:tc>
                <w:tcPr>
                  <w:tcW w:w="869" w:type="pct"/>
                  <w:vAlign w:val="center"/>
                </w:tcPr>
                <w:p w14:paraId="6774DC7C">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796" w:type="pct"/>
                  <w:vAlign w:val="center"/>
                </w:tcPr>
                <w:p w14:paraId="40045C85">
                  <w:pPr>
                    <w:snapToGrid w:val="0"/>
                    <w:jc w:val="center"/>
                    <w:rPr>
                      <w:rFonts w:hint="eastAsia" w:cs="宋体"/>
                      <w:color w:val="auto"/>
                      <w:szCs w:val="21"/>
                      <w:highlight w:val="none"/>
                      <w:lang w:val="en-US" w:eastAsia="zh-CN"/>
                    </w:rPr>
                  </w:pPr>
                  <w:r>
                    <w:rPr>
                      <w:rFonts w:hint="eastAsia" w:cs="宋体"/>
                      <w:color w:val="auto"/>
                      <w:szCs w:val="21"/>
                      <w:highlight w:val="none"/>
                      <w:lang w:val="en-US" w:eastAsia="zh-CN"/>
                    </w:rPr>
                    <w:t>1.314</w:t>
                  </w:r>
                </w:p>
              </w:tc>
              <w:tc>
                <w:tcPr>
                  <w:tcW w:w="796" w:type="pct"/>
                  <w:vMerge w:val="restart"/>
                  <w:vAlign w:val="center"/>
                </w:tcPr>
                <w:p w14:paraId="74CBE783">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2197.96</w:t>
                  </w:r>
                </w:p>
              </w:tc>
              <w:tc>
                <w:tcPr>
                  <w:tcW w:w="796" w:type="pct"/>
                  <w:vMerge w:val="restart"/>
                  <w:vAlign w:val="center"/>
                </w:tcPr>
                <w:p w14:paraId="2144BE08">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6</w:t>
                  </w:r>
                </w:p>
              </w:tc>
            </w:tr>
            <w:tr w14:paraId="329DC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60C2BDB6">
                  <w:pPr>
                    <w:snapToGrid w:val="0"/>
                    <w:jc w:val="center"/>
                    <w:rPr>
                      <w:rFonts w:hint="eastAsia" w:cs="宋体"/>
                      <w:color w:val="auto"/>
                      <w:highlight w:val="none"/>
                      <w:lang w:val="en-US" w:eastAsia="zh-CN"/>
                    </w:rPr>
                  </w:pPr>
                </w:p>
              </w:tc>
              <w:tc>
                <w:tcPr>
                  <w:tcW w:w="1039" w:type="pct"/>
                  <w:vAlign w:val="center"/>
                </w:tcPr>
                <w:p w14:paraId="0AF29CE1">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抛丸</w:t>
                  </w:r>
                </w:p>
              </w:tc>
              <w:tc>
                <w:tcPr>
                  <w:tcW w:w="869" w:type="pct"/>
                  <w:vAlign w:val="center"/>
                </w:tcPr>
                <w:p w14:paraId="34030EE4">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796" w:type="pct"/>
                  <w:vAlign w:val="center"/>
                </w:tcPr>
                <w:p w14:paraId="545D6E81">
                  <w:pPr>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0.066</w:t>
                  </w:r>
                </w:p>
              </w:tc>
              <w:tc>
                <w:tcPr>
                  <w:tcW w:w="796" w:type="pct"/>
                  <w:vMerge w:val="continue"/>
                  <w:vAlign w:val="center"/>
                </w:tcPr>
                <w:p w14:paraId="171D5E64">
                  <w:pPr>
                    <w:pStyle w:val="59"/>
                    <w:autoSpaceDE w:val="0"/>
                    <w:autoSpaceDN w:val="0"/>
                    <w:snapToGrid w:val="0"/>
                    <w:jc w:val="center"/>
                    <w:rPr>
                      <w:rFonts w:ascii="Times New Roman" w:hAnsi="Times New Roman" w:eastAsia="宋体"/>
                      <w:snapToGrid w:val="0"/>
                      <w:color w:val="auto"/>
                      <w:kern w:val="0"/>
                      <w:highlight w:val="none"/>
                    </w:rPr>
                  </w:pPr>
                </w:p>
              </w:tc>
              <w:tc>
                <w:tcPr>
                  <w:tcW w:w="796" w:type="pct"/>
                  <w:vMerge w:val="continue"/>
                  <w:vAlign w:val="center"/>
                </w:tcPr>
                <w:p w14:paraId="28A2DEC3">
                  <w:pPr>
                    <w:pStyle w:val="59"/>
                    <w:autoSpaceDE w:val="0"/>
                    <w:autoSpaceDN w:val="0"/>
                    <w:snapToGrid w:val="0"/>
                    <w:jc w:val="center"/>
                    <w:rPr>
                      <w:rFonts w:ascii="Times New Roman" w:hAnsi="Times New Roman" w:eastAsia="宋体"/>
                      <w:snapToGrid w:val="0"/>
                      <w:color w:val="auto"/>
                      <w:kern w:val="0"/>
                      <w:highlight w:val="none"/>
                    </w:rPr>
                  </w:pPr>
                </w:p>
              </w:tc>
            </w:tr>
            <w:tr w14:paraId="53D37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9" w:type="pct"/>
                  <w:vMerge w:val="continue"/>
                  <w:vAlign w:val="center"/>
                </w:tcPr>
                <w:p w14:paraId="669E6B0F">
                  <w:pPr>
                    <w:snapToGrid w:val="0"/>
                    <w:jc w:val="center"/>
                    <w:rPr>
                      <w:rFonts w:hint="eastAsia" w:cs="宋体"/>
                      <w:color w:val="auto"/>
                      <w:highlight w:val="none"/>
                      <w:lang w:val="en-US" w:eastAsia="zh-CN"/>
                    </w:rPr>
                  </w:pPr>
                </w:p>
              </w:tc>
              <w:tc>
                <w:tcPr>
                  <w:tcW w:w="1039" w:type="pct"/>
                  <w:vAlign w:val="center"/>
                </w:tcPr>
                <w:p w14:paraId="7B688B60">
                  <w:pPr>
                    <w:snapToGrid w:val="0"/>
                    <w:jc w:val="center"/>
                    <w:rPr>
                      <w:rFonts w:hint="eastAsia" w:cs="宋体"/>
                      <w:color w:val="auto"/>
                      <w:kern w:val="0"/>
                      <w:szCs w:val="21"/>
                      <w:highlight w:val="none"/>
                      <w:lang w:val="en-US" w:eastAsia="zh-CN"/>
                    </w:rPr>
                  </w:pPr>
                  <w:r>
                    <w:rPr>
                      <w:rFonts w:hint="eastAsia" w:ascii="Times New Roman" w:hAnsi="Times New Roman" w:eastAsia="宋体" w:cs="宋体"/>
                      <w:color w:val="auto"/>
                      <w:kern w:val="0"/>
                      <w:szCs w:val="21"/>
                      <w:highlight w:val="none"/>
                    </w:rPr>
                    <w:t>合计</w:t>
                  </w:r>
                </w:p>
              </w:tc>
              <w:tc>
                <w:tcPr>
                  <w:tcW w:w="869" w:type="pct"/>
                  <w:vAlign w:val="center"/>
                </w:tcPr>
                <w:p w14:paraId="04FD3879">
                  <w:pPr>
                    <w:tabs>
                      <w:tab w:val="left" w:pos="960"/>
                    </w:tabs>
                    <w:snapToGrid w:val="0"/>
                    <w:jc w:val="center"/>
                    <w:rPr>
                      <w:rFonts w:hint="eastAsia"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颗粒物</w:t>
                  </w:r>
                </w:p>
              </w:tc>
              <w:tc>
                <w:tcPr>
                  <w:tcW w:w="796" w:type="pct"/>
                  <w:vAlign w:val="center"/>
                </w:tcPr>
                <w:p w14:paraId="4AFB94C1">
                  <w:pPr>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1.38</w:t>
                  </w:r>
                </w:p>
              </w:tc>
              <w:tc>
                <w:tcPr>
                  <w:tcW w:w="796" w:type="pct"/>
                  <w:vMerge w:val="continue"/>
                  <w:vAlign w:val="center"/>
                </w:tcPr>
                <w:p w14:paraId="6D28ACE9">
                  <w:pPr>
                    <w:pStyle w:val="59"/>
                    <w:autoSpaceDE w:val="0"/>
                    <w:autoSpaceDN w:val="0"/>
                    <w:snapToGrid w:val="0"/>
                    <w:jc w:val="center"/>
                    <w:rPr>
                      <w:rFonts w:ascii="Times New Roman" w:hAnsi="Times New Roman" w:eastAsia="宋体"/>
                      <w:snapToGrid w:val="0"/>
                      <w:color w:val="auto"/>
                      <w:kern w:val="0"/>
                      <w:highlight w:val="none"/>
                    </w:rPr>
                  </w:pPr>
                </w:p>
              </w:tc>
              <w:tc>
                <w:tcPr>
                  <w:tcW w:w="796" w:type="pct"/>
                  <w:vMerge w:val="continue"/>
                  <w:vAlign w:val="center"/>
                </w:tcPr>
                <w:p w14:paraId="40D57632">
                  <w:pPr>
                    <w:pStyle w:val="59"/>
                    <w:autoSpaceDE w:val="0"/>
                    <w:autoSpaceDN w:val="0"/>
                    <w:snapToGrid w:val="0"/>
                    <w:jc w:val="center"/>
                    <w:rPr>
                      <w:rFonts w:ascii="Times New Roman" w:hAnsi="Times New Roman" w:eastAsia="宋体"/>
                      <w:snapToGrid w:val="0"/>
                      <w:color w:val="auto"/>
                      <w:kern w:val="0"/>
                      <w:highlight w:val="none"/>
                    </w:rPr>
                  </w:pPr>
                </w:p>
              </w:tc>
            </w:tr>
          </w:tbl>
          <w:p w14:paraId="1EA999A9">
            <w:pPr>
              <w:numPr>
                <w:ilvl w:val="0"/>
                <w:numId w:val="3"/>
              </w:numPr>
              <w:autoSpaceDE w:val="0"/>
              <w:autoSpaceDN w:val="0"/>
              <w:spacing w:line="360" w:lineRule="auto"/>
              <w:ind w:firstLine="480" w:firstLineChars="200"/>
              <w:jc w:val="left"/>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污染防治措施</w:t>
            </w:r>
          </w:p>
          <w:p w14:paraId="377C3721">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p>
          <w:p w14:paraId="2C3EB3DB">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p>
          <w:p w14:paraId="2838CF79">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p>
          <w:p w14:paraId="6C048012">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p>
          <w:p w14:paraId="66170882">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p>
          <w:p w14:paraId="4E3AD840">
            <w:pPr>
              <w:widowControl w:val="0"/>
              <w:numPr>
                <w:ilvl w:val="0"/>
                <w:numId w:val="0"/>
              </w:numPr>
              <w:autoSpaceDE w:val="0"/>
              <w:autoSpaceDN w:val="0"/>
              <w:spacing w:line="360" w:lineRule="auto"/>
              <w:jc w:val="left"/>
              <w:rPr>
                <w:rFonts w:hint="eastAsia" w:ascii="Times New Roman" w:hAnsi="Times New Roman" w:eastAsia="宋体" w:cs="宋体"/>
                <w:color w:val="auto"/>
                <w:kern w:val="0"/>
                <w:sz w:val="24"/>
                <w:highlight w:val="none"/>
              </w:rPr>
            </w:pPr>
            <w:r>
              <w:rPr>
                <w:color w:val="auto"/>
              </w:rPr>
              <w:drawing>
                <wp:inline distT="0" distB="0" distL="114300" distR="114300">
                  <wp:extent cx="5423535" cy="2047240"/>
                  <wp:effectExtent l="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8"/>
                          <a:stretch>
                            <a:fillRect/>
                          </a:stretch>
                        </pic:blipFill>
                        <pic:spPr>
                          <a:xfrm>
                            <a:off x="0" y="0"/>
                            <a:ext cx="5423535" cy="2047240"/>
                          </a:xfrm>
                          <a:prstGeom prst="rect">
                            <a:avLst/>
                          </a:prstGeom>
                          <a:noFill/>
                          <a:ln>
                            <a:noFill/>
                          </a:ln>
                        </pic:spPr>
                      </pic:pic>
                    </a:graphicData>
                  </a:graphic>
                </wp:inline>
              </w:drawing>
            </w:r>
          </w:p>
          <w:p w14:paraId="022DCC0B">
            <w:pPr>
              <w:keepNext w:val="0"/>
              <w:keepLines w:val="0"/>
              <w:pageBreakBefore w:val="0"/>
              <w:widowControl w:val="0"/>
              <w:tabs>
                <w:tab w:val="left" w:pos="96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图4.1-1  废气收集、处理示意图</w:t>
            </w:r>
          </w:p>
          <w:p w14:paraId="3FD4B1A7">
            <w:pPr>
              <w:spacing w:line="360" w:lineRule="auto"/>
              <w:ind w:firstLine="480" w:firstLineChars="200"/>
              <w:rPr>
                <w:rFonts w:ascii="Times New Roman" w:hAnsi="Times New Roman" w:eastAsia="宋体" w:cs="宋体"/>
                <w:bCs/>
                <w:color w:val="auto"/>
                <w:sz w:val="24"/>
                <w:highlight w:val="none"/>
                <w:lang w:val="zh-CN"/>
              </w:rPr>
            </w:pPr>
            <w:r>
              <w:rPr>
                <w:rFonts w:hint="eastAsia" w:ascii="Times New Roman" w:hAnsi="Times New Roman" w:eastAsia="宋体" w:cs="宋体"/>
                <w:bCs/>
                <w:color w:val="auto"/>
                <w:sz w:val="24"/>
                <w:highlight w:val="none"/>
                <w:lang w:val="zh-CN"/>
              </w:rPr>
              <w:t>结合生产工艺、设备配置情况，本项目废气收集方式主要采用</w:t>
            </w:r>
            <w:r>
              <w:rPr>
                <w:rFonts w:hint="eastAsia" w:ascii="Times New Roman" w:hAnsi="Times New Roman" w:eastAsia="宋体"/>
                <w:bCs/>
                <w:smallCaps w:val="0"/>
                <w:color w:val="auto"/>
                <w:sz w:val="24"/>
                <w:szCs w:val="24"/>
                <w:highlight w:val="none"/>
                <w:lang w:val="zh-CN"/>
              </w:rPr>
              <w:t>上吸风罩</w:t>
            </w:r>
            <w:r>
              <w:rPr>
                <w:rFonts w:hint="eastAsia" w:ascii="Times New Roman" w:hAnsi="Times New Roman" w:eastAsia="宋体" w:cs="宋体"/>
                <w:bCs/>
                <w:color w:val="auto"/>
                <w:sz w:val="24"/>
                <w:highlight w:val="none"/>
                <w:lang w:val="zh-CN"/>
              </w:rPr>
              <w:t>收集。</w:t>
            </w:r>
          </w:p>
          <w:p w14:paraId="4D6FDA70">
            <w:pPr>
              <w:spacing w:line="360" w:lineRule="auto"/>
              <w:ind w:firstLine="480" w:firstLineChars="200"/>
              <w:rPr>
                <w:rFonts w:ascii="Times New Roman" w:hAnsi="Times New Roman" w:eastAsia="宋体"/>
                <w:bCs/>
                <w:smallCaps w:val="0"/>
                <w:color w:val="auto"/>
                <w:sz w:val="24"/>
                <w:szCs w:val="24"/>
                <w:highlight w:val="none"/>
                <w:lang w:val="zh-CN"/>
              </w:rPr>
            </w:pPr>
            <w:r>
              <w:rPr>
                <w:rFonts w:hint="eastAsia" w:ascii="Times New Roman" w:hAnsi="Times New Roman" w:eastAsia="宋体"/>
                <w:bCs/>
                <w:smallCaps w:val="0"/>
                <w:color w:val="auto"/>
                <w:sz w:val="24"/>
                <w:szCs w:val="24"/>
                <w:highlight w:val="none"/>
                <w:lang w:val="zh-CN"/>
              </w:rPr>
              <w:t>上吸风罩排风量L（m</w:t>
            </w:r>
            <w:r>
              <w:rPr>
                <w:rFonts w:hint="eastAsia" w:ascii="Times New Roman" w:hAnsi="Times New Roman" w:eastAsia="宋体"/>
                <w:bCs/>
                <w:smallCaps w:val="0"/>
                <w:color w:val="auto"/>
                <w:sz w:val="24"/>
                <w:szCs w:val="24"/>
                <w:highlight w:val="none"/>
                <w:vertAlign w:val="superscript"/>
                <w:lang w:val="zh-CN"/>
              </w:rPr>
              <w:t>3</w:t>
            </w:r>
            <w:r>
              <w:rPr>
                <w:rFonts w:hint="eastAsia" w:ascii="Times New Roman" w:hAnsi="Times New Roman" w:eastAsia="宋体"/>
                <w:bCs/>
                <w:smallCaps w:val="0"/>
                <w:color w:val="auto"/>
                <w:sz w:val="24"/>
                <w:szCs w:val="24"/>
                <w:highlight w:val="none"/>
                <w:lang w:val="zh-CN"/>
              </w:rPr>
              <w:t>/h）的计算公式为：L=K*P*H*V</w:t>
            </w:r>
            <w:r>
              <w:rPr>
                <w:rFonts w:hint="eastAsia" w:ascii="Times New Roman" w:hAnsi="Times New Roman" w:eastAsia="宋体"/>
                <w:bCs/>
                <w:smallCaps w:val="0"/>
                <w:color w:val="auto"/>
                <w:sz w:val="24"/>
                <w:szCs w:val="24"/>
                <w:highlight w:val="none"/>
                <w:vertAlign w:val="subscript"/>
                <w:lang w:val="zh-CN"/>
              </w:rPr>
              <w:t>x</w:t>
            </w:r>
            <w:r>
              <w:rPr>
                <w:rFonts w:hint="eastAsia" w:ascii="Times New Roman" w:hAnsi="Times New Roman" w:eastAsia="宋体"/>
                <w:bCs/>
                <w:smallCaps w:val="0"/>
                <w:color w:val="auto"/>
                <w:sz w:val="24"/>
                <w:szCs w:val="24"/>
                <w:highlight w:val="none"/>
                <w:lang w:val="zh-CN"/>
              </w:rPr>
              <w:t>*3600</w:t>
            </w:r>
          </w:p>
          <w:p w14:paraId="3B95CA43">
            <w:pPr>
              <w:spacing w:line="360" w:lineRule="auto"/>
              <w:ind w:firstLine="480" w:firstLineChars="200"/>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式中：</w:t>
            </w:r>
            <w:r>
              <w:rPr>
                <w:rFonts w:hint="eastAsia" w:ascii="Times New Roman" w:hAnsi="Times New Roman" w:eastAsia="宋体"/>
                <w:bCs/>
                <w:smallCaps w:val="0"/>
                <w:color w:val="auto"/>
                <w:sz w:val="24"/>
                <w:szCs w:val="24"/>
                <w:highlight w:val="none"/>
              </w:rPr>
              <w:t>K—考虑沿高度分布不均匀的安全系数，通常取1.4；</w:t>
            </w:r>
          </w:p>
          <w:p w14:paraId="38720CC0">
            <w:pPr>
              <w:spacing w:line="360" w:lineRule="auto"/>
              <w:ind w:firstLine="480" w:firstLineChars="200"/>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P—排风罩敞开面的周长，m；</w:t>
            </w:r>
          </w:p>
          <w:p w14:paraId="6D7D70D2">
            <w:pPr>
              <w:spacing w:line="360" w:lineRule="auto"/>
              <w:ind w:firstLine="480" w:firstLineChars="200"/>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H—罩口至有害物源的距离，m</w:t>
            </w:r>
            <w:r>
              <w:rPr>
                <w:rFonts w:ascii="Times New Roman" w:hAnsi="Times New Roman" w:eastAsia="宋体"/>
                <w:bCs/>
                <w:smallCaps w:val="0"/>
                <w:color w:val="auto"/>
                <w:sz w:val="24"/>
                <w:szCs w:val="24"/>
                <w:highlight w:val="none"/>
              </w:rPr>
              <w:t>；</w:t>
            </w:r>
          </w:p>
          <w:p w14:paraId="3BA16BD9">
            <w:pPr>
              <w:spacing w:line="360" w:lineRule="auto"/>
              <w:ind w:firstLine="480" w:firstLineChars="200"/>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zh-CN"/>
              </w:rPr>
              <w:t>V</w:t>
            </w:r>
            <w:r>
              <w:rPr>
                <w:rFonts w:hint="eastAsia" w:ascii="Times New Roman" w:hAnsi="Times New Roman" w:eastAsia="宋体"/>
                <w:bCs/>
                <w:smallCaps w:val="0"/>
                <w:color w:val="auto"/>
                <w:sz w:val="24"/>
                <w:szCs w:val="24"/>
                <w:highlight w:val="none"/>
                <w:vertAlign w:val="subscript"/>
                <w:lang w:val="zh-CN"/>
              </w:rPr>
              <w:t>x</w:t>
            </w:r>
            <w:r>
              <w:rPr>
                <w:rFonts w:hint="eastAsia" w:ascii="Times New Roman" w:hAnsi="Times New Roman" w:eastAsia="宋体"/>
                <w:bCs/>
                <w:smallCaps w:val="0"/>
                <w:color w:val="auto"/>
                <w:sz w:val="24"/>
                <w:szCs w:val="24"/>
                <w:highlight w:val="none"/>
              </w:rPr>
              <w:t>—边缘控制点的控制风速</w:t>
            </w:r>
            <w:r>
              <w:rPr>
                <w:rFonts w:ascii="Times New Roman" w:hAnsi="Times New Roman" w:eastAsia="宋体"/>
                <w:bCs/>
                <w:smallCaps w:val="0"/>
                <w:color w:val="auto"/>
                <w:sz w:val="24"/>
                <w:szCs w:val="24"/>
                <w:highlight w:val="none"/>
              </w:rPr>
              <w:t>，m</w:t>
            </w:r>
            <w:r>
              <w:rPr>
                <w:rFonts w:hint="eastAsia" w:ascii="Times New Roman" w:hAnsi="Times New Roman" w:eastAsia="宋体"/>
                <w:bCs/>
                <w:smallCaps w:val="0"/>
                <w:color w:val="auto"/>
                <w:sz w:val="24"/>
                <w:szCs w:val="24"/>
                <w:highlight w:val="none"/>
              </w:rPr>
              <w:t>/s，取0.3m/s</w:t>
            </w:r>
            <w:r>
              <w:rPr>
                <w:rFonts w:ascii="Times New Roman" w:hAnsi="Times New Roman" w:eastAsia="宋体"/>
                <w:bCs/>
                <w:smallCaps w:val="0"/>
                <w:color w:val="auto"/>
                <w:sz w:val="24"/>
                <w:szCs w:val="24"/>
                <w:highlight w:val="none"/>
              </w:rPr>
              <w:t>。</w:t>
            </w:r>
          </w:p>
          <w:p w14:paraId="113EB278">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4.1-3  废气收集系统风量核算表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57"/>
              <w:gridCol w:w="937"/>
              <w:gridCol w:w="2511"/>
              <w:gridCol w:w="1129"/>
              <w:gridCol w:w="2902"/>
            </w:tblGrid>
            <w:tr w14:paraId="01AC0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7" w:type="pct"/>
                  <w:tcBorders>
                    <w:tl2br w:val="nil"/>
                    <w:tr2bl w:val="nil"/>
                  </w:tcBorders>
                  <w:vAlign w:val="center"/>
                </w:tcPr>
                <w:p w14:paraId="4CFFB184">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highlight w:val="none"/>
                    </w:rPr>
                  </w:pPr>
                  <w:r>
                    <w:rPr>
                      <w:rFonts w:ascii="Times New Roman" w:hAnsi="Times New Roman" w:eastAsia="宋体" w:cs="宋体"/>
                      <w:b/>
                      <w:bCs/>
                      <w:color w:val="auto"/>
                      <w:szCs w:val="21"/>
                      <w:highlight w:val="none"/>
                    </w:rPr>
                    <w:t>产生环节</w:t>
                  </w:r>
                </w:p>
              </w:tc>
              <w:tc>
                <w:tcPr>
                  <w:tcW w:w="555" w:type="pct"/>
                  <w:tcBorders>
                    <w:tl2br w:val="nil"/>
                    <w:tr2bl w:val="nil"/>
                  </w:tcBorders>
                  <w:vAlign w:val="center"/>
                </w:tcPr>
                <w:p w14:paraId="787113A3">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highlight w:val="none"/>
                    </w:rPr>
                  </w:pPr>
                  <w:r>
                    <w:rPr>
                      <w:rFonts w:ascii="Times New Roman" w:hAnsi="Times New Roman" w:eastAsia="宋体" w:cs="宋体"/>
                      <w:b/>
                      <w:bCs/>
                      <w:color w:val="auto"/>
                      <w:szCs w:val="21"/>
                      <w:highlight w:val="none"/>
                    </w:rPr>
                    <w:t>所在车间</w:t>
                  </w:r>
                </w:p>
              </w:tc>
              <w:tc>
                <w:tcPr>
                  <w:tcW w:w="1488" w:type="pct"/>
                  <w:tcBorders>
                    <w:tl2br w:val="nil"/>
                    <w:tr2bl w:val="nil"/>
                  </w:tcBorders>
                  <w:vAlign w:val="center"/>
                </w:tcPr>
                <w:p w14:paraId="352FD71B">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highlight w:val="none"/>
                    </w:rPr>
                  </w:pPr>
                  <w:r>
                    <w:rPr>
                      <w:rFonts w:ascii="Times New Roman" w:hAnsi="Times New Roman" w:eastAsia="宋体" w:cs="宋体"/>
                      <w:b/>
                      <w:bCs/>
                      <w:color w:val="auto"/>
                      <w:szCs w:val="21"/>
                      <w:highlight w:val="none"/>
                    </w:rPr>
                    <w:t>收集参数</w:t>
                  </w:r>
                </w:p>
              </w:tc>
              <w:tc>
                <w:tcPr>
                  <w:tcW w:w="669" w:type="pct"/>
                  <w:tcBorders>
                    <w:tl2br w:val="nil"/>
                    <w:tr2bl w:val="nil"/>
                  </w:tcBorders>
                  <w:vAlign w:val="center"/>
                </w:tcPr>
                <w:p w14:paraId="5973B049">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highlight w:val="none"/>
                    </w:rPr>
                  </w:pPr>
                  <w:r>
                    <w:rPr>
                      <w:rFonts w:ascii="Times New Roman" w:hAnsi="Times New Roman" w:eastAsia="宋体" w:cs="宋体"/>
                      <w:b/>
                      <w:bCs/>
                      <w:color w:val="auto"/>
                      <w:szCs w:val="21"/>
                      <w:highlight w:val="none"/>
                    </w:rPr>
                    <w:t>风量（m</w:t>
                  </w:r>
                  <w:r>
                    <w:rPr>
                      <w:rFonts w:ascii="Times New Roman" w:hAnsi="Times New Roman" w:eastAsia="宋体" w:cs="宋体"/>
                      <w:b/>
                      <w:bCs/>
                      <w:color w:val="auto"/>
                      <w:szCs w:val="21"/>
                      <w:highlight w:val="none"/>
                      <w:vertAlign w:val="superscript"/>
                    </w:rPr>
                    <w:t>3</w:t>
                  </w:r>
                  <w:r>
                    <w:rPr>
                      <w:rFonts w:ascii="Times New Roman" w:hAnsi="Times New Roman" w:eastAsia="宋体" w:cs="宋体"/>
                      <w:b/>
                      <w:bCs/>
                      <w:color w:val="auto"/>
                      <w:szCs w:val="21"/>
                      <w:highlight w:val="none"/>
                    </w:rPr>
                    <w:t>/h）</w:t>
                  </w:r>
                </w:p>
              </w:tc>
              <w:tc>
                <w:tcPr>
                  <w:tcW w:w="1719" w:type="pct"/>
                  <w:tcBorders>
                    <w:tl2br w:val="nil"/>
                    <w:tr2bl w:val="nil"/>
                  </w:tcBorders>
                  <w:vAlign w:val="center"/>
                </w:tcPr>
                <w:p w14:paraId="4F5705DA">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highlight w:val="none"/>
                    </w:rPr>
                  </w:pPr>
                  <w:r>
                    <w:rPr>
                      <w:rFonts w:ascii="Times New Roman" w:hAnsi="Times New Roman" w:eastAsia="宋体" w:cs="宋体"/>
                      <w:b/>
                      <w:bCs/>
                      <w:color w:val="auto"/>
                      <w:szCs w:val="21"/>
                      <w:highlight w:val="none"/>
                    </w:rPr>
                    <w:t>措施及排放口编号</w:t>
                  </w:r>
                </w:p>
              </w:tc>
            </w:tr>
            <w:tr w14:paraId="53716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7" w:type="pct"/>
                  <w:tcBorders>
                    <w:tl2br w:val="nil"/>
                    <w:tr2bl w:val="nil"/>
                  </w:tcBorders>
                  <w:vAlign w:val="center"/>
                </w:tcPr>
                <w:p w14:paraId="4381F2C5">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b w:val="0"/>
                      <w:bCs w:val="0"/>
                      <w:color w:val="auto"/>
                      <w:szCs w:val="21"/>
                      <w:highlight w:val="none"/>
                      <w:lang w:val="en-US" w:eastAsia="zh-CN"/>
                    </w:rPr>
                  </w:pPr>
                  <w:r>
                    <w:rPr>
                      <w:rFonts w:hint="eastAsia" w:cs="宋体"/>
                      <w:b w:val="0"/>
                      <w:bCs w:val="0"/>
                      <w:color w:val="auto"/>
                      <w:szCs w:val="21"/>
                      <w:highlight w:val="none"/>
                      <w:lang w:val="en-US" w:eastAsia="zh-CN"/>
                    </w:rPr>
                    <w:t>熔化</w:t>
                  </w:r>
                </w:p>
              </w:tc>
              <w:tc>
                <w:tcPr>
                  <w:tcW w:w="555" w:type="pct"/>
                  <w:vMerge w:val="restart"/>
                  <w:tcBorders>
                    <w:tl2br w:val="nil"/>
                    <w:tr2bl w:val="nil"/>
                  </w:tcBorders>
                  <w:vAlign w:val="center"/>
                </w:tcPr>
                <w:p w14:paraId="70C061F2">
                  <w:pPr>
                    <w:keepNext w:val="0"/>
                    <w:keepLines w:val="0"/>
                    <w:pageBreakBefore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2#</w:t>
                  </w:r>
                  <w:r>
                    <w:rPr>
                      <w:rFonts w:hint="eastAsia" w:ascii="Times New Roman" w:hAnsi="Times New Roman" w:eastAsia="宋体" w:cs="宋体"/>
                      <w:bCs/>
                      <w:color w:val="auto"/>
                      <w:szCs w:val="21"/>
                      <w:highlight w:val="none"/>
                      <w:lang w:val="en-US" w:eastAsia="zh-CN"/>
                    </w:rPr>
                    <w:t>生产</w:t>
                  </w:r>
                </w:p>
                <w:p w14:paraId="4E81521E">
                  <w:pPr>
                    <w:keepNext w:val="0"/>
                    <w:keepLines w:val="0"/>
                    <w:pageBreakBefore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bCs/>
                      <w:color w:val="auto"/>
                      <w:szCs w:val="21"/>
                      <w:highlight w:val="none"/>
                      <w:lang w:val="en-US" w:eastAsia="zh-CN"/>
                    </w:rPr>
                    <w:t>车间</w:t>
                  </w:r>
                </w:p>
              </w:tc>
              <w:tc>
                <w:tcPr>
                  <w:tcW w:w="1488" w:type="pct"/>
                  <w:tcBorders>
                    <w:tl2br w:val="nil"/>
                    <w:tr2bl w:val="nil"/>
                  </w:tcBorders>
                  <w:vAlign w:val="center"/>
                </w:tcPr>
                <w:p w14:paraId="3E8A155A">
                  <w:pPr>
                    <w:keepNext w:val="0"/>
                    <w:keepLines w:val="0"/>
                    <w:pageBreakBefore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b w:val="0"/>
                      <w:bCs w:val="0"/>
                      <w:color w:val="auto"/>
                      <w:szCs w:val="21"/>
                      <w:highlight w:val="none"/>
                      <w:lang w:val="en-US" w:eastAsia="zh-CN"/>
                    </w:rPr>
                  </w:pPr>
                  <w:r>
                    <w:rPr>
                      <w:rFonts w:hint="eastAsia" w:eastAsia="宋体"/>
                      <w:smallCaps w:val="0"/>
                      <w:color w:val="auto"/>
                      <w:kern w:val="0"/>
                      <w:szCs w:val="21"/>
                      <w:highlight w:val="none"/>
                      <w:lang w:val="en-US" w:eastAsia="zh-CN"/>
                    </w:rPr>
                    <w:t>熔化炉</w:t>
                  </w:r>
                  <w:r>
                    <w:rPr>
                      <w:rFonts w:hint="eastAsia" w:ascii="Times New Roman" w:hAnsi="Times New Roman" w:eastAsia="宋体"/>
                      <w:bCs/>
                      <w:smallCaps w:val="0"/>
                      <w:color w:val="auto"/>
                      <w:spacing w:val="-4"/>
                      <w:szCs w:val="21"/>
                      <w:highlight w:val="none"/>
                    </w:rPr>
                    <w:t>采用罩口直径为</w:t>
                  </w:r>
                  <w:r>
                    <w:rPr>
                      <w:rFonts w:hint="eastAsia" w:eastAsia="宋体"/>
                      <w:bCs/>
                      <w:smallCaps w:val="0"/>
                      <w:color w:val="auto"/>
                      <w:spacing w:val="-4"/>
                      <w:szCs w:val="21"/>
                      <w:highlight w:val="none"/>
                      <w:lang w:val="en-US" w:eastAsia="zh-CN"/>
                    </w:rPr>
                    <w:t>0.8m*0.6m</w:t>
                  </w:r>
                  <w:r>
                    <w:rPr>
                      <w:rFonts w:hint="eastAsia" w:ascii="Times New Roman" w:hAnsi="Times New Roman" w:eastAsia="宋体"/>
                      <w:bCs/>
                      <w:smallCaps w:val="0"/>
                      <w:color w:val="auto"/>
                      <w:spacing w:val="-4"/>
                      <w:szCs w:val="21"/>
                      <w:highlight w:val="none"/>
                    </w:rPr>
                    <w:t>的上吸风罩收集，单只吸风罩的排风量</w:t>
                  </w:r>
                  <w:r>
                    <w:rPr>
                      <w:rFonts w:ascii="Times New Roman" w:hAnsi="Times New Roman" w:eastAsia="宋体"/>
                      <w:bCs/>
                      <w:smallCaps w:val="0"/>
                      <w:color w:val="auto"/>
                      <w:spacing w:val="-4"/>
                      <w:szCs w:val="21"/>
                      <w:highlight w:val="none"/>
                    </w:rPr>
                    <w:t>L=1.4*</w:t>
                  </w:r>
                  <w:r>
                    <w:rPr>
                      <w:rFonts w:hint="eastAsia" w:ascii="Times New Roman" w:hAnsi="Times New Roman" w:eastAsia="宋体"/>
                      <w:bCs/>
                      <w:smallCaps w:val="0"/>
                      <w:color w:val="auto"/>
                      <w:spacing w:val="-4"/>
                      <w:szCs w:val="21"/>
                      <w:highlight w:val="none"/>
                      <w:lang w:val="en-US" w:eastAsia="zh-CN"/>
                    </w:rPr>
                    <w:t>0.5*</w:t>
                  </w:r>
                  <w:r>
                    <w:rPr>
                      <w:rFonts w:hint="eastAsia" w:eastAsia="宋体"/>
                      <w:bCs/>
                      <w:smallCaps w:val="0"/>
                      <w:color w:val="auto"/>
                      <w:spacing w:val="-4"/>
                      <w:szCs w:val="21"/>
                      <w:highlight w:val="none"/>
                      <w:lang w:val="en-US" w:eastAsia="zh-CN"/>
                    </w:rPr>
                    <w:t>0.8*0.6</w:t>
                  </w:r>
                  <w:r>
                    <w:rPr>
                      <w:rFonts w:ascii="Times New Roman" w:hAnsi="Times New Roman" w:eastAsia="宋体"/>
                      <w:bCs/>
                      <w:smallCaps w:val="0"/>
                      <w:color w:val="auto"/>
                      <w:spacing w:val="-4"/>
                      <w:szCs w:val="21"/>
                      <w:highlight w:val="none"/>
                    </w:rPr>
                    <w:t>*3600</w:t>
                  </w:r>
                  <w:r>
                    <w:rPr>
                      <w:rFonts w:hint="eastAsia" w:ascii="Times New Roman" w:hAnsi="Times New Roman" w:eastAsia="宋体"/>
                      <w:bCs/>
                      <w:smallCaps w:val="0"/>
                      <w:color w:val="auto"/>
                      <w:spacing w:val="-4"/>
                      <w:szCs w:val="21"/>
                      <w:highlight w:val="none"/>
                      <w:lang w:val="en-US" w:eastAsia="zh-CN"/>
                    </w:rPr>
                    <w:t>≈</w:t>
                  </w:r>
                  <w:r>
                    <w:rPr>
                      <w:rFonts w:hint="eastAsia" w:eastAsia="宋体"/>
                      <w:bCs/>
                      <w:smallCaps w:val="0"/>
                      <w:color w:val="auto"/>
                      <w:spacing w:val="-4"/>
                      <w:szCs w:val="21"/>
                      <w:highlight w:val="none"/>
                      <w:lang w:val="en-US" w:eastAsia="zh-CN"/>
                    </w:rPr>
                    <w:t>1210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r>
                    <w:rPr>
                      <w:rFonts w:hint="eastAsia" w:ascii="Times New Roman" w:hAnsi="Times New Roman" w:eastAsia="宋体"/>
                      <w:bCs/>
                      <w:smallCaps w:val="0"/>
                      <w:color w:val="auto"/>
                      <w:spacing w:val="-4"/>
                      <w:szCs w:val="21"/>
                      <w:highlight w:val="none"/>
                    </w:rPr>
                    <w:t>，则</w:t>
                  </w:r>
                  <w:r>
                    <w:rPr>
                      <w:rFonts w:hint="eastAsia" w:eastAsia="宋体"/>
                      <w:bCs/>
                      <w:smallCaps w:val="0"/>
                      <w:color w:val="auto"/>
                      <w:spacing w:val="-4"/>
                      <w:szCs w:val="21"/>
                      <w:highlight w:val="none"/>
                      <w:lang w:val="en-US" w:eastAsia="zh-CN"/>
                    </w:rPr>
                    <w:t>8</w:t>
                  </w:r>
                  <w:r>
                    <w:rPr>
                      <w:rFonts w:hint="eastAsia" w:ascii="Times New Roman" w:hAnsi="Times New Roman" w:eastAsia="宋体"/>
                      <w:bCs/>
                      <w:smallCaps w:val="0"/>
                      <w:color w:val="auto"/>
                      <w:spacing w:val="-4"/>
                      <w:szCs w:val="21"/>
                      <w:highlight w:val="none"/>
                    </w:rPr>
                    <w:t>只吸风罩的总排风量为</w:t>
                  </w:r>
                  <w:r>
                    <w:rPr>
                      <w:rFonts w:hint="eastAsia" w:eastAsia="宋体"/>
                      <w:bCs/>
                      <w:smallCaps w:val="0"/>
                      <w:color w:val="auto"/>
                      <w:spacing w:val="-4"/>
                      <w:szCs w:val="21"/>
                      <w:highlight w:val="none"/>
                      <w:lang w:val="en-US" w:eastAsia="zh-CN"/>
                    </w:rPr>
                    <w:t>9680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p>
              </w:tc>
              <w:tc>
                <w:tcPr>
                  <w:tcW w:w="669" w:type="pct"/>
                  <w:tcBorders>
                    <w:tl2br w:val="nil"/>
                    <w:tr2bl w:val="nil"/>
                  </w:tcBorders>
                  <w:vAlign w:val="center"/>
                </w:tcPr>
                <w:p w14:paraId="67AE111A">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val="0"/>
                      <w:bCs w:val="0"/>
                      <w:color w:val="auto"/>
                      <w:szCs w:val="21"/>
                      <w:highlight w:val="none"/>
                    </w:rPr>
                  </w:pPr>
                  <w:r>
                    <w:rPr>
                      <w:rFonts w:hint="default" w:ascii="Times New Roman" w:hAnsi="Times New Roman" w:eastAsia="宋体" w:cs="Times New Roman"/>
                      <w:bCs/>
                      <w:color w:val="auto"/>
                      <w:sz w:val="21"/>
                      <w:szCs w:val="21"/>
                      <w:highlight w:val="none"/>
                    </w:rPr>
                    <w:t>考虑到风压损失</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管道距离等因素，</w:t>
                  </w:r>
                  <w:r>
                    <w:rPr>
                      <w:rFonts w:hint="eastAsia" w:ascii="Times New Roman" w:hAnsi="Times New Roman" w:eastAsia="宋体" w:cs="Times New Roman"/>
                      <w:bCs/>
                      <w:color w:val="auto"/>
                      <w:sz w:val="21"/>
                      <w:szCs w:val="21"/>
                      <w:highlight w:val="none"/>
                      <w:lang w:val="en-US" w:eastAsia="zh-CN"/>
                    </w:rPr>
                    <w:t>总风量设置为</w:t>
                  </w:r>
                  <w:r>
                    <w:rPr>
                      <w:rFonts w:hint="eastAsia" w:cs="Times New Roman"/>
                      <w:bCs/>
                      <w:color w:val="auto"/>
                      <w:sz w:val="21"/>
                      <w:szCs w:val="21"/>
                      <w:highlight w:val="none"/>
                      <w:lang w:val="en-US" w:eastAsia="zh-CN"/>
                    </w:rPr>
                    <w:t>10</w:t>
                  </w:r>
                  <w:r>
                    <w:rPr>
                      <w:rFonts w:hint="eastAsia" w:ascii="Times New Roman" w:hAnsi="Times New Roman" w:eastAsia="宋体" w:cs="Times New Roman"/>
                      <w:bCs/>
                      <w:color w:val="auto"/>
                      <w:sz w:val="21"/>
                      <w:szCs w:val="21"/>
                      <w:highlight w:val="none"/>
                      <w:lang w:val="en-US" w:eastAsia="zh-CN"/>
                    </w:rPr>
                    <w:t>000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p>
              </w:tc>
              <w:tc>
                <w:tcPr>
                  <w:tcW w:w="1719" w:type="pct"/>
                  <w:tcBorders>
                    <w:tl2br w:val="nil"/>
                    <w:tr2bl w:val="nil"/>
                  </w:tcBorders>
                  <w:vAlign w:val="center"/>
                </w:tcPr>
                <w:p w14:paraId="141D587A">
                  <w:pPr>
                    <w:keepNext w:val="0"/>
                    <w:keepLines w:val="0"/>
                    <w:pageBreakBefore w:val="0"/>
                    <w:kinsoku/>
                    <w:wordWrap/>
                    <w:overflowPunct/>
                    <w:topLinePunct w:val="0"/>
                    <w:autoSpaceDE/>
                    <w:autoSpaceDN/>
                    <w:bidi w:val="0"/>
                    <w:adjustRightInd/>
                    <w:snapToGrid w:val="0"/>
                    <w:spacing w:line="300" w:lineRule="exact"/>
                    <w:ind w:firstLine="0" w:firstLineChars="0"/>
                    <w:jc w:val="center"/>
                    <w:textAlignment w:val="auto"/>
                    <w:rPr>
                      <w:rFonts w:ascii="Times New Roman" w:hAnsi="Times New Roman" w:eastAsia="宋体" w:cs="宋体"/>
                      <w:b w:val="0"/>
                      <w:bCs w:val="0"/>
                      <w:color w:val="auto"/>
                      <w:szCs w:val="21"/>
                      <w:highlight w:val="none"/>
                    </w:rPr>
                  </w:pPr>
                  <w:r>
                    <w:rPr>
                      <w:rFonts w:hint="eastAsia" w:cs="Times New Roman"/>
                      <w:bCs/>
                      <w:color w:val="auto"/>
                      <w:sz w:val="21"/>
                      <w:szCs w:val="21"/>
                      <w:highlight w:val="none"/>
                      <w:lang w:val="en-US" w:eastAsia="zh-CN"/>
                    </w:rPr>
                    <w:t>熔化烟尘经熔化炉上方集气罩收集</w:t>
                  </w:r>
                  <w:r>
                    <w:rPr>
                      <w:rFonts w:hint="eastAsia" w:ascii="Times New Roman" w:hAnsi="Times New Roman" w:eastAsia="宋体"/>
                      <w:smallCaps w:val="0"/>
                      <w:color w:val="auto"/>
                    </w:rPr>
                    <w:t>，</w:t>
                  </w:r>
                  <w:r>
                    <w:rPr>
                      <w:rFonts w:hint="eastAsia"/>
                      <w:smallCaps w:val="0"/>
                      <w:color w:val="auto"/>
                      <w:lang w:val="en-US" w:eastAsia="zh-CN"/>
                    </w:rPr>
                    <w:t>水喷淋装置</w:t>
                  </w:r>
                  <w:r>
                    <w:rPr>
                      <w:rFonts w:hint="eastAsia" w:ascii="Times New Roman" w:hAnsi="Times New Roman" w:eastAsia="宋体"/>
                      <w:smallCaps w:val="0"/>
                      <w:color w:val="auto"/>
                    </w:rPr>
                    <w:t>处理，</w:t>
                  </w:r>
                  <w:r>
                    <w:rPr>
                      <w:rFonts w:hint="eastAsia" w:ascii="Times New Roman" w:hAnsi="Times New Roman" w:eastAsia="宋体" w:cs="宋体"/>
                      <w:smallCaps w:val="0"/>
                      <w:color w:val="auto"/>
                      <w:highlight w:val="none"/>
                      <w:lang w:val="en-US" w:eastAsia="zh-CN"/>
                    </w:rPr>
                    <w:t>15m高排气筒FQ-1</w:t>
                  </w:r>
                  <w:r>
                    <w:rPr>
                      <w:rFonts w:hint="eastAsia" w:ascii="Times New Roman" w:hAnsi="Times New Roman" w:eastAsia="宋体" w:cs="宋体"/>
                      <w:smallCaps w:val="0"/>
                      <w:color w:val="auto"/>
                      <w:highlight w:val="none"/>
                      <w:lang w:eastAsia="zh-CN"/>
                    </w:rPr>
                    <w:t>排放</w:t>
                  </w:r>
                  <w:r>
                    <w:rPr>
                      <w:rFonts w:hint="default" w:ascii="Times New Roman" w:hAnsi="Times New Roman" w:eastAsia="宋体" w:cs="Times New Roman"/>
                      <w:bCs/>
                      <w:color w:val="auto"/>
                      <w:sz w:val="21"/>
                      <w:szCs w:val="21"/>
                      <w:highlight w:val="none"/>
                    </w:rPr>
                    <w:t>。废气收集效率为</w:t>
                  </w:r>
                  <w:r>
                    <w:rPr>
                      <w:rFonts w:hint="eastAsia" w:cs="Times New Roman"/>
                      <w:bCs/>
                      <w:color w:val="auto"/>
                      <w:sz w:val="21"/>
                      <w:szCs w:val="21"/>
                      <w:highlight w:val="none"/>
                      <w:lang w:val="en-US" w:eastAsia="zh-CN"/>
                    </w:rPr>
                    <w:t>90</w:t>
                  </w:r>
                  <w:r>
                    <w:rPr>
                      <w:rFonts w:hint="default" w:ascii="Times New Roman" w:hAnsi="Times New Roman" w:eastAsia="宋体" w:cs="Times New Roman"/>
                      <w:bCs/>
                      <w:color w:val="auto"/>
                      <w:sz w:val="21"/>
                      <w:szCs w:val="21"/>
                      <w:highlight w:val="none"/>
                    </w:rPr>
                    <w:t>%，去除率约为9</w:t>
                  </w:r>
                  <w:r>
                    <w:rPr>
                      <w:rFonts w:hint="eastAsia"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w:t>
                  </w:r>
                </w:p>
              </w:tc>
            </w:tr>
            <w:tr w14:paraId="2A81A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67" w:type="pct"/>
                  <w:tcBorders>
                    <w:tl2br w:val="nil"/>
                    <w:tr2bl w:val="nil"/>
                  </w:tcBorders>
                  <w:vAlign w:val="center"/>
                </w:tcPr>
                <w:p w14:paraId="3B693395">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b w:val="0"/>
                      <w:bCs w:val="0"/>
                      <w:color w:val="auto"/>
                      <w:szCs w:val="21"/>
                      <w:highlight w:val="none"/>
                      <w:lang w:val="en-US" w:eastAsia="zh-CN"/>
                    </w:rPr>
                  </w:pPr>
                  <w:r>
                    <w:rPr>
                      <w:rFonts w:hint="eastAsia" w:cs="宋体"/>
                      <w:b w:val="0"/>
                      <w:bCs w:val="0"/>
                      <w:color w:val="auto"/>
                      <w:szCs w:val="21"/>
                      <w:highlight w:val="none"/>
                      <w:lang w:val="en-US" w:eastAsia="zh-CN"/>
                    </w:rPr>
                    <w:t>压铸脱模</w:t>
                  </w:r>
                </w:p>
              </w:tc>
              <w:tc>
                <w:tcPr>
                  <w:tcW w:w="555" w:type="pct"/>
                  <w:vMerge w:val="continue"/>
                  <w:tcBorders>
                    <w:tl2br w:val="nil"/>
                    <w:tr2bl w:val="nil"/>
                  </w:tcBorders>
                  <w:vAlign w:val="center"/>
                </w:tcPr>
                <w:p w14:paraId="29BF83F9">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val="0"/>
                      <w:bCs w:val="0"/>
                      <w:color w:val="auto"/>
                      <w:szCs w:val="21"/>
                      <w:highlight w:val="none"/>
                    </w:rPr>
                  </w:pPr>
                </w:p>
              </w:tc>
              <w:tc>
                <w:tcPr>
                  <w:tcW w:w="1488" w:type="pct"/>
                  <w:tcBorders>
                    <w:tl2br w:val="nil"/>
                    <w:tr2bl w:val="nil"/>
                  </w:tcBorders>
                  <w:vAlign w:val="center"/>
                </w:tcPr>
                <w:p w14:paraId="51A81403">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val="0"/>
                      <w:bCs w:val="0"/>
                      <w:color w:val="auto"/>
                      <w:szCs w:val="21"/>
                      <w:highlight w:val="none"/>
                    </w:rPr>
                  </w:pPr>
                  <w:r>
                    <w:rPr>
                      <w:rFonts w:hint="eastAsia" w:eastAsia="宋体"/>
                      <w:smallCaps w:val="0"/>
                      <w:color w:val="auto"/>
                      <w:kern w:val="0"/>
                      <w:szCs w:val="21"/>
                      <w:highlight w:val="none"/>
                      <w:lang w:val="en-US" w:eastAsia="zh-CN"/>
                    </w:rPr>
                    <w:t>压铸机</w:t>
                  </w:r>
                  <w:r>
                    <w:rPr>
                      <w:rFonts w:hint="eastAsia" w:ascii="Times New Roman" w:hAnsi="Times New Roman" w:eastAsia="宋体"/>
                      <w:bCs/>
                      <w:smallCaps w:val="0"/>
                      <w:color w:val="auto"/>
                      <w:spacing w:val="-4"/>
                      <w:szCs w:val="21"/>
                      <w:highlight w:val="none"/>
                    </w:rPr>
                    <w:t>采用罩口直径为</w:t>
                  </w:r>
                  <w:r>
                    <w:rPr>
                      <w:rFonts w:hint="eastAsia" w:eastAsia="宋体"/>
                      <w:bCs/>
                      <w:smallCaps w:val="0"/>
                      <w:color w:val="auto"/>
                      <w:spacing w:val="-4"/>
                      <w:szCs w:val="21"/>
                      <w:highlight w:val="none"/>
                      <w:lang w:val="en-US" w:eastAsia="zh-CN"/>
                    </w:rPr>
                    <w:t>0.8m*0.6m</w:t>
                  </w:r>
                  <w:r>
                    <w:rPr>
                      <w:rFonts w:hint="eastAsia" w:ascii="Times New Roman" w:hAnsi="Times New Roman" w:eastAsia="宋体"/>
                      <w:bCs/>
                      <w:smallCaps w:val="0"/>
                      <w:color w:val="auto"/>
                      <w:spacing w:val="-4"/>
                      <w:szCs w:val="21"/>
                      <w:highlight w:val="none"/>
                    </w:rPr>
                    <w:t>的上吸风罩收集，单只吸风罩的排风量</w:t>
                  </w:r>
                  <w:r>
                    <w:rPr>
                      <w:rFonts w:ascii="Times New Roman" w:hAnsi="Times New Roman" w:eastAsia="宋体"/>
                      <w:bCs/>
                      <w:smallCaps w:val="0"/>
                      <w:color w:val="auto"/>
                      <w:spacing w:val="-4"/>
                      <w:szCs w:val="21"/>
                      <w:highlight w:val="none"/>
                    </w:rPr>
                    <w:t>L=1.4*</w:t>
                  </w:r>
                  <w:r>
                    <w:rPr>
                      <w:rFonts w:hint="eastAsia" w:ascii="Times New Roman" w:hAnsi="Times New Roman" w:eastAsia="宋体"/>
                      <w:bCs/>
                      <w:smallCaps w:val="0"/>
                      <w:color w:val="auto"/>
                      <w:spacing w:val="-4"/>
                      <w:szCs w:val="21"/>
                      <w:highlight w:val="none"/>
                      <w:lang w:val="en-US" w:eastAsia="zh-CN"/>
                    </w:rPr>
                    <w:t>0.5*</w:t>
                  </w:r>
                  <w:r>
                    <w:rPr>
                      <w:rFonts w:hint="eastAsia" w:eastAsia="宋体"/>
                      <w:bCs/>
                      <w:smallCaps w:val="0"/>
                      <w:color w:val="auto"/>
                      <w:spacing w:val="-4"/>
                      <w:szCs w:val="21"/>
                      <w:highlight w:val="none"/>
                      <w:lang w:val="en-US" w:eastAsia="zh-CN"/>
                    </w:rPr>
                    <w:t>0.8*0.6</w:t>
                  </w:r>
                  <w:r>
                    <w:rPr>
                      <w:rFonts w:ascii="Times New Roman" w:hAnsi="Times New Roman" w:eastAsia="宋体"/>
                      <w:bCs/>
                      <w:smallCaps w:val="0"/>
                      <w:color w:val="auto"/>
                      <w:spacing w:val="-4"/>
                      <w:szCs w:val="21"/>
                      <w:highlight w:val="none"/>
                    </w:rPr>
                    <w:t>*3600</w:t>
                  </w:r>
                  <w:r>
                    <w:rPr>
                      <w:rFonts w:hint="eastAsia" w:ascii="Times New Roman" w:hAnsi="Times New Roman" w:eastAsia="宋体"/>
                      <w:bCs/>
                      <w:smallCaps w:val="0"/>
                      <w:color w:val="auto"/>
                      <w:spacing w:val="-4"/>
                      <w:szCs w:val="21"/>
                      <w:highlight w:val="none"/>
                      <w:lang w:val="en-US" w:eastAsia="zh-CN"/>
                    </w:rPr>
                    <w:t>≈</w:t>
                  </w:r>
                  <w:r>
                    <w:rPr>
                      <w:rFonts w:hint="eastAsia" w:eastAsia="宋体"/>
                      <w:bCs/>
                      <w:smallCaps w:val="0"/>
                      <w:color w:val="auto"/>
                      <w:spacing w:val="-4"/>
                      <w:szCs w:val="21"/>
                      <w:highlight w:val="none"/>
                      <w:lang w:val="en-US" w:eastAsia="zh-CN"/>
                    </w:rPr>
                    <w:t>1210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r>
                    <w:rPr>
                      <w:rFonts w:hint="eastAsia" w:ascii="Times New Roman" w:hAnsi="Times New Roman" w:eastAsia="宋体"/>
                      <w:bCs/>
                      <w:smallCaps w:val="0"/>
                      <w:color w:val="auto"/>
                      <w:spacing w:val="-4"/>
                      <w:szCs w:val="21"/>
                      <w:highlight w:val="none"/>
                    </w:rPr>
                    <w:t>，则</w:t>
                  </w:r>
                  <w:r>
                    <w:rPr>
                      <w:rFonts w:hint="eastAsia" w:eastAsia="宋体"/>
                      <w:bCs/>
                      <w:smallCaps w:val="0"/>
                      <w:color w:val="auto"/>
                      <w:spacing w:val="-4"/>
                      <w:szCs w:val="21"/>
                      <w:highlight w:val="none"/>
                      <w:lang w:val="en-US" w:eastAsia="zh-CN"/>
                    </w:rPr>
                    <w:t>8</w:t>
                  </w:r>
                  <w:r>
                    <w:rPr>
                      <w:rFonts w:hint="eastAsia" w:ascii="Times New Roman" w:hAnsi="Times New Roman" w:eastAsia="宋体"/>
                      <w:bCs/>
                      <w:smallCaps w:val="0"/>
                      <w:color w:val="auto"/>
                      <w:spacing w:val="-4"/>
                      <w:szCs w:val="21"/>
                      <w:highlight w:val="none"/>
                    </w:rPr>
                    <w:t>只吸风罩的总排风量为</w:t>
                  </w:r>
                  <w:r>
                    <w:rPr>
                      <w:rFonts w:hint="eastAsia" w:eastAsia="宋体"/>
                      <w:bCs/>
                      <w:smallCaps w:val="0"/>
                      <w:color w:val="auto"/>
                      <w:spacing w:val="-4"/>
                      <w:szCs w:val="21"/>
                      <w:highlight w:val="none"/>
                      <w:lang w:val="en-US" w:eastAsia="zh-CN"/>
                    </w:rPr>
                    <w:t>9680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p>
              </w:tc>
              <w:tc>
                <w:tcPr>
                  <w:tcW w:w="669" w:type="pct"/>
                  <w:tcBorders>
                    <w:tl2br w:val="nil"/>
                    <w:tr2bl w:val="nil"/>
                  </w:tcBorders>
                  <w:vAlign w:val="center"/>
                </w:tcPr>
                <w:p w14:paraId="26C05187">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val="0"/>
                      <w:bCs w:val="0"/>
                      <w:color w:val="auto"/>
                      <w:szCs w:val="21"/>
                      <w:highlight w:val="none"/>
                    </w:rPr>
                  </w:pPr>
                  <w:r>
                    <w:rPr>
                      <w:rFonts w:hint="default" w:ascii="Times New Roman" w:hAnsi="Times New Roman" w:eastAsia="宋体" w:cs="Times New Roman"/>
                      <w:bCs/>
                      <w:color w:val="auto"/>
                      <w:sz w:val="21"/>
                      <w:szCs w:val="21"/>
                      <w:highlight w:val="none"/>
                    </w:rPr>
                    <w:t>考虑到风压损失</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管道距离等因素，</w:t>
                  </w:r>
                  <w:r>
                    <w:rPr>
                      <w:rFonts w:hint="eastAsia" w:ascii="Times New Roman" w:hAnsi="Times New Roman" w:eastAsia="宋体" w:cs="Times New Roman"/>
                      <w:bCs/>
                      <w:color w:val="auto"/>
                      <w:sz w:val="21"/>
                      <w:szCs w:val="21"/>
                      <w:highlight w:val="none"/>
                      <w:lang w:val="en-US" w:eastAsia="zh-CN"/>
                    </w:rPr>
                    <w:t>总风量设置为</w:t>
                  </w:r>
                  <w:r>
                    <w:rPr>
                      <w:rFonts w:hint="eastAsia" w:cs="Times New Roman"/>
                      <w:bCs/>
                      <w:color w:val="auto"/>
                      <w:sz w:val="21"/>
                      <w:szCs w:val="21"/>
                      <w:highlight w:val="none"/>
                      <w:lang w:val="en-US" w:eastAsia="zh-CN"/>
                    </w:rPr>
                    <w:t>10</w:t>
                  </w:r>
                  <w:r>
                    <w:rPr>
                      <w:rFonts w:hint="eastAsia" w:ascii="Times New Roman" w:hAnsi="Times New Roman" w:eastAsia="宋体" w:cs="Times New Roman"/>
                      <w:bCs/>
                      <w:color w:val="auto"/>
                      <w:sz w:val="21"/>
                      <w:szCs w:val="21"/>
                      <w:highlight w:val="none"/>
                      <w:lang w:val="en-US" w:eastAsia="zh-CN"/>
                    </w:rPr>
                    <w:t>000</w:t>
                  </w:r>
                  <w:r>
                    <w:rPr>
                      <w:rFonts w:ascii="Times New Roman" w:hAnsi="Times New Roman" w:eastAsia="宋体"/>
                      <w:bCs/>
                      <w:smallCaps w:val="0"/>
                      <w:color w:val="auto"/>
                      <w:spacing w:val="-4"/>
                      <w:szCs w:val="21"/>
                      <w:highlight w:val="none"/>
                    </w:rPr>
                    <w:t>m</w:t>
                  </w:r>
                  <w:r>
                    <w:rPr>
                      <w:rFonts w:ascii="Times New Roman" w:hAnsi="Times New Roman" w:eastAsia="宋体"/>
                      <w:bCs/>
                      <w:smallCaps w:val="0"/>
                      <w:color w:val="auto"/>
                      <w:spacing w:val="-4"/>
                      <w:szCs w:val="21"/>
                      <w:highlight w:val="none"/>
                      <w:vertAlign w:val="superscript"/>
                    </w:rPr>
                    <w:t>3</w:t>
                  </w:r>
                  <w:r>
                    <w:rPr>
                      <w:rFonts w:ascii="Times New Roman" w:hAnsi="Times New Roman" w:eastAsia="宋体"/>
                      <w:bCs/>
                      <w:smallCaps w:val="0"/>
                      <w:color w:val="auto"/>
                      <w:spacing w:val="-4"/>
                      <w:szCs w:val="21"/>
                      <w:highlight w:val="none"/>
                    </w:rPr>
                    <w:t>/h</w:t>
                  </w:r>
                </w:p>
              </w:tc>
              <w:tc>
                <w:tcPr>
                  <w:tcW w:w="1719" w:type="pct"/>
                  <w:tcBorders>
                    <w:tl2br w:val="nil"/>
                    <w:tr2bl w:val="nil"/>
                  </w:tcBorders>
                  <w:vAlign w:val="center"/>
                </w:tcPr>
                <w:p w14:paraId="0205E290">
                  <w:pPr>
                    <w:keepNext w:val="0"/>
                    <w:keepLines w:val="0"/>
                    <w:pageBreakBefore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val="0"/>
                      <w:bCs w:val="0"/>
                      <w:color w:val="auto"/>
                      <w:szCs w:val="21"/>
                      <w:highlight w:val="none"/>
                    </w:rPr>
                  </w:pPr>
                  <w:r>
                    <w:rPr>
                      <w:rFonts w:hint="eastAsia"/>
                      <w:bCs/>
                      <w:smallCaps w:val="0"/>
                      <w:color w:val="auto"/>
                      <w:szCs w:val="21"/>
                      <w:lang w:val="en-US" w:eastAsia="zh-CN"/>
                    </w:rPr>
                    <w:t>压铸粉尘、脱模剂</w:t>
                  </w:r>
                  <w:r>
                    <w:rPr>
                      <w:rFonts w:hint="eastAsia" w:ascii="Times New Roman" w:hAnsi="Times New Roman" w:eastAsia="宋体"/>
                      <w:bCs/>
                      <w:smallCaps w:val="0"/>
                      <w:color w:val="auto"/>
                      <w:szCs w:val="21"/>
                      <w:lang w:val="en-US" w:eastAsia="zh-CN"/>
                    </w:rPr>
                    <w:t>废气经集气罩收集，</w:t>
                  </w:r>
                  <w:r>
                    <w:rPr>
                      <w:rFonts w:hint="eastAsia"/>
                      <w:bCs/>
                      <w:smallCaps w:val="0"/>
                      <w:color w:val="auto"/>
                      <w:szCs w:val="21"/>
                      <w:lang w:val="en-US" w:eastAsia="zh-CN"/>
                    </w:rPr>
                    <w:t>静电除油+水喷淋+除湿+</w:t>
                  </w:r>
                  <w:r>
                    <w:rPr>
                      <w:rFonts w:hint="eastAsia" w:ascii="Times New Roman" w:hAnsi="Times New Roman" w:eastAsia="宋体" w:cs="宋体"/>
                      <w:smallCaps w:val="0"/>
                      <w:color w:val="auto"/>
                      <w:lang w:val="en-US" w:eastAsia="zh-CN"/>
                    </w:rPr>
                    <w:t>二级</w:t>
                  </w:r>
                  <w:r>
                    <w:rPr>
                      <w:rFonts w:hint="eastAsia" w:ascii="Times New Roman" w:hAnsi="Times New Roman" w:eastAsia="宋体" w:cs="宋体"/>
                      <w:smallCaps w:val="0"/>
                      <w:color w:val="auto"/>
                      <w:lang w:eastAsia="zh-CN"/>
                    </w:rPr>
                    <w:t>活性炭吸附装置处理，15m高排气筒FQ-</w:t>
                  </w:r>
                  <w:r>
                    <w:rPr>
                      <w:rFonts w:hint="eastAsia" w:cs="宋体"/>
                      <w:smallCaps w:val="0"/>
                      <w:color w:val="auto"/>
                      <w:lang w:val="en-US" w:eastAsia="zh-CN"/>
                    </w:rPr>
                    <w:t>1</w:t>
                  </w:r>
                  <w:r>
                    <w:rPr>
                      <w:rFonts w:hint="eastAsia" w:ascii="Times New Roman" w:hAnsi="Times New Roman" w:eastAsia="宋体" w:cs="宋体"/>
                      <w:smallCaps w:val="0"/>
                      <w:color w:val="auto"/>
                      <w:lang w:eastAsia="zh-CN"/>
                    </w:rPr>
                    <w:t>排放。</w:t>
                  </w:r>
                  <w:r>
                    <w:rPr>
                      <w:rFonts w:hint="default" w:ascii="Times New Roman" w:hAnsi="Times New Roman" w:eastAsia="宋体" w:cs="Times New Roman"/>
                      <w:bCs/>
                      <w:color w:val="auto"/>
                      <w:sz w:val="21"/>
                      <w:szCs w:val="21"/>
                      <w:highlight w:val="none"/>
                    </w:rPr>
                    <w:t>废气收集效率为9</w:t>
                  </w:r>
                  <w:r>
                    <w:rPr>
                      <w:rFonts w:hint="eastAsia" w:ascii="Times New Roman" w:hAnsi="Times New Roman" w:eastAsia="宋体"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%，去除率约为9</w:t>
                  </w:r>
                  <w:r>
                    <w:rPr>
                      <w:rFonts w:hint="eastAsia" w:ascii="Times New Roman" w:hAnsi="Times New Roman" w:eastAsia="宋体"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rPr>
                    <w:t>%。</w:t>
                  </w:r>
                </w:p>
              </w:tc>
            </w:tr>
          </w:tbl>
          <w:p w14:paraId="2C3EF85C">
            <w:pPr>
              <w:spacing w:line="360" w:lineRule="auto"/>
              <w:ind w:firstLine="482" w:firstLineChars="200"/>
              <w:rPr>
                <w:rFonts w:ascii="Times New Roman" w:hAnsi="Times New Roman" w:eastAsia="宋体"/>
                <w:b/>
                <w:smallCaps w:val="0"/>
                <w:color w:val="auto"/>
                <w:sz w:val="24"/>
                <w:szCs w:val="24"/>
              </w:rPr>
            </w:pPr>
            <w:r>
              <w:rPr>
                <w:rFonts w:hint="eastAsia"/>
                <w:b/>
                <w:smallCaps w:val="0"/>
                <w:color w:val="auto"/>
                <w:sz w:val="24"/>
                <w:szCs w:val="24"/>
                <w:lang w:val="en-US" w:eastAsia="zh-CN"/>
              </w:rPr>
              <w:t>静电除油</w:t>
            </w:r>
            <w:r>
              <w:rPr>
                <w:rFonts w:hint="eastAsia" w:ascii="Times New Roman" w:hAnsi="Times New Roman" w:eastAsia="宋体"/>
                <w:b/>
                <w:smallCaps w:val="0"/>
                <w:color w:val="auto"/>
                <w:sz w:val="24"/>
                <w:szCs w:val="24"/>
              </w:rPr>
              <w:t>装置工作原理：</w:t>
            </w:r>
          </w:p>
          <w:p w14:paraId="4D311336">
            <w:pPr>
              <w:spacing w:line="360" w:lineRule="auto"/>
              <w:ind w:firstLine="480" w:firstLineChars="200"/>
              <w:rPr>
                <w:rFonts w:hint="eastAsia" w:ascii="Times New Roman" w:hAnsi="Times New Roman" w:eastAsia="宋体"/>
                <w:smallCaps w:val="0"/>
                <w:color w:val="auto"/>
                <w:sz w:val="24"/>
                <w:szCs w:val="24"/>
              </w:rPr>
            </w:pPr>
            <w:r>
              <w:rPr>
                <w:rFonts w:hint="eastAsia" w:ascii="Times New Roman" w:hAnsi="Times New Roman" w:eastAsia="宋体"/>
                <w:smallCaps w:val="0"/>
                <w:color w:val="auto"/>
                <w:sz w:val="24"/>
                <w:szCs w:val="24"/>
              </w:rPr>
              <w:t>‌</w:t>
            </w:r>
            <w:r>
              <w:rPr>
                <w:rFonts w:hint="default" w:ascii="Times New Roman" w:hAnsi="Times New Roman" w:eastAsia="宋体"/>
                <w:smallCaps w:val="0"/>
                <w:color w:val="auto"/>
                <w:sz w:val="24"/>
                <w:szCs w:val="24"/>
              </w:rPr>
              <w:fldChar w:fldCharType="begin"/>
            </w:r>
            <w:r>
              <w:rPr>
                <w:rFonts w:hint="default" w:ascii="Times New Roman" w:hAnsi="Times New Roman" w:eastAsia="宋体"/>
                <w:smallCaps w:val="0"/>
                <w:color w:val="auto"/>
                <w:sz w:val="24"/>
                <w:szCs w:val="24"/>
              </w:rPr>
              <w:instrText xml:space="preserve"> HYPERLINK "https://www.baidu.com/s?rsv_dl=re_dqa_generate&amp;sa=re_dqa_generate&amp;wd=%E9%9D%99%E7%94%B5%E9%99%A4%E6%B2%B9%E8%A3%85%E7%BD%AE&amp;rsv_pq=f093c15900ea1a2c&amp;oq=%E9%9D%99%E7%94%B5%E9%99%A4%E6%B2%B9%E8%A3%85%E7%BD%AE %E5%B7%A5%E4%BD%9C%E5%8E%9F%E7%90%86&amp;rsv_t=bfb0HKWZq63zlpa+ATY2yol6K7Fd+bYvO2EF+FXzjA9c8OvSothdVJJk2givOUPF4w&amp;tn=site888_pg&amp;ie=utf-8" \t "https://www.baidu.com/_blank" </w:instrText>
            </w:r>
            <w:r>
              <w:rPr>
                <w:rFonts w:hint="default" w:ascii="Times New Roman" w:hAnsi="Times New Roman" w:eastAsia="宋体"/>
                <w:smallCaps w:val="0"/>
                <w:color w:val="auto"/>
                <w:sz w:val="24"/>
                <w:szCs w:val="24"/>
              </w:rPr>
              <w:fldChar w:fldCharType="separate"/>
            </w:r>
            <w:r>
              <w:rPr>
                <w:rFonts w:hint="default" w:ascii="Times New Roman" w:hAnsi="Times New Roman" w:eastAsia="宋体"/>
                <w:smallCaps w:val="0"/>
                <w:color w:val="auto"/>
                <w:sz w:val="24"/>
                <w:szCs w:val="24"/>
              </w:rPr>
              <w:t>静电除油装置</w:t>
            </w:r>
            <w:r>
              <w:rPr>
                <w:rFonts w:hint="default" w:ascii="Times New Roman" w:hAnsi="Times New Roman" w:eastAsia="宋体"/>
                <w:smallCaps w:val="0"/>
                <w:color w:val="auto"/>
                <w:sz w:val="24"/>
                <w:szCs w:val="24"/>
              </w:rPr>
              <w:fldChar w:fldCharType="end"/>
            </w:r>
            <w:r>
              <w:rPr>
                <w:rFonts w:hint="default" w:ascii="Times New Roman" w:hAnsi="Times New Roman" w:eastAsia="宋体"/>
                <w:smallCaps w:val="0"/>
                <w:color w:val="auto"/>
                <w:sz w:val="24"/>
                <w:szCs w:val="24"/>
              </w:rPr>
              <w:t>的工作原理‌是基于‌静电吸附‌原理</w:t>
            </w:r>
            <w:r>
              <w:rPr>
                <w:rFonts w:hint="eastAsia"/>
                <w:smallCaps w:val="0"/>
                <w:color w:val="auto"/>
                <w:sz w:val="24"/>
                <w:szCs w:val="24"/>
                <w:lang w:eastAsia="zh-CN"/>
              </w:rPr>
              <w:t>，</w:t>
            </w:r>
            <w:r>
              <w:rPr>
                <w:rFonts w:hint="default" w:ascii="Times New Roman" w:hAnsi="Times New Roman" w:eastAsia="宋体"/>
                <w:smallCaps w:val="0"/>
                <w:color w:val="auto"/>
                <w:sz w:val="24"/>
                <w:szCs w:val="24"/>
              </w:rPr>
              <w:t>当含油废气通过高压静电场时，油滴会被极化并带上电荷</w:t>
            </w:r>
            <w:r>
              <w:rPr>
                <w:rFonts w:hint="eastAsia"/>
                <w:smallCaps w:val="0"/>
                <w:color w:val="auto"/>
                <w:sz w:val="24"/>
                <w:szCs w:val="24"/>
                <w:lang w:eastAsia="zh-CN"/>
              </w:rPr>
              <w:t>，</w:t>
            </w:r>
            <w:r>
              <w:rPr>
                <w:rFonts w:hint="default" w:ascii="Times New Roman" w:hAnsi="Times New Roman" w:eastAsia="宋体"/>
                <w:smallCaps w:val="0"/>
                <w:color w:val="auto"/>
                <w:sz w:val="24"/>
                <w:szCs w:val="24"/>
              </w:rPr>
              <w:t>在电场力的作用下，带电的油滴会向带相反电荷的电极移动并被吸附。</w:t>
            </w:r>
          </w:p>
          <w:p w14:paraId="5D67E903">
            <w:pPr>
              <w:spacing w:line="360" w:lineRule="auto"/>
              <w:ind w:firstLine="482" w:firstLineChars="200"/>
              <w:rPr>
                <w:rFonts w:ascii="Times New Roman" w:hAnsi="Times New Roman" w:eastAsia="宋体"/>
                <w:smallCaps w:val="0"/>
                <w:color w:val="auto"/>
                <w:sz w:val="24"/>
                <w:szCs w:val="24"/>
              </w:rPr>
            </w:pPr>
            <w:r>
              <w:rPr>
                <w:rFonts w:hint="eastAsia"/>
                <w:b/>
                <w:smallCaps w:val="0"/>
                <w:color w:val="auto"/>
                <w:sz w:val="24"/>
                <w:szCs w:val="24"/>
                <w:lang w:val="en-US" w:eastAsia="zh-CN"/>
              </w:rPr>
              <w:t>水喷淋</w:t>
            </w:r>
            <w:r>
              <w:rPr>
                <w:rFonts w:hint="eastAsia" w:ascii="Times New Roman" w:hAnsi="Times New Roman" w:eastAsia="宋体"/>
                <w:b/>
                <w:smallCaps w:val="0"/>
                <w:color w:val="auto"/>
                <w:sz w:val="24"/>
                <w:szCs w:val="24"/>
              </w:rPr>
              <w:t>装置工作原理：</w:t>
            </w:r>
          </w:p>
          <w:p w14:paraId="543A844E">
            <w:pPr>
              <w:spacing w:line="360" w:lineRule="auto"/>
              <w:ind w:firstLine="480" w:firstLineChars="200"/>
              <w:rPr>
                <w:rFonts w:ascii="Times New Roman" w:hAnsi="Times New Roman" w:eastAsia="宋体" w:cs="宋体"/>
                <w:b/>
                <w:bCs/>
                <w:color w:val="auto"/>
                <w:sz w:val="24"/>
                <w:highlight w:val="none"/>
              </w:rPr>
            </w:pPr>
            <w:r>
              <w:rPr>
                <w:rFonts w:hint="default" w:ascii="Times New Roman" w:hAnsi="Times New Roman" w:cs="Times New Roman"/>
                <w:b w:val="0"/>
                <w:bCs w:val="0"/>
                <w:color w:val="auto"/>
                <w:kern w:val="0"/>
                <w:sz w:val="24"/>
                <w:lang w:val="en-US" w:eastAsia="zh-CN"/>
              </w:rPr>
              <w:t>水从除尘器上部注水槽进入箱体内，使整个箱体内壁形成一层水膜从上而下流动，烟气由筒体下部切向进入，在箱体内旋转上升，含尘气体在离心力作用下始终与箱体内壁面的水膜发生摩擦，这样含尘气体被水膜湿润，尘粒随水流到除尘器底部，从溢水孔排走。在箱体底部封底并设有水封槽以防止烟气从低部漏出，有清理孔便于进行箱体底部清理。除尘后废水由底部溢流孔排出进入沉淀池，沉淀池定期添加絮凝剂，定期打捞沉渣，水膜除尘除尘水循环使用，定期添加新鲜水。净化后的气体，通过箱体上部锥体部分引出，从而达到除尘目的。</w:t>
            </w:r>
          </w:p>
          <w:p w14:paraId="02EA469D">
            <w:pPr>
              <w:spacing w:line="360" w:lineRule="auto"/>
              <w:ind w:firstLine="482" w:firstLineChars="200"/>
              <w:rPr>
                <w:rFonts w:ascii="Times New Roman" w:hAnsi="Times New Roman" w:eastAsia="宋体" w:cs="宋体"/>
                <w:b/>
                <w:bCs/>
                <w:color w:val="auto"/>
                <w:sz w:val="24"/>
                <w:highlight w:val="none"/>
              </w:rPr>
            </w:pPr>
            <w:r>
              <w:rPr>
                <w:rFonts w:ascii="Times New Roman" w:hAnsi="Times New Roman" w:eastAsia="宋体" w:cs="宋体"/>
                <w:b/>
                <w:bCs/>
                <w:color w:val="auto"/>
                <w:sz w:val="24"/>
                <w:highlight w:val="none"/>
              </w:rPr>
              <w:t>活性炭吸附装置废气处理工作原理：</w:t>
            </w:r>
          </w:p>
          <w:p w14:paraId="7B14D2EB">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活性炭吸附装置是一种干式废气处理设备，由塔体和装填在塔体内的吸附单元组成</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吸附单元是活性炭吸附装置内安装的核心部件</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吸附单元在塔体内分层抽屉式安装，能够非常方便从两侧的检查门取出，并且检查门开启方便、密封严密。活性炭吸附装置工作时，有机废气自上而下进入吸附装置，由于吸附剂表面上存在着未平衡和未饱和的分子引力，因此当吸附剂表面与有机气体接触时，就能吸引有机气体分子，使其浓聚并保持在吸附剂表面，从而与气体混合物分离，达到净化目的。</w:t>
            </w:r>
          </w:p>
          <w:p w14:paraId="6525AB37">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lang w:val="en-US" w:eastAsia="zh-CN"/>
              </w:rPr>
              <w:t>根据《</w:t>
            </w:r>
            <w:r>
              <w:rPr>
                <w:rFonts w:hint="eastAsia" w:ascii="Times New Roman" w:hAnsi="Times New Roman" w:eastAsia="宋体" w:cs="宋体"/>
                <w:color w:val="auto"/>
                <w:sz w:val="24"/>
                <w:highlight w:val="none"/>
                <w:lang w:eastAsia="zh-CN"/>
              </w:rPr>
              <w:t>环境保护产品技术要求 工业废气</w:t>
            </w:r>
            <w:r>
              <w:rPr>
                <w:rFonts w:hint="eastAsia" w:ascii="Times New Roman" w:hAnsi="Times New Roman" w:eastAsia="宋体" w:cs="宋体"/>
                <w:color w:val="auto"/>
                <w:sz w:val="24"/>
                <w:highlight w:val="none"/>
                <w:lang w:val="en-US" w:eastAsia="zh-CN"/>
              </w:rPr>
              <w:t>吸附</w:t>
            </w:r>
            <w:r>
              <w:rPr>
                <w:rFonts w:hint="eastAsia" w:ascii="Times New Roman" w:hAnsi="Times New Roman" w:eastAsia="宋体" w:cs="宋体"/>
                <w:color w:val="auto"/>
                <w:sz w:val="24"/>
                <w:highlight w:val="none"/>
                <w:lang w:eastAsia="zh-CN"/>
              </w:rPr>
              <w:t>净化装置</w:t>
            </w:r>
            <w:r>
              <w:rPr>
                <w:rFonts w:hint="eastAsia" w:ascii="Times New Roman" w:hAnsi="Times New Roman" w:eastAsia="宋体" w:cs="宋体"/>
                <w:color w:val="auto"/>
                <w:sz w:val="24"/>
                <w:highlight w:val="none"/>
                <w:lang w:val="en-US" w:eastAsia="zh-CN"/>
              </w:rPr>
              <w:t>》（HJ/T386-2007），①吸附装置应防火、防爆、防漏电和防渗漏。②吸附装置主体的表面温度不高于60℃。③吸附单元应设置温度指示、超温声光报警装置及应急处理系统。④吸附单元应设置压力指示和泄压装置，其性能应符合安全技术要求。⑤污染物为易燃易爆气体时，应采用防爆风机和电机。⑥由计算机控制的吸附装置应同时具备手动操作功能。</w:t>
            </w:r>
          </w:p>
          <w:p w14:paraId="433A1354">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根据《省生态环境厅关于深入开展涉VOCs治理重点工作核查的通知》（苏环办</w:t>
            </w:r>
            <w:r>
              <w:rPr>
                <w:rFonts w:hint="eastAsia" w:cs="宋体"/>
                <w:color w:val="auto"/>
                <w:sz w:val="24"/>
                <w:highlight w:val="none"/>
                <w:lang w:eastAsia="zh-CN"/>
              </w:rPr>
              <w:t>〔</w:t>
            </w:r>
            <w:r>
              <w:rPr>
                <w:rFonts w:hint="eastAsia" w:ascii="Times New Roman" w:hAnsi="Times New Roman" w:eastAsia="宋体" w:cs="宋体"/>
                <w:color w:val="auto"/>
                <w:sz w:val="24"/>
                <w:highlight w:val="none"/>
              </w:rPr>
              <w:t>2022</w:t>
            </w:r>
            <w:r>
              <w:rPr>
                <w:rFonts w:hint="eastAsia" w:cs="宋体"/>
                <w:color w:val="auto"/>
                <w:sz w:val="24"/>
                <w:highlight w:val="none"/>
                <w:lang w:eastAsia="zh-CN"/>
              </w:rPr>
              <w:t>〕</w:t>
            </w:r>
            <w:r>
              <w:rPr>
                <w:rFonts w:hint="eastAsia" w:ascii="Times New Roman" w:hAnsi="Times New Roman" w:eastAsia="宋体" w:cs="宋体"/>
                <w:color w:val="auto"/>
                <w:sz w:val="24"/>
                <w:highlight w:val="none"/>
              </w:rPr>
              <w:t>218号）附件-活性炭吸附装置入户核查基本要求，本项目</w:t>
            </w:r>
            <w:r>
              <w:rPr>
                <w:rFonts w:hint="eastAsia" w:cs="宋体"/>
                <w:color w:val="auto"/>
                <w:sz w:val="24"/>
                <w:highlight w:val="none"/>
                <w:lang w:val="en-US" w:eastAsia="zh-CN"/>
              </w:rPr>
              <w:t>脱模、压铸工序</w:t>
            </w:r>
            <w:r>
              <w:rPr>
                <w:rFonts w:hint="eastAsia" w:ascii="Times New Roman" w:hAnsi="Times New Roman" w:eastAsia="宋体" w:cs="宋体"/>
                <w:color w:val="auto"/>
                <w:sz w:val="24"/>
                <w:highlight w:val="none"/>
                <w:lang w:val="en-US" w:eastAsia="zh-CN"/>
              </w:rPr>
              <w:t>采用</w:t>
            </w:r>
            <w:r>
              <w:rPr>
                <w:rFonts w:hint="eastAsia" w:cs="宋体"/>
                <w:color w:val="auto"/>
                <w:sz w:val="24"/>
                <w:highlight w:val="none"/>
                <w:lang w:val="en-US" w:eastAsia="zh-CN"/>
              </w:rPr>
              <w:t>静电除油+水喷淋+除湿+</w:t>
            </w:r>
            <w:r>
              <w:rPr>
                <w:rFonts w:hint="eastAsia" w:ascii="Times New Roman" w:hAnsi="Times New Roman" w:eastAsia="宋体" w:cs="宋体"/>
                <w:color w:val="auto"/>
                <w:sz w:val="24"/>
                <w:highlight w:val="none"/>
                <w:lang w:val="en-US" w:eastAsia="zh-CN"/>
              </w:rPr>
              <w:t>二级活性炭吸附装置处理，</w:t>
            </w:r>
            <w:r>
              <w:rPr>
                <w:rFonts w:hint="eastAsia" w:ascii="Times New Roman" w:hAnsi="Times New Roman" w:eastAsia="宋体" w:cs="宋体"/>
                <w:color w:val="auto"/>
                <w:sz w:val="24"/>
                <w:highlight w:val="none"/>
              </w:rPr>
              <w:t>设备参数见下表</w:t>
            </w:r>
            <w:r>
              <w:rPr>
                <w:rFonts w:ascii="Times New Roman" w:hAnsi="Times New Roman" w:eastAsia="宋体" w:cs="宋体"/>
                <w:color w:val="auto"/>
                <w:sz w:val="24"/>
                <w:highlight w:val="none"/>
              </w:rPr>
              <w:t>。</w:t>
            </w:r>
          </w:p>
          <w:p w14:paraId="1C5D808C">
            <w:pPr>
              <w:tabs>
                <w:tab w:val="left" w:pos="960"/>
              </w:tabs>
              <w:spacing w:beforeLines="50"/>
              <w:jc w:val="center"/>
              <w:rPr>
                <w:rFonts w:ascii="Times New Roman" w:hAnsi="Times New Roman" w:eastAsia="宋体" w:cs="宋体"/>
                <w:b/>
                <w:bCs/>
                <w:color w:val="auto"/>
                <w:spacing w:val="-4"/>
                <w:szCs w:val="21"/>
                <w:highlight w:val="none"/>
              </w:rPr>
            </w:pPr>
          </w:p>
          <w:p w14:paraId="7C5A2E51">
            <w:pPr>
              <w:tabs>
                <w:tab w:val="left" w:pos="960"/>
              </w:tabs>
              <w:spacing w:beforeLines="50"/>
              <w:jc w:val="center"/>
              <w:rPr>
                <w:rFonts w:ascii="Times New Roman" w:hAnsi="Times New Roman" w:eastAsia="宋体" w:cs="宋体"/>
                <w:b/>
                <w:bCs/>
                <w:color w:val="auto"/>
                <w:spacing w:val="-4"/>
                <w:szCs w:val="21"/>
                <w:highlight w:val="none"/>
              </w:rPr>
            </w:pPr>
          </w:p>
          <w:p w14:paraId="297D1A94">
            <w:pPr>
              <w:tabs>
                <w:tab w:val="left" w:pos="960"/>
              </w:tabs>
              <w:spacing w:beforeLines="50"/>
              <w:jc w:val="center"/>
              <w:rPr>
                <w:rFonts w:ascii="Times New Roman" w:hAnsi="Times New Roman" w:eastAsia="宋体" w:cs="宋体"/>
                <w:b/>
                <w:bCs/>
                <w:color w:val="auto"/>
                <w:spacing w:val="-4"/>
                <w:szCs w:val="21"/>
                <w:highlight w:val="none"/>
              </w:rPr>
            </w:pPr>
          </w:p>
          <w:p w14:paraId="53529137">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4.1-4 </w:t>
            </w:r>
            <w:r>
              <w:rPr>
                <w:rFonts w:ascii="Times New Roman" w:hAnsi="Times New Roman" w:eastAsia="宋体" w:cs="宋体"/>
                <w:b/>
                <w:bCs/>
                <w:color w:val="auto"/>
                <w:spacing w:val="-4"/>
                <w:szCs w:val="21"/>
                <w:highlight w:val="none"/>
              </w:rPr>
              <w:t xml:space="preserve"> 活性炭吸附装置技术参数一览表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01"/>
              <w:gridCol w:w="5535"/>
            </w:tblGrid>
            <w:tr w14:paraId="330A5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55F08AE6">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项目</w:t>
                  </w:r>
                </w:p>
              </w:tc>
              <w:tc>
                <w:tcPr>
                  <w:tcW w:w="3280" w:type="pct"/>
                  <w:vAlign w:val="center"/>
                </w:tcPr>
                <w:p w14:paraId="272767F6">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技术指标</w:t>
                  </w:r>
                </w:p>
              </w:tc>
            </w:tr>
            <w:tr w14:paraId="70ECA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14B61885">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结构形式</w:t>
                  </w:r>
                </w:p>
              </w:tc>
              <w:tc>
                <w:tcPr>
                  <w:tcW w:w="3280" w:type="pct"/>
                  <w:vAlign w:val="center"/>
                </w:tcPr>
                <w:p w14:paraId="3970CAF2">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蜂窝活性炭</w:t>
                  </w:r>
                </w:p>
              </w:tc>
            </w:tr>
            <w:tr w14:paraId="5953C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53EE20CD">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水分含量</w:t>
                  </w:r>
                </w:p>
              </w:tc>
              <w:tc>
                <w:tcPr>
                  <w:tcW w:w="3280" w:type="pct"/>
                  <w:vAlign w:val="center"/>
                </w:tcPr>
                <w:p w14:paraId="51A13CE9">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w:t>
                  </w:r>
                </w:p>
              </w:tc>
            </w:tr>
            <w:tr w14:paraId="3D60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2B61ED5F">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抗压强度</w:t>
                  </w:r>
                </w:p>
              </w:tc>
              <w:tc>
                <w:tcPr>
                  <w:tcW w:w="3280" w:type="pct"/>
                  <w:vAlign w:val="center"/>
                </w:tcPr>
                <w:p w14:paraId="4095004A">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横向：≥0.9MPa，纵向：≥0.4MPa</w:t>
                  </w:r>
                </w:p>
              </w:tc>
            </w:tr>
            <w:tr w14:paraId="5E040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2C371254">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着火点</w:t>
                  </w:r>
                </w:p>
              </w:tc>
              <w:tc>
                <w:tcPr>
                  <w:tcW w:w="3280" w:type="pct"/>
                  <w:vAlign w:val="center"/>
                </w:tcPr>
                <w:p w14:paraId="770007C5">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≥400℃</w:t>
                  </w:r>
                </w:p>
              </w:tc>
            </w:tr>
            <w:tr w14:paraId="7D2AA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181226C7">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碘吸附值</w:t>
                  </w:r>
                </w:p>
              </w:tc>
              <w:tc>
                <w:tcPr>
                  <w:tcW w:w="3280" w:type="pct"/>
                  <w:vAlign w:val="center"/>
                </w:tcPr>
                <w:p w14:paraId="18A3B15C">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≥650mg/g</w:t>
                  </w:r>
                </w:p>
              </w:tc>
            </w:tr>
            <w:tr w14:paraId="267F3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106FA54A">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四氟化碳吸附率</w:t>
                  </w:r>
                </w:p>
              </w:tc>
              <w:tc>
                <w:tcPr>
                  <w:tcW w:w="3280" w:type="pct"/>
                  <w:vAlign w:val="center"/>
                </w:tcPr>
                <w:p w14:paraId="5E6F2242">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≥25%</w:t>
                  </w:r>
                </w:p>
              </w:tc>
            </w:tr>
            <w:tr w14:paraId="33C86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3412E321">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苯吸附率</w:t>
                  </w:r>
                </w:p>
              </w:tc>
              <w:tc>
                <w:tcPr>
                  <w:tcW w:w="3280" w:type="pct"/>
                  <w:vAlign w:val="center"/>
                </w:tcPr>
                <w:p w14:paraId="684AB48A">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≥300mg/g</w:t>
                  </w:r>
                </w:p>
              </w:tc>
            </w:tr>
            <w:tr w14:paraId="3701F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2CF7FC56">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比表面积</w:t>
                  </w:r>
                </w:p>
              </w:tc>
              <w:tc>
                <w:tcPr>
                  <w:tcW w:w="3280" w:type="pct"/>
                  <w:vAlign w:val="center"/>
                </w:tcPr>
                <w:p w14:paraId="573E4957">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≥750m</w:t>
                  </w:r>
                  <w:r>
                    <w:rPr>
                      <w:rFonts w:hint="eastAsia" w:ascii="Times New Roman" w:hAnsi="Times New Roman" w:eastAsia="宋体" w:cs="宋体"/>
                      <w:color w:val="auto"/>
                      <w:szCs w:val="21"/>
                      <w:highlight w:val="none"/>
                      <w:vertAlign w:val="superscript"/>
                    </w:rPr>
                    <w:t>2</w:t>
                  </w:r>
                  <w:r>
                    <w:rPr>
                      <w:rFonts w:hint="eastAsia" w:ascii="Times New Roman" w:hAnsi="Times New Roman" w:eastAsia="宋体" w:cs="宋体"/>
                      <w:color w:val="auto"/>
                      <w:szCs w:val="21"/>
                      <w:highlight w:val="none"/>
                    </w:rPr>
                    <w:t>/g</w:t>
                  </w:r>
                </w:p>
              </w:tc>
            </w:tr>
            <w:tr w14:paraId="78ECF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5FE5DDFC">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气体流速</w:t>
                  </w:r>
                </w:p>
              </w:tc>
              <w:tc>
                <w:tcPr>
                  <w:tcW w:w="3280" w:type="pct"/>
                  <w:vAlign w:val="center"/>
                </w:tcPr>
                <w:p w14:paraId="530F524C">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≤1.2m/s</w:t>
                  </w:r>
                </w:p>
              </w:tc>
            </w:tr>
            <w:tr w14:paraId="4BB4E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69E4B820">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温度</w:t>
                  </w:r>
                </w:p>
              </w:tc>
              <w:tc>
                <w:tcPr>
                  <w:tcW w:w="3280" w:type="pct"/>
                  <w:vAlign w:val="center"/>
                </w:tcPr>
                <w:p w14:paraId="63EE8A59">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≤40℃</w:t>
                  </w:r>
                </w:p>
              </w:tc>
            </w:tr>
            <w:tr w14:paraId="4B7A6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53E1DA85">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动态吸附量</w:t>
                  </w:r>
                </w:p>
              </w:tc>
              <w:tc>
                <w:tcPr>
                  <w:tcW w:w="3280" w:type="pct"/>
                  <w:vAlign w:val="center"/>
                </w:tcPr>
                <w:p w14:paraId="07A3D429">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10%</w:t>
                  </w:r>
                </w:p>
              </w:tc>
            </w:tr>
            <w:tr w14:paraId="27567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25E57490">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更换周期</w:t>
                  </w:r>
                </w:p>
              </w:tc>
              <w:tc>
                <w:tcPr>
                  <w:tcW w:w="3280" w:type="pct"/>
                  <w:vAlign w:val="center"/>
                </w:tcPr>
                <w:p w14:paraId="2183CB13">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≤500h或3个月，本项目取</w:t>
                  </w:r>
                  <w:r>
                    <w:rPr>
                      <w:rFonts w:hint="eastAsia" w:cs="宋体"/>
                      <w:color w:val="auto"/>
                      <w:szCs w:val="21"/>
                      <w:highlight w:val="none"/>
                      <w:lang w:val="en-US" w:eastAsia="zh-CN"/>
                    </w:rPr>
                    <w:t>20d</w:t>
                  </w:r>
                </w:p>
              </w:tc>
            </w:tr>
            <w:tr w14:paraId="1CC21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327E0428">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风量</w:t>
                  </w:r>
                </w:p>
              </w:tc>
              <w:tc>
                <w:tcPr>
                  <w:tcW w:w="3280" w:type="pct"/>
                  <w:vAlign w:val="center"/>
                </w:tcPr>
                <w:p w14:paraId="4B53DCC7">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10</w:t>
                  </w:r>
                  <w:r>
                    <w:rPr>
                      <w:rFonts w:hint="eastAsia" w:ascii="Times New Roman" w:hAnsi="Times New Roman" w:eastAsia="宋体" w:cs="宋体"/>
                      <w:color w:val="auto"/>
                      <w:szCs w:val="21"/>
                      <w:highlight w:val="none"/>
                    </w:rPr>
                    <w:t>000m</w:t>
                  </w:r>
                  <w:r>
                    <w:rPr>
                      <w:rFonts w:hint="eastAsia" w:ascii="Times New Roman" w:hAnsi="Times New Roman" w:eastAsia="宋体" w:cs="宋体"/>
                      <w:color w:val="auto"/>
                      <w:szCs w:val="21"/>
                      <w:highlight w:val="none"/>
                      <w:vertAlign w:val="superscript"/>
                    </w:rPr>
                    <w:t>3</w:t>
                  </w:r>
                  <w:r>
                    <w:rPr>
                      <w:rFonts w:hint="eastAsia" w:ascii="Times New Roman" w:hAnsi="Times New Roman" w:eastAsia="宋体" w:cs="宋体"/>
                      <w:color w:val="auto"/>
                      <w:szCs w:val="21"/>
                      <w:highlight w:val="none"/>
                    </w:rPr>
                    <w:t>/h</w:t>
                  </w:r>
                </w:p>
              </w:tc>
            </w:tr>
            <w:tr w14:paraId="14B46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330A029D">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单级箱体规格</w:t>
                  </w:r>
                </w:p>
              </w:tc>
              <w:tc>
                <w:tcPr>
                  <w:tcW w:w="3280" w:type="pct"/>
                  <w:vAlign w:val="center"/>
                </w:tcPr>
                <w:p w14:paraId="44F0D947">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2m*2m*1.5m（2个）</w:t>
                  </w:r>
                </w:p>
              </w:tc>
            </w:tr>
            <w:tr w14:paraId="0B36E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19" w:type="pct"/>
                  <w:vAlign w:val="center"/>
                </w:tcPr>
                <w:p w14:paraId="4B9591EE">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填充量</w:t>
                  </w:r>
                </w:p>
              </w:tc>
              <w:tc>
                <w:tcPr>
                  <w:tcW w:w="3280" w:type="pct"/>
                  <w:vAlign w:val="center"/>
                </w:tcPr>
                <w:p w14:paraId="23ABEB59">
                  <w:pPr>
                    <w:keepNext w:val="0"/>
                    <w:keepLines w:val="0"/>
                    <w:pageBreakBefore w:val="0"/>
                    <w:widowControl/>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450</w:t>
                  </w:r>
                  <w:r>
                    <w:rPr>
                      <w:rFonts w:hint="eastAsia" w:ascii="Times New Roman" w:hAnsi="Times New Roman" w:eastAsia="宋体" w:cs="宋体"/>
                      <w:color w:val="auto"/>
                      <w:szCs w:val="21"/>
                      <w:highlight w:val="none"/>
                    </w:rPr>
                    <w:t>kg（1套）</w:t>
                  </w:r>
                </w:p>
              </w:tc>
            </w:tr>
          </w:tbl>
          <w:p w14:paraId="644DF9DD">
            <w:pPr>
              <w:autoSpaceDE w:val="0"/>
              <w:autoSpaceDN w:val="0"/>
              <w:spacing w:line="360" w:lineRule="auto"/>
              <w:ind w:firstLine="480" w:firstLineChars="200"/>
              <w:jc w:val="left"/>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技术可行性分析：本项目</w:t>
            </w:r>
            <w:r>
              <w:rPr>
                <w:rFonts w:hint="eastAsia" w:cs="宋体"/>
                <w:color w:val="auto"/>
                <w:kern w:val="0"/>
                <w:sz w:val="24"/>
                <w:highlight w:val="none"/>
                <w:lang w:val="en-US" w:eastAsia="zh-CN"/>
              </w:rPr>
              <w:t>压铸脱模</w:t>
            </w:r>
            <w:r>
              <w:rPr>
                <w:rFonts w:hint="eastAsia" w:ascii="Times New Roman" w:hAnsi="Times New Roman" w:eastAsia="宋体" w:cs="宋体"/>
                <w:color w:val="auto"/>
                <w:kern w:val="0"/>
                <w:sz w:val="24"/>
                <w:highlight w:val="none"/>
              </w:rPr>
              <w:t>工序产生的有机废气经</w:t>
            </w:r>
            <w:r>
              <w:rPr>
                <w:rFonts w:hint="eastAsia" w:cs="宋体"/>
                <w:color w:val="auto"/>
                <w:kern w:val="0"/>
                <w:sz w:val="24"/>
                <w:highlight w:val="none"/>
                <w:lang w:val="en-US" w:eastAsia="zh-CN"/>
              </w:rPr>
              <w:t>静电除油+水喷淋+除湿+</w:t>
            </w:r>
            <w:r>
              <w:rPr>
                <w:rFonts w:hint="eastAsia" w:ascii="Times New Roman" w:hAnsi="Times New Roman" w:eastAsia="宋体" w:cs="宋体"/>
                <w:color w:val="auto"/>
                <w:kern w:val="0"/>
                <w:sz w:val="24"/>
                <w:highlight w:val="none"/>
              </w:rPr>
              <w:t>二级活性炭吸附装置</w:t>
            </w:r>
            <w:r>
              <w:rPr>
                <w:rFonts w:hint="eastAsia" w:ascii="Times New Roman" w:hAnsi="Times New Roman" w:eastAsia="宋体" w:cs="宋体"/>
                <w:color w:val="auto"/>
                <w:sz w:val="24"/>
                <w:szCs w:val="32"/>
                <w:highlight w:val="none"/>
              </w:rPr>
              <w:t>处理</w:t>
            </w:r>
            <w:r>
              <w:rPr>
                <w:rFonts w:hint="eastAsia" w:ascii="Times New Roman" w:hAnsi="Times New Roman" w:eastAsia="宋体" w:cs="宋体"/>
                <w:color w:val="auto"/>
                <w:kern w:val="0"/>
                <w:sz w:val="24"/>
                <w:highlight w:val="none"/>
              </w:rPr>
              <w:t>，达标排放，根据《挥发性有机物（VOCs）污染防治技术政策》及《吸附法工业有机废气治理工程技术规范》（HJ2026-2013），</w:t>
            </w:r>
            <w:r>
              <w:rPr>
                <w:rFonts w:hint="eastAsia" w:ascii="Times New Roman" w:hAnsi="Times New Roman" w:eastAsia="宋体"/>
                <w:color w:val="auto"/>
                <w:kern w:val="0"/>
                <w:sz w:val="24"/>
                <w:highlight w:val="none"/>
              </w:rPr>
              <w:t>对于含低浓度VOCs的废气，可采用吸附技术，进入废气吸附装置的废气温度宜低于40℃。本项目</w:t>
            </w:r>
            <w:r>
              <w:rPr>
                <w:rFonts w:hint="eastAsia"/>
                <w:color w:val="auto"/>
                <w:kern w:val="0"/>
                <w:sz w:val="24"/>
                <w:highlight w:val="none"/>
                <w:lang w:val="en-US" w:eastAsia="zh-CN"/>
              </w:rPr>
              <w:t>脱模剂</w:t>
            </w:r>
            <w:r>
              <w:rPr>
                <w:rFonts w:hint="eastAsia" w:ascii="Times New Roman" w:hAnsi="Times New Roman" w:eastAsia="宋体"/>
                <w:color w:val="auto"/>
                <w:kern w:val="0"/>
                <w:sz w:val="24"/>
                <w:highlight w:val="none"/>
                <w:lang w:val="en-US" w:eastAsia="zh-CN"/>
              </w:rPr>
              <w:t>废气</w:t>
            </w:r>
            <w:r>
              <w:rPr>
                <w:rFonts w:hint="eastAsia" w:ascii="Times New Roman" w:hAnsi="Times New Roman" w:eastAsia="宋体"/>
                <w:color w:val="auto"/>
                <w:kern w:val="0"/>
                <w:sz w:val="24"/>
                <w:highlight w:val="none"/>
              </w:rPr>
              <w:t>主要通过</w:t>
            </w:r>
            <w:r>
              <w:rPr>
                <w:rFonts w:hint="eastAsia"/>
                <w:color w:val="auto"/>
                <w:kern w:val="0"/>
                <w:sz w:val="24"/>
                <w:highlight w:val="none"/>
                <w:lang w:val="en-US" w:eastAsia="zh-CN"/>
              </w:rPr>
              <w:t>压铸机上方</w:t>
            </w:r>
            <w:r>
              <w:rPr>
                <w:rFonts w:hint="eastAsia" w:ascii="Times New Roman" w:hAnsi="Times New Roman" w:eastAsia="宋体"/>
                <w:color w:val="auto"/>
                <w:kern w:val="0"/>
                <w:sz w:val="24"/>
                <w:highlight w:val="none"/>
              </w:rPr>
              <w:t>设置的集气罩进行收集，收集过程中会混入常温空气，并且废气源与废气处理设施间的废气管道较长，材质为铁皮，利于散热，因此进入活性炭吸附装置的废气温度一般低于35℃，符合进入活性炭吸附装置的温度要求</w:t>
            </w:r>
            <w:r>
              <w:rPr>
                <w:rFonts w:hint="eastAsia" w:ascii="Times New Roman" w:hAnsi="Times New Roman" w:eastAsia="宋体" w:cs="宋体"/>
                <w:color w:val="auto"/>
                <w:kern w:val="0"/>
                <w:sz w:val="24"/>
                <w:highlight w:val="none"/>
              </w:rPr>
              <w:t>。</w:t>
            </w:r>
          </w:p>
          <w:p w14:paraId="3B7EB292">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本项目</w:t>
            </w:r>
            <w:r>
              <w:rPr>
                <w:rFonts w:hint="eastAsia" w:cs="宋体"/>
                <w:color w:val="auto"/>
                <w:kern w:val="0"/>
                <w:sz w:val="24"/>
                <w:highlight w:val="none"/>
                <w:lang w:val="en-US" w:eastAsia="zh-CN"/>
              </w:rPr>
              <w:t>熔化烟尘、天然气燃烧废气经水喷淋装置处理</w:t>
            </w:r>
            <w:r>
              <w:rPr>
                <w:rFonts w:hint="eastAsia" w:ascii="Times New Roman" w:hAnsi="Times New Roman" w:eastAsia="宋体" w:cs="宋体"/>
                <w:color w:val="auto"/>
                <w:kern w:val="0"/>
                <w:sz w:val="24"/>
                <w:highlight w:val="none"/>
              </w:rPr>
              <w:t>，达标排放，</w:t>
            </w:r>
            <w:r>
              <w:rPr>
                <w:rFonts w:hint="eastAsia" w:cs="宋体"/>
                <w:color w:val="auto"/>
                <w:kern w:val="0"/>
                <w:sz w:val="24"/>
                <w:highlight w:val="none"/>
                <w:lang w:val="en-US" w:eastAsia="zh-CN"/>
              </w:rPr>
              <w:t>压铸脱模</w:t>
            </w:r>
            <w:r>
              <w:rPr>
                <w:rFonts w:hint="eastAsia" w:ascii="Times New Roman" w:hAnsi="Times New Roman" w:eastAsia="宋体" w:cs="宋体"/>
                <w:color w:val="auto"/>
                <w:kern w:val="0"/>
                <w:sz w:val="24"/>
                <w:highlight w:val="none"/>
              </w:rPr>
              <w:t>工序产生的有机废气经</w:t>
            </w:r>
            <w:r>
              <w:rPr>
                <w:rFonts w:hint="eastAsia" w:cs="宋体"/>
                <w:color w:val="auto"/>
                <w:kern w:val="0"/>
                <w:sz w:val="24"/>
                <w:highlight w:val="none"/>
                <w:lang w:val="en-US" w:eastAsia="zh-CN"/>
              </w:rPr>
              <w:t>静电除油+水喷淋+除湿+</w:t>
            </w:r>
            <w:r>
              <w:rPr>
                <w:rFonts w:hint="eastAsia" w:ascii="Times New Roman" w:hAnsi="Times New Roman" w:eastAsia="宋体" w:cs="宋体"/>
                <w:color w:val="auto"/>
                <w:kern w:val="0"/>
                <w:sz w:val="24"/>
                <w:highlight w:val="none"/>
              </w:rPr>
              <w:t>二级活性炭吸附装置</w:t>
            </w:r>
            <w:r>
              <w:rPr>
                <w:rFonts w:hint="eastAsia" w:ascii="Times New Roman" w:hAnsi="Times New Roman" w:eastAsia="宋体" w:cs="宋体"/>
                <w:color w:val="auto"/>
                <w:sz w:val="24"/>
                <w:szCs w:val="32"/>
                <w:highlight w:val="none"/>
              </w:rPr>
              <w:t>处理</w:t>
            </w:r>
            <w:r>
              <w:rPr>
                <w:rFonts w:hint="eastAsia" w:ascii="Times New Roman" w:hAnsi="Times New Roman" w:eastAsia="宋体" w:cs="宋体"/>
                <w:color w:val="auto"/>
                <w:kern w:val="0"/>
                <w:sz w:val="24"/>
                <w:highlight w:val="none"/>
              </w:rPr>
              <w:t>，达标排放，</w:t>
            </w:r>
            <w:r>
              <w:rPr>
                <w:rFonts w:hint="eastAsia" w:ascii="Times New Roman" w:hAnsi="Times New Roman" w:eastAsia="宋体" w:cs="宋体"/>
                <w:color w:val="auto"/>
                <w:kern w:val="0"/>
                <w:sz w:val="24"/>
                <w:highlight w:val="none"/>
                <w:lang w:val="en-US" w:eastAsia="zh-CN"/>
              </w:rPr>
              <w:t>对照</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铸造工业大气污染物防治可行技术指南</w:t>
            </w:r>
            <w:r>
              <w:rPr>
                <w:rFonts w:hint="eastAsia" w:ascii="Times New Roman" w:hAnsi="Times New Roman" w:eastAsia="宋体" w:cs="宋体"/>
                <w:color w:val="auto"/>
                <w:kern w:val="0"/>
                <w:sz w:val="24"/>
                <w:highlight w:val="none"/>
              </w:rPr>
              <w:t>》（HJ</w:t>
            </w:r>
            <w:r>
              <w:rPr>
                <w:rFonts w:hint="eastAsia" w:ascii="Times New Roman" w:hAnsi="Times New Roman" w:eastAsia="宋体" w:cs="宋体"/>
                <w:color w:val="auto"/>
                <w:kern w:val="0"/>
                <w:sz w:val="24"/>
                <w:highlight w:val="none"/>
                <w:lang w:val="en-US" w:eastAsia="zh-CN"/>
              </w:rPr>
              <w:t>1292</w:t>
            </w:r>
            <w:r>
              <w:rPr>
                <w:rFonts w:hint="eastAsia" w:ascii="Times New Roman" w:hAnsi="Times New Roman" w:eastAsia="宋体" w:cs="宋体"/>
                <w:color w:val="auto"/>
                <w:kern w:val="0"/>
                <w:sz w:val="24"/>
                <w:highlight w:val="none"/>
              </w:rPr>
              <w:t>-20</w:t>
            </w:r>
            <w:r>
              <w:rPr>
                <w:rFonts w:hint="eastAsia" w:ascii="Times New Roman" w:hAnsi="Times New Roman" w:eastAsia="宋体" w:cs="宋体"/>
                <w:color w:val="auto"/>
                <w:kern w:val="0"/>
                <w:sz w:val="24"/>
                <w:highlight w:val="none"/>
                <w:lang w:val="en-US" w:eastAsia="zh-CN"/>
              </w:rPr>
              <w:t>23</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属于可行技术中的“吸附技术、静电净化技术、湿式除尘技术”。打磨粉尘经</w:t>
            </w:r>
            <w:r>
              <w:rPr>
                <w:rFonts w:hint="eastAsia" w:cs="宋体"/>
                <w:color w:val="auto"/>
                <w:kern w:val="0"/>
                <w:sz w:val="24"/>
                <w:highlight w:val="none"/>
                <w:lang w:val="en-US" w:eastAsia="zh-CN"/>
              </w:rPr>
              <w:t>湿式打磨台</w:t>
            </w:r>
            <w:r>
              <w:rPr>
                <w:rFonts w:hint="eastAsia" w:ascii="Times New Roman" w:hAnsi="Times New Roman" w:eastAsia="宋体" w:cs="宋体"/>
                <w:color w:val="auto"/>
                <w:kern w:val="0"/>
                <w:sz w:val="24"/>
                <w:highlight w:val="none"/>
                <w:lang w:val="en-US" w:eastAsia="zh-CN"/>
              </w:rPr>
              <w:t>、设备自带水膜除尘器处理后经车间无组织排放，抛丸粉尘经</w:t>
            </w:r>
            <w:r>
              <w:rPr>
                <w:rFonts w:hint="eastAsia" w:cs="宋体"/>
                <w:color w:val="auto"/>
                <w:kern w:val="0"/>
                <w:sz w:val="24"/>
                <w:highlight w:val="none"/>
                <w:lang w:val="en-US" w:eastAsia="zh-CN"/>
              </w:rPr>
              <w:t>湿式除尘处理后达标有组织排放</w:t>
            </w:r>
            <w:r>
              <w:rPr>
                <w:rFonts w:hint="eastAsia" w:ascii="Times New Roman" w:hAnsi="Times New Roman" w:eastAsia="宋体" w:cs="宋体"/>
                <w:color w:val="auto"/>
                <w:kern w:val="0"/>
                <w:sz w:val="24"/>
                <w:highlight w:val="none"/>
                <w:lang w:val="en-US" w:eastAsia="zh-CN"/>
              </w:rPr>
              <w:t>。对照</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铸造工业大气污染物防治可行技术指南</w:t>
            </w:r>
            <w:r>
              <w:rPr>
                <w:rFonts w:hint="eastAsia" w:ascii="Times New Roman" w:hAnsi="Times New Roman" w:eastAsia="宋体" w:cs="宋体"/>
                <w:color w:val="auto"/>
                <w:kern w:val="0"/>
                <w:sz w:val="24"/>
                <w:highlight w:val="none"/>
              </w:rPr>
              <w:t>》（HJ</w:t>
            </w:r>
            <w:r>
              <w:rPr>
                <w:rFonts w:hint="eastAsia" w:ascii="Times New Roman" w:hAnsi="Times New Roman" w:eastAsia="宋体" w:cs="宋体"/>
                <w:color w:val="auto"/>
                <w:kern w:val="0"/>
                <w:sz w:val="24"/>
                <w:highlight w:val="none"/>
                <w:lang w:val="en-US" w:eastAsia="zh-CN"/>
              </w:rPr>
              <w:t>1292</w:t>
            </w:r>
            <w:r>
              <w:rPr>
                <w:rFonts w:hint="eastAsia" w:ascii="Times New Roman" w:hAnsi="Times New Roman" w:eastAsia="宋体" w:cs="宋体"/>
                <w:color w:val="auto"/>
                <w:kern w:val="0"/>
                <w:sz w:val="24"/>
                <w:highlight w:val="none"/>
              </w:rPr>
              <w:t>-20</w:t>
            </w:r>
            <w:r>
              <w:rPr>
                <w:rFonts w:hint="eastAsia" w:ascii="Times New Roman" w:hAnsi="Times New Roman" w:eastAsia="宋体" w:cs="宋体"/>
                <w:color w:val="auto"/>
                <w:kern w:val="0"/>
                <w:sz w:val="24"/>
                <w:highlight w:val="none"/>
                <w:lang w:val="en-US" w:eastAsia="zh-CN"/>
              </w:rPr>
              <w:t>23</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属于可行技术中的“</w:t>
            </w:r>
            <w:r>
              <w:rPr>
                <w:rFonts w:hint="eastAsia" w:cs="宋体"/>
                <w:color w:val="auto"/>
                <w:kern w:val="0"/>
                <w:sz w:val="24"/>
                <w:highlight w:val="none"/>
                <w:lang w:val="en-US" w:eastAsia="zh-CN"/>
              </w:rPr>
              <w:t>湿式除尘</w:t>
            </w:r>
            <w:r>
              <w:rPr>
                <w:rFonts w:hint="eastAsia" w:ascii="Times New Roman" w:hAnsi="Times New Roman" w:eastAsia="宋体" w:cs="宋体"/>
                <w:color w:val="auto"/>
                <w:kern w:val="0"/>
                <w:sz w:val="24"/>
                <w:highlight w:val="none"/>
                <w:lang w:val="en-US" w:eastAsia="zh-CN"/>
              </w:rPr>
              <w:t>”</w:t>
            </w:r>
            <w:r>
              <w:rPr>
                <w:rFonts w:hint="eastAsia" w:ascii="Times New Roman" w:hAnsi="Times New Roman" w:eastAsia="宋体" w:cs="宋体"/>
                <w:color w:val="auto"/>
                <w:kern w:val="0"/>
                <w:sz w:val="24"/>
                <w:highlight w:val="none"/>
              </w:rPr>
              <w:t>。</w:t>
            </w:r>
          </w:p>
          <w:p w14:paraId="16E64BB6">
            <w:pPr>
              <w:autoSpaceDE w:val="0"/>
              <w:autoSpaceDN w:val="0"/>
              <w:spacing w:line="360" w:lineRule="auto"/>
              <w:ind w:firstLine="482" w:firstLineChars="200"/>
              <w:jc w:val="left"/>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①排气筒风量设置合理性</w:t>
            </w:r>
          </w:p>
          <w:p w14:paraId="3A11D77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本项目在设计过程中综合考虑工艺要求、废气风量、对周围环境的影响等前提下，合理设置排气筒的数量，减少对周边环境的影响。本项目排气筒设置情况具体见下表。</w:t>
            </w:r>
          </w:p>
          <w:p w14:paraId="1E63A70C">
            <w:pPr>
              <w:keepNext w:val="0"/>
              <w:keepLines w:val="0"/>
              <w:pageBreakBefore w:val="0"/>
              <w:widowControl w:val="0"/>
              <w:tabs>
                <w:tab w:val="left" w:pos="960"/>
              </w:tabs>
              <w:kinsoku/>
              <w:wordWrap/>
              <w:overflowPunct/>
              <w:topLinePunct w:val="0"/>
              <w:autoSpaceDE/>
              <w:autoSpaceDN/>
              <w:bidi w:val="0"/>
              <w:adjustRightInd/>
              <w:snapToGrid/>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hint="eastAsia" w:ascii="Times New Roman" w:hAnsi="Times New Roman" w:eastAsia="宋体" w:cs="宋体"/>
                <w:b/>
                <w:bCs/>
                <w:color w:val="auto"/>
                <w:spacing w:val="-4"/>
                <w:szCs w:val="21"/>
                <w:highlight w:val="none"/>
                <w:lang w:val="en-US" w:eastAsia="zh-CN"/>
              </w:rPr>
              <w:t>7</w:t>
            </w:r>
            <w:r>
              <w:rPr>
                <w:rFonts w:hint="eastAsia" w:ascii="Times New Roman" w:hAnsi="Times New Roman" w:eastAsia="宋体" w:cs="宋体"/>
                <w:b/>
                <w:bCs/>
                <w:color w:val="auto"/>
                <w:spacing w:val="-4"/>
                <w:szCs w:val="21"/>
                <w:highlight w:val="none"/>
              </w:rPr>
              <w:t xml:space="preserve">  本项目排气筒设置情况一览表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4"/>
              <w:gridCol w:w="1032"/>
              <w:gridCol w:w="1417"/>
              <w:gridCol w:w="902"/>
              <w:gridCol w:w="1657"/>
              <w:gridCol w:w="2177"/>
            </w:tblGrid>
            <w:tr w14:paraId="7C57EB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743" w:type="pct"/>
                  <w:vAlign w:val="center"/>
                </w:tcPr>
                <w:p w14:paraId="6A5FD9F5">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排气筒</w:t>
                  </w:r>
                </w:p>
              </w:tc>
              <w:tc>
                <w:tcPr>
                  <w:tcW w:w="611" w:type="pct"/>
                  <w:vAlign w:val="center"/>
                </w:tcPr>
                <w:p w14:paraId="5BA8CC0A">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高度（m）</w:t>
                  </w:r>
                </w:p>
              </w:tc>
              <w:tc>
                <w:tcPr>
                  <w:tcW w:w="839" w:type="pct"/>
                  <w:vAlign w:val="center"/>
                </w:tcPr>
                <w:p w14:paraId="0A88F92E">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排气量（m</w:t>
                  </w:r>
                  <w:r>
                    <w:rPr>
                      <w:rFonts w:hint="eastAsia" w:ascii="Times New Roman" w:hAnsi="Times New Roman" w:eastAsia="宋体" w:cs="宋体"/>
                      <w:b/>
                      <w:color w:val="auto"/>
                      <w:szCs w:val="21"/>
                      <w:highlight w:val="none"/>
                      <w:vertAlign w:val="superscript"/>
                    </w:rPr>
                    <w:t>3</w:t>
                  </w:r>
                  <w:r>
                    <w:rPr>
                      <w:rFonts w:hint="eastAsia" w:ascii="Times New Roman" w:hAnsi="Times New Roman" w:eastAsia="宋体" w:cs="宋体"/>
                      <w:b/>
                      <w:color w:val="auto"/>
                      <w:szCs w:val="21"/>
                      <w:highlight w:val="none"/>
                    </w:rPr>
                    <w:t>/h）</w:t>
                  </w:r>
                </w:p>
              </w:tc>
              <w:tc>
                <w:tcPr>
                  <w:tcW w:w="534" w:type="pct"/>
                  <w:vAlign w:val="center"/>
                </w:tcPr>
                <w:p w14:paraId="66AFB14B">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直径（m）</w:t>
                  </w:r>
                </w:p>
              </w:tc>
              <w:tc>
                <w:tcPr>
                  <w:tcW w:w="981" w:type="pct"/>
                  <w:vAlign w:val="center"/>
                </w:tcPr>
                <w:p w14:paraId="11E1C044">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lang w:val="en-US" w:eastAsia="zh-CN"/>
                    </w:rPr>
                    <w:t>烟气流速</w:t>
                  </w:r>
                  <w:r>
                    <w:rPr>
                      <w:rFonts w:hint="eastAsia" w:ascii="Times New Roman" w:hAnsi="Times New Roman" w:eastAsia="宋体" w:cs="宋体"/>
                      <w:b/>
                      <w:color w:val="auto"/>
                      <w:szCs w:val="21"/>
                      <w:highlight w:val="none"/>
                    </w:rPr>
                    <w:t>（m/s）</w:t>
                  </w:r>
                </w:p>
              </w:tc>
              <w:tc>
                <w:tcPr>
                  <w:tcW w:w="1289" w:type="pct"/>
                  <w:vAlign w:val="center"/>
                </w:tcPr>
                <w:p w14:paraId="4E26BCA7">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排放污染物</w:t>
                  </w:r>
                </w:p>
              </w:tc>
            </w:tr>
            <w:tr w14:paraId="30CDE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43" w:type="pct"/>
                  <w:vAlign w:val="center"/>
                </w:tcPr>
                <w:p w14:paraId="23919B4A">
                  <w:pPr>
                    <w:pStyle w:val="8"/>
                    <w:snapToGrid w:val="0"/>
                    <w:spacing w:after="0"/>
                    <w:ind w:left="0" w:leftChars="0"/>
                    <w:jc w:val="center"/>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FQ-</w:t>
                  </w:r>
                  <w:r>
                    <w:rPr>
                      <w:rFonts w:hint="eastAsia" w:ascii="Times New Roman" w:hAnsi="Times New Roman" w:eastAsia="宋体" w:cs="宋体"/>
                      <w:color w:val="auto"/>
                      <w:sz w:val="21"/>
                      <w:szCs w:val="21"/>
                      <w:highlight w:val="none"/>
                      <w:lang w:val="en-US" w:eastAsia="zh-CN"/>
                    </w:rPr>
                    <w:t>1</w:t>
                  </w:r>
                </w:p>
              </w:tc>
              <w:tc>
                <w:tcPr>
                  <w:tcW w:w="611" w:type="pct"/>
                  <w:vAlign w:val="center"/>
                </w:tcPr>
                <w:p w14:paraId="1568CF7A">
                  <w:pPr>
                    <w:pStyle w:val="8"/>
                    <w:snapToGrid w:val="0"/>
                    <w:spacing w:after="0"/>
                    <w:ind w:left="0" w:leftChars="0"/>
                    <w:jc w:val="center"/>
                    <w:rPr>
                      <w:rFonts w:ascii="Times New Roman" w:hAnsi="Times New Roman" w:eastAsia="宋体" w:cs="宋体"/>
                      <w:color w:val="auto"/>
                      <w:kern w:val="2"/>
                      <w:sz w:val="21"/>
                      <w:szCs w:val="21"/>
                      <w:highlight w:val="none"/>
                    </w:rPr>
                  </w:pPr>
                  <w:r>
                    <w:rPr>
                      <w:rFonts w:hint="eastAsia" w:ascii="Times New Roman" w:hAnsi="Times New Roman" w:eastAsia="宋体" w:cs="宋体"/>
                      <w:color w:val="auto"/>
                      <w:kern w:val="2"/>
                      <w:sz w:val="21"/>
                      <w:szCs w:val="21"/>
                      <w:highlight w:val="none"/>
                    </w:rPr>
                    <w:t>15</w:t>
                  </w:r>
                </w:p>
              </w:tc>
              <w:tc>
                <w:tcPr>
                  <w:tcW w:w="839" w:type="pct"/>
                  <w:vAlign w:val="center"/>
                </w:tcPr>
                <w:p w14:paraId="28E236B6">
                  <w:pPr>
                    <w:snapToGrid w:val="0"/>
                    <w:jc w:val="center"/>
                    <w:rPr>
                      <w:rFonts w:hint="default" w:ascii="Times New Roman" w:hAnsi="Times New Roman" w:eastAsia="宋体" w:cs="宋体"/>
                      <w:color w:val="auto"/>
                      <w:szCs w:val="21"/>
                      <w:highlight w:val="none"/>
                      <w:lang w:val="en-US"/>
                    </w:rPr>
                  </w:pPr>
                  <w:r>
                    <w:rPr>
                      <w:rFonts w:hint="eastAsia" w:cs="宋体"/>
                      <w:color w:val="auto"/>
                      <w:szCs w:val="21"/>
                      <w:highlight w:val="none"/>
                      <w:lang w:val="en-US" w:eastAsia="zh-CN"/>
                    </w:rPr>
                    <w:t>21247</w:t>
                  </w:r>
                </w:p>
              </w:tc>
              <w:tc>
                <w:tcPr>
                  <w:tcW w:w="534" w:type="pct"/>
                  <w:vAlign w:val="center"/>
                </w:tcPr>
                <w:p w14:paraId="20A83E74">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0.8</w:t>
                  </w:r>
                </w:p>
              </w:tc>
              <w:tc>
                <w:tcPr>
                  <w:tcW w:w="981" w:type="pct"/>
                  <w:vAlign w:val="center"/>
                </w:tcPr>
                <w:p w14:paraId="2D755D87">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11.75</w:t>
                  </w:r>
                </w:p>
              </w:tc>
              <w:tc>
                <w:tcPr>
                  <w:tcW w:w="1289" w:type="pct"/>
                  <w:vAlign w:val="center"/>
                </w:tcPr>
                <w:p w14:paraId="5EB8E875">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颗粒物</w:t>
                  </w:r>
                  <w:r>
                    <w:rPr>
                      <w:rFonts w:hint="eastAsia" w:cs="宋体"/>
                      <w:color w:val="auto"/>
                      <w:szCs w:val="21"/>
                      <w:highlight w:val="none"/>
                      <w:lang w:eastAsia="zh-CN"/>
                    </w:rPr>
                    <w:t>、</w:t>
                  </w:r>
                  <w:r>
                    <w:rPr>
                      <w:rFonts w:hint="eastAsia" w:cs="宋体"/>
                      <w:color w:val="auto"/>
                      <w:szCs w:val="21"/>
                      <w:highlight w:val="none"/>
                      <w:lang w:val="en-US" w:eastAsia="zh-CN"/>
                    </w:rPr>
                    <w:t>SO</w:t>
                  </w:r>
                  <w:r>
                    <w:rPr>
                      <w:rFonts w:hint="eastAsia" w:cs="宋体"/>
                      <w:color w:val="auto"/>
                      <w:szCs w:val="21"/>
                      <w:highlight w:val="none"/>
                      <w:vertAlign w:val="subscript"/>
                      <w:lang w:val="en-US" w:eastAsia="zh-CN"/>
                    </w:rPr>
                    <w:t>2</w:t>
                  </w:r>
                  <w:r>
                    <w:rPr>
                      <w:rFonts w:hint="eastAsia" w:cs="宋体"/>
                      <w:color w:val="auto"/>
                      <w:szCs w:val="21"/>
                      <w:highlight w:val="none"/>
                      <w:lang w:val="en-US" w:eastAsia="zh-CN"/>
                    </w:rPr>
                    <w:t>、NOx、非甲烷总烃</w:t>
                  </w:r>
                </w:p>
              </w:tc>
            </w:tr>
            <w:tr w14:paraId="4A2FF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3" w:type="pct"/>
                  <w:vAlign w:val="center"/>
                </w:tcPr>
                <w:p w14:paraId="12417FA5">
                  <w:pPr>
                    <w:pStyle w:val="8"/>
                    <w:snapToGrid w:val="0"/>
                    <w:spacing w:after="0"/>
                    <w:ind w:left="0" w:leftChars="0"/>
                    <w:jc w:val="center"/>
                    <w:rPr>
                      <w:rFonts w:hint="default"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FQ-3</w:t>
                  </w:r>
                </w:p>
              </w:tc>
              <w:tc>
                <w:tcPr>
                  <w:tcW w:w="611" w:type="pct"/>
                  <w:vAlign w:val="center"/>
                </w:tcPr>
                <w:p w14:paraId="2EAFC6BB">
                  <w:pPr>
                    <w:pStyle w:val="8"/>
                    <w:snapToGrid w:val="0"/>
                    <w:spacing w:after="0"/>
                    <w:ind w:left="0" w:leftChars="0"/>
                    <w:jc w:val="center"/>
                    <w:rPr>
                      <w:rFonts w:hint="default" w:ascii="Times New Roman" w:hAnsi="Times New Roman" w:eastAsia="宋体" w:cs="宋体"/>
                      <w:color w:val="auto"/>
                      <w:kern w:val="2"/>
                      <w:sz w:val="21"/>
                      <w:szCs w:val="21"/>
                      <w:highlight w:val="none"/>
                      <w:lang w:val="en-US" w:eastAsia="zh-CN"/>
                    </w:rPr>
                  </w:pPr>
                  <w:r>
                    <w:rPr>
                      <w:rFonts w:hint="eastAsia" w:cs="宋体"/>
                      <w:color w:val="auto"/>
                      <w:kern w:val="2"/>
                      <w:sz w:val="21"/>
                      <w:szCs w:val="21"/>
                      <w:highlight w:val="none"/>
                      <w:lang w:val="en-US" w:eastAsia="zh-CN"/>
                    </w:rPr>
                    <w:t>15</w:t>
                  </w:r>
                </w:p>
              </w:tc>
              <w:tc>
                <w:tcPr>
                  <w:tcW w:w="839" w:type="pct"/>
                  <w:vAlign w:val="center"/>
                </w:tcPr>
                <w:p w14:paraId="36C54806">
                  <w:pPr>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5000</w:t>
                  </w:r>
                </w:p>
              </w:tc>
              <w:tc>
                <w:tcPr>
                  <w:tcW w:w="534" w:type="pct"/>
                  <w:vAlign w:val="center"/>
                </w:tcPr>
                <w:p w14:paraId="4777084A">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0.4</w:t>
                  </w:r>
                </w:p>
              </w:tc>
              <w:tc>
                <w:tcPr>
                  <w:tcW w:w="981" w:type="pct"/>
                  <w:vAlign w:val="center"/>
                </w:tcPr>
                <w:p w14:paraId="75FA9F62">
                  <w:pPr>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11.06</w:t>
                  </w:r>
                </w:p>
              </w:tc>
              <w:tc>
                <w:tcPr>
                  <w:tcW w:w="1289" w:type="pct"/>
                  <w:vAlign w:val="center"/>
                </w:tcPr>
                <w:p w14:paraId="7ED3133C">
                  <w:pPr>
                    <w:snapToGrid w:val="0"/>
                    <w:jc w:val="center"/>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r>
          </w:tbl>
          <w:p w14:paraId="2B4BE374">
            <w:pPr>
              <w:autoSpaceDE w:val="0"/>
              <w:autoSpaceDN w:val="0"/>
              <w:spacing w:line="360" w:lineRule="auto"/>
              <w:ind w:firstLine="480" w:firstLineChars="200"/>
              <w:jc w:val="left"/>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根据《大气污染治理工程技术导则》（HJ2000-2010），排气筒的出口直径应根据出口流速确定，流速宜取15m/s左右。当采用钢管烟囱且高度较高时或烟气量较大时，可适当提高出口流速至20～25m/s。本项目排气筒的内径的设置保证烟气流速（10～15m/s）在合适的范围内，可满足废气治理的技术要求。</w:t>
            </w:r>
          </w:p>
          <w:p w14:paraId="06AE74A6">
            <w:pPr>
              <w:autoSpaceDE w:val="0"/>
              <w:autoSpaceDN w:val="0"/>
              <w:spacing w:line="360" w:lineRule="auto"/>
              <w:ind w:firstLine="482" w:firstLineChars="200"/>
              <w:jc w:val="left"/>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②排气筒高度设置合理性</w:t>
            </w:r>
          </w:p>
          <w:p w14:paraId="3E96BE70">
            <w:pPr>
              <w:autoSpaceDE w:val="0"/>
              <w:autoSpaceDN w:val="0"/>
              <w:spacing w:line="360" w:lineRule="auto"/>
              <w:ind w:firstLine="480" w:firstLineChars="200"/>
              <w:jc w:val="left"/>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根据</w:t>
            </w:r>
            <w:r>
              <w:rPr>
                <w:rFonts w:hint="eastAsia" w:ascii="Times New Roman" w:hAnsi="Times New Roman" w:eastAsia="宋体" w:cs="宋体"/>
                <w:color w:val="auto"/>
                <w:sz w:val="24"/>
                <w:szCs w:val="24"/>
                <w:highlight w:val="none"/>
              </w:rPr>
              <w:t>《铸造工业大气污染物排放标准》（GB39726-2020）</w:t>
            </w:r>
            <w:r>
              <w:rPr>
                <w:rFonts w:hint="eastAsia" w:ascii="Times New Roman" w:hAnsi="Times New Roman" w:eastAsia="宋体" w:cs="宋体"/>
                <w:bCs/>
                <w:smallCaps w:val="0"/>
                <w:color w:val="auto"/>
                <w:sz w:val="24"/>
                <w:szCs w:val="24"/>
                <w:highlight w:val="none"/>
                <w:lang w:val="en-US" w:eastAsia="zh-CN"/>
              </w:rPr>
              <w:t>4.</w:t>
            </w:r>
            <w:r>
              <w:rPr>
                <w:rFonts w:hint="eastAsia" w:cs="宋体"/>
                <w:bCs/>
                <w:smallCaps w:val="0"/>
                <w:color w:val="auto"/>
                <w:sz w:val="24"/>
                <w:szCs w:val="24"/>
                <w:highlight w:val="none"/>
                <w:lang w:val="en-US" w:eastAsia="zh-CN"/>
              </w:rPr>
              <w:t>7</w:t>
            </w:r>
            <w:r>
              <w:rPr>
                <w:rFonts w:hint="eastAsia" w:ascii="Times New Roman" w:hAnsi="Times New Roman" w:eastAsia="宋体" w:cs="宋体"/>
                <w:bCs/>
                <w:smallCaps w:val="0"/>
                <w:color w:val="auto"/>
                <w:sz w:val="24"/>
                <w:szCs w:val="24"/>
                <w:highlight w:val="none"/>
                <w:lang w:val="en-US" w:eastAsia="zh-CN"/>
              </w:rPr>
              <w:t>除</w:t>
            </w:r>
            <w:r>
              <w:rPr>
                <w:rFonts w:hint="eastAsia" w:cs="宋体"/>
                <w:bCs/>
                <w:smallCaps w:val="0"/>
                <w:color w:val="auto"/>
                <w:sz w:val="24"/>
                <w:szCs w:val="24"/>
                <w:highlight w:val="none"/>
                <w:lang w:val="en-US" w:eastAsia="zh-CN"/>
              </w:rPr>
              <w:t>移动式除尘设备</w:t>
            </w:r>
            <w:r>
              <w:rPr>
                <w:rFonts w:hint="eastAsia" w:ascii="Times New Roman" w:hAnsi="Times New Roman" w:eastAsia="宋体" w:cs="宋体"/>
                <w:bCs/>
                <w:smallCaps w:val="0"/>
                <w:color w:val="auto"/>
                <w:sz w:val="24"/>
                <w:szCs w:val="24"/>
                <w:highlight w:val="none"/>
                <w:lang w:val="en-US" w:eastAsia="zh-CN"/>
              </w:rPr>
              <w:t>外，</w:t>
            </w:r>
            <w:r>
              <w:rPr>
                <w:rFonts w:hint="eastAsia" w:cs="宋体"/>
                <w:bCs/>
                <w:smallCaps w:val="0"/>
                <w:color w:val="auto"/>
                <w:sz w:val="24"/>
                <w:szCs w:val="24"/>
                <w:highlight w:val="none"/>
                <w:lang w:val="en-US" w:eastAsia="zh-CN"/>
              </w:rPr>
              <w:t>其它车间活排气筒</w:t>
            </w:r>
            <w:r>
              <w:rPr>
                <w:rFonts w:hint="eastAsia" w:ascii="Times New Roman" w:hAnsi="Times New Roman" w:eastAsia="宋体" w:cs="宋体"/>
                <w:bCs/>
                <w:smallCaps w:val="0"/>
                <w:color w:val="auto"/>
                <w:sz w:val="24"/>
                <w:szCs w:val="24"/>
                <w:highlight w:val="none"/>
                <w:lang w:val="en-US" w:eastAsia="zh-CN"/>
              </w:rPr>
              <w:t>高度不应低于15m，具体高度以及与周围建筑物的相关高度关系应根据环境影响评价文件确定</w:t>
            </w:r>
            <w:r>
              <w:rPr>
                <w:rFonts w:hint="eastAsia" w:ascii="Times New Roman" w:hAnsi="Times New Roman" w:eastAsia="宋体" w:cs="宋体"/>
                <w:bCs/>
                <w:color w:val="auto"/>
                <w:sz w:val="24"/>
                <w:highlight w:val="none"/>
              </w:rPr>
              <w:t>。</w:t>
            </w:r>
          </w:p>
          <w:p w14:paraId="74C03A82">
            <w:pPr>
              <w:autoSpaceDE w:val="0"/>
              <w:autoSpaceDN w:val="0"/>
              <w:spacing w:line="360" w:lineRule="auto"/>
              <w:ind w:firstLine="480" w:firstLineChars="200"/>
              <w:jc w:val="left"/>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本项目排气筒设置在生产车间周围，排气筒高度为15m，</w:t>
            </w:r>
            <w:r>
              <w:rPr>
                <w:rFonts w:hint="eastAsia" w:cs="宋体"/>
                <w:color w:val="auto"/>
                <w:sz w:val="24"/>
                <w:highlight w:val="none"/>
                <w:lang w:val="en-US" w:eastAsia="zh-CN"/>
              </w:rPr>
              <w:t>2#</w:t>
            </w:r>
            <w:r>
              <w:rPr>
                <w:rFonts w:hint="eastAsia" w:ascii="Times New Roman" w:hAnsi="Times New Roman" w:eastAsia="宋体" w:cs="宋体"/>
                <w:color w:val="auto"/>
                <w:sz w:val="24"/>
                <w:highlight w:val="none"/>
              </w:rPr>
              <w:t>生产车间高</w:t>
            </w:r>
            <w:r>
              <w:rPr>
                <w:rFonts w:hint="eastAsia" w:cs="宋体"/>
                <w:color w:val="auto"/>
                <w:sz w:val="24"/>
                <w:highlight w:val="none"/>
                <w:lang w:val="en-US" w:eastAsia="zh-CN"/>
              </w:rPr>
              <w:t>12</w:t>
            </w:r>
            <w:r>
              <w:rPr>
                <w:rFonts w:hint="eastAsia" w:ascii="Times New Roman" w:hAnsi="Times New Roman" w:eastAsia="宋体" w:cs="宋体"/>
                <w:color w:val="auto"/>
                <w:sz w:val="24"/>
                <w:highlight w:val="none"/>
              </w:rPr>
              <w:t>m，排气筒高出最高建筑物</w:t>
            </w:r>
            <w:r>
              <w:rPr>
                <w:rFonts w:hint="eastAsia" w:cs="宋体"/>
                <w:color w:val="auto"/>
                <w:sz w:val="24"/>
                <w:highlight w:val="none"/>
                <w:lang w:val="en-US" w:eastAsia="zh-CN"/>
              </w:rPr>
              <w:t>3</w:t>
            </w:r>
            <w:r>
              <w:rPr>
                <w:rFonts w:hint="eastAsia" w:ascii="Times New Roman" w:hAnsi="Times New Roman" w:eastAsia="宋体" w:cs="宋体"/>
                <w:color w:val="auto"/>
                <w:sz w:val="24"/>
                <w:highlight w:val="none"/>
              </w:rPr>
              <w:t>m，因此，排气筒高度设置符合相关要求。</w:t>
            </w:r>
          </w:p>
          <w:p w14:paraId="1B0F0309">
            <w:pPr>
              <w:autoSpaceDE w:val="0"/>
              <w:autoSpaceDN w:val="0"/>
              <w:spacing w:line="360" w:lineRule="auto"/>
              <w:ind w:firstLine="480" w:firstLineChars="200"/>
              <w:jc w:val="left"/>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综上，</w:t>
            </w:r>
            <w:r>
              <w:rPr>
                <w:rFonts w:hint="eastAsia" w:ascii="Times New Roman" w:hAnsi="Times New Roman" w:eastAsia="宋体" w:cs="宋体"/>
                <w:color w:val="auto"/>
                <w:spacing w:val="-6"/>
                <w:sz w:val="24"/>
                <w:highlight w:val="none"/>
              </w:rPr>
              <w:t>本项目排气筒设置符合相关要求的规定，排气筒排放的污染物均可以满足排放标准的要求，对周围环境影响较小。因此，该项目排气筒的设置是合理的。</w:t>
            </w:r>
          </w:p>
          <w:p w14:paraId="20B06DD1">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（3）排放情况</w:t>
            </w:r>
          </w:p>
          <w:p w14:paraId="08D4E915">
            <w:pPr>
              <w:keepNext w:val="0"/>
              <w:keepLines w:val="0"/>
              <w:pageBreakBefore w:val="0"/>
              <w:widowControl w:val="0"/>
              <w:tabs>
                <w:tab w:val="left" w:pos="960"/>
              </w:tabs>
              <w:kinsoku/>
              <w:wordWrap/>
              <w:overflowPunct/>
              <w:topLinePunct w:val="0"/>
              <w:autoSpaceDE/>
              <w:autoSpaceDN/>
              <w:bidi w:val="0"/>
              <w:adjustRightInd/>
              <w:snapToGrid/>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hint="eastAsia" w:ascii="Times New Roman" w:hAnsi="Times New Roman" w:eastAsia="宋体" w:cs="宋体"/>
                <w:b/>
                <w:bCs/>
                <w:color w:val="auto"/>
                <w:spacing w:val="-4"/>
                <w:szCs w:val="21"/>
                <w:highlight w:val="none"/>
                <w:lang w:val="en-US" w:eastAsia="zh-CN"/>
              </w:rPr>
              <w:t>8</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本项目</w:t>
            </w:r>
            <w:r>
              <w:rPr>
                <w:rFonts w:ascii="Times New Roman" w:hAnsi="Times New Roman" w:eastAsia="宋体" w:cs="宋体"/>
                <w:b/>
                <w:bCs/>
                <w:color w:val="auto"/>
                <w:spacing w:val="-4"/>
                <w:szCs w:val="21"/>
                <w:highlight w:val="none"/>
              </w:rPr>
              <w:t>有组织</w:t>
            </w:r>
            <w:r>
              <w:rPr>
                <w:rFonts w:hint="eastAsia" w:ascii="Times New Roman" w:hAnsi="Times New Roman" w:eastAsia="宋体" w:cs="宋体"/>
                <w:b/>
                <w:bCs/>
                <w:color w:val="auto"/>
                <w:spacing w:val="-4"/>
                <w:szCs w:val="21"/>
                <w:highlight w:val="none"/>
              </w:rPr>
              <w:t>废气排放情况表</w:t>
            </w:r>
          </w:p>
          <w:tbl>
            <w:tblPr>
              <w:tblStyle w:val="21"/>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78"/>
              <w:gridCol w:w="998"/>
              <w:gridCol w:w="1643"/>
              <w:gridCol w:w="875"/>
              <w:gridCol w:w="741"/>
              <w:gridCol w:w="1003"/>
              <w:gridCol w:w="875"/>
              <w:gridCol w:w="672"/>
              <w:gridCol w:w="652"/>
            </w:tblGrid>
            <w:tr w14:paraId="6EDE3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1171" w:type="pct"/>
                  <w:gridSpan w:val="2"/>
                  <w:vAlign w:val="center"/>
                </w:tcPr>
                <w:p w14:paraId="31913AD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污染源</w:t>
                  </w:r>
                </w:p>
              </w:tc>
              <w:tc>
                <w:tcPr>
                  <w:tcW w:w="973" w:type="pct"/>
                  <w:vMerge w:val="restart"/>
                  <w:vAlign w:val="center"/>
                </w:tcPr>
                <w:p w14:paraId="56AFA48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污染物名称</w:t>
                  </w:r>
                </w:p>
              </w:tc>
              <w:tc>
                <w:tcPr>
                  <w:tcW w:w="1551" w:type="pct"/>
                  <w:gridSpan w:val="3"/>
                  <w:vAlign w:val="center"/>
                </w:tcPr>
                <w:p w14:paraId="68D5A40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排放</w:t>
                  </w:r>
                  <w:r>
                    <w:rPr>
                      <w:rFonts w:ascii="Times New Roman" w:hAnsi="Times New Roman" w:eastAsia="宋体" w:cs="宋体"/>
                      <w:b/>
                      <w:color w:val="auto"/>
                      <w:kern w:val="0"/>
                      <w:szCs w:val="21"/>
                      <w:highlight w:val="none"/>
                    </w:rPr>
                    <w:t>情况</w:t>
                  </w:r>
                </w:p>
              </w:tc>
              <w:tc>
                <w:tcPr>
                  <w:tcW w:w="916" w:type="pct"/>
                  <w:gridSpan w:val="2"/>
                  <w:vAlign w:val="center"/>
                </w:tcPr>
                <w:p w14:paraId="69985E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执行标准</w:t>
                  </w:r>
                </w:p>
              </w:tc>
              <w:tc>
                <w:tcPr>
                  <w:tcW w:w="386" w:type="pct"/>
                  <w:vMerge w:val="restart"/>
                  <w:vAlign w:val="center"/>
                </w:tcPr>
                <w:p w14:paraId="087AF78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排放</w:t>
                  </w:r>
                </w:p>
                <w:p w14:paraId="74F7968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时间</w:t>
                  </w:r>
                </w:p>
              </w:tc>
            </w:tr>
            <w:tr w14:paraId="152C4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restart"/>
                  <w:vAlign w:val="center"/>
                </w:tcPr>
                <w:p w14:paraId="4924755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排气筒</w:t>
                  </w:r>
                </w:p>
              </w:tc>
              <w:tc>
                <w:tcPr>
                  <w:tcW w:w="591" w:type="pct"/>
                  <w:vAlign w:val="center"/>
                </w:tcPr>
                <w:p w14:paraId="2943187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排气量</w:t>
                  </w:r>
                </w:p>
              </w:tc>
              <w:tc>
                <w:tcPr>
                  <w:tcW w:w="973" w:type="pct"/>
                  <w:vMerge w:val="continue"/>
                  <w:vAlign w:val="center"/>
                </w:tcPr>
                <w:p w14:paraId="2D714D3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p>
              </w:tc>
              <w:tc>
                <w:tcPr>
                  <w:tcW w:w="518" w:type="pct"/>
                  <w:vAlign w:val="center"/>
                </w:tcPr>
                <w:p w14:paraId="1AEF66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浓度</w:t>
                  </w:r>
                </w:p>
              </w:tc>
              <w:tc>
                <w:tcPr>
                  <w:tcW w:w="439" w:type="pct"/>
                  <w:vAlign w:val="center"/>
                </w:tcPr>
                <w:p w14:paraId="0FE7879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速率</w:t>
                  </w:r>
                </w:p>
              </w:tc>
              <w:tc>
                <w:tcPr>
                  <w:tcW w:w="593" w:type="pct"/>
                  <w:vAlign w:val="center"/>
                </w:tcPr>
                <w:p w14:paraId="0C26E56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hint="eastAsia" w:cs="宋体"/>
                      <w:b/>
                      <w:color w:val="auto"/>
                      <w:kern w:val="0"/>
                      <w:szCs w:val="21"/>
                      <w:highlight w:val="none"/>
                      <w:lang w:val="en-US" w:eastAsia="zh-CN"/>
                    </w:rPr>
                    <w:t>排放</w:t>
                  </w:r>
                  <w:r>
                    <w:rPr>
                      <w:rFonts w:ascii="Times New Roman" w:hAnsi="Times New Roman" w:eastAsia="宋体" w:cs="宋体"/>
                      <w:b/>
                      <w:color w:val="auto"/>
                      <w:kern w:val="0"/>
                      <w:szCs w:val="21"/>
                      <w:highlight w:val="none"/>
                    </w:rPr>
                    <w:t>量</w:t>
                  </w:r>
                </w:p>
              </w:tc>
              <w:tc>
                <w:tcPr>
                  <w:tcW w:w="518" w:type="pct"/>
                  <w:vAlign w:val="center"/>
                </w:tcPr>
                <w:p w14:paraId="2AF5468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浓度</w:t>
                  </w:r>
                </w:p>
              </w:tc>
              <w:tc>
                <w:tcPr>
                  <w:tcW w:w="398" w:type="pct"/>
                  <w:vAlign w:val="center"/>
                </w:tcPr>
                <w:p w14:paraId="6678062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速率</w:t>
                  </w:r>
                </w:p>
              </w:tc>
              <w:tc>
                <w:tcPr>
                  <w:tcW w:w="386" w:type="pct"/>
                  <w:vMerge w:val="continue"/>
                  <w:vAlign w:val="center"/>
                </w:tcPr>
                <w:p w14:paraId="294D0D9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p>
              </w:tc>
            </w:tr>
            <w:tr w14:paraId="1CFB5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continue"/>
                  <w:vAlign w:val="center"/>
                </w:tcPr>
                <w:p w14:paraId="38EAF35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p>
              </w:tc>
              <w:tc>
                <w:tcPr>
                  <w:tcW w:w="591" w:type="pct"/>
                  <w:vAlign w:val="center"/>
                </w:tcPr>
                <w:p w14:paraId="12E7976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3</w:t>
                  </w:r>
                  <w:r>
                    <w:rPr>
                      <w:rFonts w:ascii="Times New Roman" w:hAnsi="Times New Roman" w:eastAsia="宋体" w:cs="宋体"/>
                      <w:color w:val="auto"/>
                      <w:kern w:val="0"/>
                      <w:szCs w:val="21"/>
                      <w:highlight w:val="none"/>
                    </w:rPr>
                    <w:t>/h</w:t>
                  </w:r>
                </w:p>
              </w:tc>
              <w:tc>
                <w:tcPr>
                  <w:tcW w:w="973" w:type="pct"/>
                  <w:vMerge w:val="continue"/>
                  <w:vAlign w:val="center"/>
                </w:tcPr>
                <w:p w14:paraId="741881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b/>
                      <w:color w:val="auto"/>
                      <w:kern w:val="0"/>
                      <w:szCs w:val="21"/>
                      <w:highlight w:val="none"/>
                    </w:rPr>
                  </w:pPr>
                </w:p>
              </w:tc>
              <w:tc>
                <w:tcPr>
                  <w:tcW w:w="518" w:type="pct"/>
                  <w:vAlign w:val="center"/>
                </w:tcPr>
                <w:p w14:paraId="2554C18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439" w:type="pct"/>
                  <w:vAlign w:val="center"/>
                </w:tcPr>
                <w:p w14:paraId="283AF0C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kg/h</w:t>
                  </w:r>
                </w:p>
              </w:tc>
              <w:tc>
                <w:tcPr>
                  <w:tcW w:w="593" w:type="pct"/>
                  <w:vAlign w:val="center"/>
                </w:tcPr>
                <w:p w14:paraId="3789904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t/a</w:t>
                  </w:r>
                </w:p>
              </w:tc>
              <w:tc>
                <w:tcPr>
                  <w:tcW w:w="518" w:type="pct"/>
                  <w:vAlign w:val="center"/>
                </w:tcPr>
                <w:p w14:paraId="27238DA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398" w:type="pct"/>
                  <w:vAlign w:val="center"/>
                </w:tcPr>
                <w:p w14:paraId="4C8FFE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kg/h</w:t>
                  </w:r>
                </w:p>
              </w:tc>
              <w:tc>
                <w:tcPr>
                  <w:tcW w:w="386" w:type="pct"/>
                  <w:vAlign w:val="center"/>
                </w:tcPr>
                <w:p w14:paraId="27CB1D6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h</w:t>
                  </w:r>
                </w:p>
              </w:tc>
            </w:tr>
            <w:tr w14:paraId="2F274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restart"/>
                  <w:vAlign w:val="center"/>
                </w:tcPr>
                <w:p w14:paraId="24454C1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rPr>
                    <w:t>FQ-</w:t>
                  </w:r>
                  <w:r>
                    <w:rPr>
                      <w:rFonts w:hint="eastAsia" w:ascii="Times New Roman" w:hAnsi="Times New Roman" w:eastAsia="宋体" w:cs="宋体"/>
                      <w:color w:val="auto"/>
                      <w:kern w:val="0"/>
                      <w:szCs w:val="21"/>
                      <w:highlight w:val="none"/>
                      <w:lang w:val="en-US" w:eastAsia="zh-CN"/>
                    </w:rPr>
                    <w:t>1</w:t>
                  </w:r>
                </w:p>
              </w:tc>
              <w:tc>
                <w:tcPr>
                  <w:tcW w:w="591" w:type="pct"/>
                  <w:vMerge w:val="restart"/>
                  <w:vAlign w:val="center"/>
                </w:tcPr>
                <w:p w14:paraId="44204E6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21247</w:t>
                  </w:r>
                </w:p>
              </w:tc>
              <w:tc>
                <w:tcPr>
                  <w:tcW w:w="973" w:type="pct"/>
                  <w:vAlign w:val="center"/>
                </w:tcPr>
                <w:p w14:paraId="12502F5A">
                  <w:pPr>
                    <w:keepNext w:val="0"/>
                    <w:keepLines w:val="0"/>
                    <w:pageBreakBefore w:val="0"/>
                    <w:widowControl w:val="0"/>
                    <w:tabs>
                      <w:tab w:val="left" w:pos="960"/>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颗粒物</w:t>
                  </w:r>
                </w:p>
              </w:tc>
              <w:tc>
                <w:tcPr>
                  <w:tcW w:w="518" w:type="pct"/>
                  <w:vAlign w:val="center"/>
                </w:tcPr>
                <w:p w14:paraId="5AB1BF5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2.64</w:t>
                  </w:r>
                </w:p>
              </w:tc>
              <w:tc>
                <w:tcPr>
                  <w:tcW w:w="439" w:type="pct"/>
                  <w:vAlign w:val="center"/>
                </w:tcPr>
                <w:p w14:paraId="3B95215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0.06</w:t>
                  </w:r>
                </w:p>
              </w:tc>
              <w:tc>
                <w:tcPr>
                  <w:tcW w:w="593" w:type="pct"/>
                  <w:vAlign w:val="center"/>
                </w:tcPr>
                <w:p w14:paraId="72F0458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0.067</w:t>
                  </w:r>
                </w:p>
              </w:tc>
              <w:tc>
                <w:tcPr>
                  <w:tcW w:w="518" w:type="pct"/>
                  <w:vAlign w:val="center"/>
                </w:tcPr>
                <w:p w14:paraId="2FFB884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w:t>
                  </w:r>
                  <w:r>
                    <w:rPr>
                      <w:rFonts w:hint="eastAsia" w:ascii="Times New Roman" w:hAnsi="Times New Roman" w:eastAsia="宋体" w:cs="宋体"/>
                      <w:color w:val="auto"/>
                      <w:kern w:val="0"/>
                      <w:szCs w:val="21"/>
                      <w:highlight w:val="none"/>
                      <w:lang w:val="en-US" w:eastAsia="zh-CN"/>
                    </w:rPr>
                    <w:t>0</w:t>
                  </w:r>
                </w:p>
              </w:tc>
              <w:tc>
                <w:tcPr>
                  <w:tcW w:w="398" w:type="pct"/>
                  <w:vAlign w:val="center"/>
                </w:tcPr>
                <w:p w14:paraId="28D63B8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restart"/>
                  <w:vAlign w:val="center"/>
                </w:tcPr>
                <w:p w14:paraId="0879418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12</w:t>
                  </w:r>
                  <w:r>
                    <w:rPr>
                      <w:rFonts w:hint="eastAsia" w:ascii="Times New Roman" w:hAnsi="Times New Roman" w:eastAsia="宋体" w:cs="宋体"/>
                      <w:color w:val="auto"/>
                      <w:kern w:val="0"/>
                      <w:szCs w:val="21"/>
                      <w:highlight w:val="none"/>
                      <w:lang w:val="en-US" w:eastAsia="zh-CN"/>
                    </w:rPr>
                    <w:t>00</w:t>
                  </w:r>
                </w:p>
              </w:tc>
            </w:tr>
            <w:tr w14:paraId="69396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continue"/>
                  <w:vAlign w:val="center"/>
                </w:tcPr>
                <w:p w14:paraId="12D13E6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kern w:val="0"/>
                      <w:szCs w:val="21"/>
                      <w:highlight w:val="none"/>
                    </w:rPr>
                  </w:pPr>
                </w:p>
              </w:tc>
              <w:tc>
                <w:tcPr>
                  <w:tcW w:w="591" w:type="pct"/>
                  <w:vMerge w:val="continue"/>
                  <w:vAlign w:val="center"/>
                </w:tcPr>
                <w:p w14:paraId="7013367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cs="宋体"/>
                      <w:color w:val="auto"/>
                      <w:kern w:val="0"/>
                      <w:szCs w:val="21"/>
                      <w:highlight w:val="none"/>
                      <w:lang w:val="en-US" w:eastAsia="zh-CN"/>
                    </w:rPr>
                  </w:pPr>
                </w:p>
              </w:tc>
              <w:tc>
                <w:tcPr>
                  <w:tcW w:w="973" w:type="pct"/>
                  <w:vAlign w:val="center"/>
                </w:tcPr>
                <w:p w14:paraId="5199B4A5">
                  <w:pPr>
                    <w:keepNext w:val="0"/>
                    <w:keepLines w:val="0"/>
                    <w:pageBreakBefore w:val="0"/>
                    <w:widowControl w:val="0"/>
                    <w:tabs>
                      <w:tab w:val="left" w:pos="960"/>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二氧化硫</w:t>
                  </w:r>
                </w:p>
              </w:tc>
              <w:tc>
                <w:tcPr>
                  <w:tcW w:w="518" w:type="pct"/>
                  <w:vAlign w:val="center"/>
                </w:tcPr>
                <w:p w14:paraId="60AE91B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0.98</w:t>
                  </w:r>
                </w:p>
              </w:tc>
              <w:tc>
                <w:tcPr>
                  <w:tcW w:w="439" w:type="pct"/>
                  <w:vAlign w:val="center"/>
                </w:tcPr>
                <w:p w14:paraId="7BA2E0C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0.018</w:t>
                  </w:r>
                </w:p>
              </w:tc>
              <w:tc>
                <w:tcPr>
                  <w:tcW w:w="593" w:type="pct"/>
                  <w:vAlign w:val="center"/>
                </w:tcPr>
                <w:p w14:paraId="7D2F7FB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0.022</w:t>
                  </w:r>
                </w:p>
              </w:tc>
              <w:tc>
                <w:tcPr>
                  <w:tcW w:w="518" w:type="pct"/>
                  <w:vAlign w:val="center"/>
                </w:tcPr>
                <w:p w14:paraId="252D4E6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100</w:t>
                  </w:r>
                </w:p>
              </w:tc>
              <w:tc>
                <w:tcPr>
                  <w:tcW w:w="398" w:type="pct"/>
                  <w:vAlign w:val="center"/>
                </w:tcPr>
                <w:p w14:paraId="1651CF7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continue"/>
                  <w:vAlign w:val="center"/>
                </w:tcPr>
                <w:p w14:paraId="0EBBDC1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val="en-US" w:eastAsia="zh-CN"/>
                    </w:rPr>
                  </w:pPr>
                </w:p>
              </w:tc>
            </w:tr>
            <w:tr w14:paraId="27E5B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continue"/>
                  <w:vAlign w:val="center"/>
                </w:tcPr>
                <w:p w14:paraId="3AE839B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kern w:val="0"/>
                      <w:szCs w:val="21"/>
                      <w:highlight w:val="none"/>
                    </w:rPr>
                  </w:pPr>
                </w:p>
              </w:tc>
              <w:tc>
                <w:tcPr>
                  <w:tcW w:w="591" w:type="pct"/>
                  <w:vMerge w:val="continue"/>
                  <w:vAlign w:val="center"/>
                </w:tcPr>
                <w:p w14:paraId="4A217E2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cs="宋体"/>
                      <w:color w:val="auto"/>
                      <w:kern w:val="0"/>
                      <w:szCs w:val="21"/>
                      <w:highlight w:val="none"/>
                      <w:lang w:val="en-US" w:eastAsia="zh-CN"/>
                    </w:rPr>
                  </w:pPr>
                </w:p>
              </w:tc>
              <w:tc>
                <w:tcPr>
                  <w:tcW w:w="973" w:type="pct"/>
                  <w:vAlign w:val="center"/>
                </w:tcPr>
                <w:p w14:paraId="44341C0F">
                  <w:pPr>
                    <w:keepNext w:val="0"/>
                    <w:keepLines w:val="0"/>
                    <w:pageBreakBefore w:val="0"/>
                    <w:widowControl w:val="0"/>
                    <w:tabs>
                      <w:tab w:val="left" w:pos="960"/>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氮氧化物</w:t>
                  </w:r>
                </w:p>
              </w:tc>
              <w:tc>
                <w:tcPr>
                  <w:tcW w:w="518" w:type="pct"/>
                  <w:vAlign w:val="center"/>
                </w:tcPr>
                <w:p w14:paraId="4D3C459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9.16</w:t>
                  </w:r>
                </w:p>
              </w:tc>
              <w:tc>
                <w:tcPr>
                  <w:tcW w:w="439" w:type="pct"/>
                  <w:vAlign w:val="center"/>
                </w:tcPr>
                <w:p w14:paraId="4A0DCE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0.172</w:t>
                  </w:r>
                </w:p>
              </w:tc>
              <w:tc>
                <w:tcPr>
                  <w:tcW w:w="593" w:type="pct"/>
                  <w:vAlign w:val="center"/>
                </w:tcPr>
                <w:p w14:paraId="46D996E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0.206</w:t>
                  </w:r>
                </w:p>
              </w:tc>
              <w:tc>
                <w:tcPr>
                  <w:tcW w:w="518" w:type="pct"/>
                  <w:vAlign w:val="center"/>
                </w:tcPr>
                <w:p w14:paraId="296B171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400</w:t>
                  </w:r>
                </w:p>
              </w:tc>
              <w:tc>
                <w:tcPr>
                  <w:tcW w:w="398" w:type="pct"/>
                  <w:vAlign w:val="center"/>
                </w:tcPr>
                <w:p w14:paraId="1BD229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continue"/>
                  <w:vAlign w:val="center"/>
                </w:tcPr>
                <w:p w14:paraId="7641ED4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val="en-US" w:eastAsia="zh-CN"/>
                    </w:rPr>
                  </w:pPr>
                </w:p>
              </w:tc>
            </w:tr>
            <w:tr w14:paraId="38794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Merge w:val="continue"/>
                  <w:vAlign w:val="center"/>
                </w:tcPr>
                <w:p w14:paraId="16453B9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p>
              </w:tc>
              <w:tc>
                <w:tcPr>
                  <w:tcW w:w="591" w:type="pct"/>
                  <w:vMerge w:val="continue"/>
                  <w:vAlign w:val="center"/>
                </w:tcPr>
                <w:p w14:paraId="58CFF13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p>
              </w:tc>
              <w:tc>
                <w:tcPr>
                  <w:tcW w:w="973" w:type="pct"/>
                  <w:vAlign w:val="center"/>
                </w:tcPr>
                <w:p w14:paraId="2A8FD0B4">
                  <w:pPr>
                    <w:keepNext w:val="0"/>
                    <w:keepLines w:val="0"/>
                    <w:pageBreakBefore w:val="0"/>
                    <w:widowControl w:val="0"/>
                    <w:tabs>
                      <w:tab w:val="left" w:pos="960"/>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非甲烷总烃</w:t>
                  </w:r>
                </w:p>
              </w:tc>
              <w:tc>
                <w:tcPr>
                  <w:tcW w:w="518" w:type="pct"/>
                  <w:vAlign w:val="center"/>
                </w:tcPr>
                <w:p w14:paraId="39C8841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w:t>
                  </w:r>
                </w:p>
              </w:tc>
              <w:tc>
                <w:tcPr>
                  <w:tcW w:w="439" w:type="pct"/>
                  <w:vAlign w:val="center"/>
                </w:tcPr>
                <w:p w14:paraId="06375EC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0.11</w:t>
                  </w:r>
                </w:p>
              </w:tc>
              <w:tc>
                <w:tcPr>
                  <w:tcW w:w="593" w:type="pct"/>
                  <w:vAlign w:val="center"/>
                </w:tcPr>
                <w:p w14:paraId="1C905D0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0.135</w:t>
                  </w:r>
                </w:p>
              </w:tc>
              <w:tc>
                <w:tcPr>
                  <w:tcW w:w="518" w:type="pct"/>
                  <w:vAlign w:val="center"/>
                </w:tcPr>
                <w:p w14:paraId="5C65F64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398" w:type="pct"/>
                  <w:vAlign w:val="center"/>
                </w:tcPr>
                <w:p w14:paraId="23687B2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w:t>
                  </w:r>
                </w:p>
              </w:tc>
              <w:tc>
                <w:tcPr>
                  <w:tcW w:w="386" w:type="pct"/>
                  <w:vMerge w:val="continue"/>
                  <w:vAlign w:val="center"/>
                </w:tcPr>
                <w:p w14:paraId="15D2BBD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p>
              </w:tc>
            </w:tr>
            <w:tr w14:paraId="7C393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80" w:type="pct"/>
                  <w:vAlign w:val="center"/>
                </w:tcPr>
                <w:p w14:paraId="740F12A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591" w:type="pct"/>
                  <w:vAlign w:val="center"/>
                </w:tcPr>
                <w:p w14:paraId="6F5A2E4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5000</w:t>
                  </w:r>
                </w:p>
              </w:tc>
              <w:tc>
                <w:tcPr>
                  <w:tcW w:w="973" w:type="pct"/>
                  <w:vAlign w:val="center"/>
                </w:tcPr>
                <w:p w14:paraId="580BC308">
                  <w:pPr>
                    <w:keepNext w:val="0"/>
                    <w:keepLines w:val="0"/>
                    <w:pageBreakBefore w:val="0"/>
                    <w:widowControl w:val="0"/>
                    <w:tabs>
                      <w:tab w:val="left" w:pos="960"/>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518" w:type="pct"/>
                  <w:vAlign w:val="center"/>
                </w:tcPr>
                <w:p w14:paraId="78C5559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5.2</w:t>
                  </w:r>
                </w:p>
              </w:tc>
              <w:tc>
                <w:tcPr>
                  <w:tcW w:w="439" w:type="pct"/>
                  <w:vAlign w:val="center"/>
                </w:tcPr>
                <w:p w14:paraId="436C617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0.026</w:t>
                  </w:r>
                </w:p>
              </w:tc>
              <w:tc>
                <w:tcPr>
                  <w:tcW w:w="593" w:type="pct"/>
                  <w:vAlign w:val="center"/>
                </w:tcPr>
                <w:p w14:paraId="17085944">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0.125</w:t>
                  </w:r>
                </w:p>
              </w:tc>
              <w:tc>
                <w:tcPr>
                  <w:tcW w:w="518" w:type="pct"/>
                  <w:vAlign w:val="center"/>
                </w:tcPr>
                <w:p w14:paraId="131C4E3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30</w:t>
                  </w:r>
                </w:p>
              </w:tc>
              <w:tc>
                <w:tcPr>
                  <w:tcW w:w="398" w:type="pct"/>
                  <w:vAlign w:val="center"/>
                </w:tcPr>
                <w:p w14:paraId="26C0E5C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Align w:val="center"/>
                </w:tcPr>
                <w:p w14:paraId="5D91462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4800</w:t>
                  </w:r>
                </w:p>
              </w:tc>
            </w:tr>
          </w:tbl>
          <w:p w14:paraId="4088A86F">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hint="eastAsia" w:ascii="Times New Roman" w:hAnsi="Times New Roman" w:eastAsia="宋体" w:cs="宋体"/>
                <w:b/>
                <w:bCs/>
                <w:color w:val="auto"/>
                <w:spacing w:val="-4"/>
                <w:szCs w:val="21"/>
                <w:highlight w:val="none"/>
                <w:lang w:val="en-US" w:eastAsia="zh-CN"/>
              </w:rPr>
              <w:t>9</w:t>
            </w:r>
            <w:r>
              <w:rPr>
                <w:rFonts w:hint="eastAsia" w:ascii="Times New Roman" w:hAnsi="Times New Roman" w:eastAsia="宋体" w:cs="宋体"/>
                <w:b/>
                <w:bCs/>
                <w:color w:val="auto"/>
                <w:spacing w:val="-4"/>
                <w:szCs w:val="21"/>
                <w:highlight w:val="none"/>
              </w:rPr>
              <w:t xml:space="preserve">  </w:t>
            </w:r>
            <w:r>
              <w:rPr>
                <w:rFonts w:hint="eastAsia" w:ascii="Times New Roman" w:hAnsi="Times New Roman" w:eastAsia="宋体" w:cs="宋体"/>
                <w:b/>
                <w:bCs/>
                <w:color w:val="auto"/>
                <w:spacing w:val="-4"/>
                <w:szCs w:val="21"/>
                <w:highlight w:val="none"/>
                <w:lang w:val="en-US" w:eastAsia="zh-CN"/>
              </w:rPr>
              <w:t>全厂</w:t>
            </w:r>
            <w:r>
              <w:rPr>
                <w:rFonts w:hint="eastAsia" w:cs="宋体"/>
                <w:b/>
                <w:bCs/>
                <w:color w:val="auto"/>
                <w:spacing w:val="-4"/>
                <w:szCs w:val="21"/>
                <w:highlight w:val="none"/>
                <w:lang w:val="en-US" w:eastAsia="zh-CN"/>
              </w:rPr>
              <w:t>项目</w:t>
            </w:r>
            <w:r>
              <w:rPr>
                <w:rFonts w:ascii="Times New Roman" w:hAnsi="Times New Roman" w:eastAsia="宋体" w:cs="宋体"/>
                <w:b/>
                <w:bCs/>
                <w:color w:val="auto"/>
                <w:spacing w:val="-4"/>
                <w:szCs w:val="21"/>
                <w:highlight w:val="none"/>
              </w:rPr>
              <w:t>有组织</w:t>
            </w:r>
            <w:r>
              <w:rPr>
                <w:rFonts w:hint="eastAsia" w:ascii="Times New Roman" w:hAnsi="Times New Roman" w:eastAsia="宋体" w:cs="宋体"/>
                <w:b/>
                <w:bCs/>
                <w:color w:val="auto"/>
                <w:spacing w:val="-4"/>
                <w:szCs w:val="21"/>
                <w:highlight w:val="none"/>
              </w:rPr>
              <w:t>废气排放情况表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79"/>
              <w:gridCol w:w="998"/>
              <w:gridCol w:w="1643"/>
              <w:gridCol w:w="876"/>
              <w:gridCol w:w="741"/>
              <w:gridCol w:w="1001"/>
              <w:gridCol w:w="876"/>
              <w:gridCol w:w="670"/>
              <w:gridCol w:w="652"/>
            </w:tblGrid>
            <w:tr w14:paraId="05FA0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pct"/>
                  <w:gridSpan w:val="2"/>
                  <w:vAlign w:val="center"/>
                </w:tcPr>
                <w:p w14:paraId="2045E13A">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污染源</w:t>
                  </w:r>
                </w:p>
              </w:tc>
              <w:tc>
                <w:tcPr>
                  <w:tcW w:w="973" w:type="pct"/>
                  <w:vMerge w:val="restart"/>
                  <w:vAlign w:val="center"/>
                </w:tcPr>
                <w:p w14:paraId="65631273">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污染物名称</w:t>
                  </w:r>
                </w:p>
              </w:tc>
              <w:tc>
                <w:tcPr>
                  <w:tcW w:w="1551" w:type="pct"/>
                  <w:gridSpan w:val="3"/>
                  <w:vAlign w:val="center"/>
                </w:tcPr>
                <w:p w14:paraId="3A70C18D">
                  <w:pPr>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排放</w:t>
                  </w:r>
                  <w:r>
                    <w:rPr>
                      <w:rFonts w:ascii="Times New Roman" w:hAnsi="Times New Roman" w:eastAsia="宋体" w:cs="宋体"/>
                      <w:b/>
                      <w:color w:val="auto"/>
                      <w:kern w:val="0"/>
                      <w:szCs w:val="21"/>
                      <w:highlight w:val="none"/>
                    </w:rPr>
                    <w:t>情况</w:t>
                  </w:r>
                </w:p>
              </w:tc>
              <w:tc>
                <w:tcPr>
                  <w:tcW w:w="916" w:type="pct"/>
                  <w:gridSpan w:val="2"/>
                  <w:vAlign w:val="center"/>
                </w:tcPr>
                <w:p w14:paraId="48B43AE1">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执行标准</w:t>
                  </w:r>
                </w:p>
              </w:tc>
              <w:tc>
                <w:tcPr>
                  <w:tcW w:w="386" w:type="pct"/>
                  <w:vMerge w:val="restart"/>
                  <w:vAlign w:val="center"/>
                </w:tcPr>
                <w:p w14:paraId="6E31528E">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排放</w:t>
                  </w:r>
                </w:p>
                <w:p w14:paraId="3E207BF4">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时间</w:t>
                  </w:r>
                </w:p>
              </w:tc>
            </w:tr>
            <w:tr w14:paraId="226FB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restart"/>
                  <w:vAlign w:val="center"/>
                </w:tcPr>
                <w:p w14:paraId="63A06DE9">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排气筒</w:t>
                  </w:r>
                </w:p>
              </w:tc>
              <w:tc>
                <w:tcPr>
                  <w:tcW w:w="591" w:type="pct"/>
                  <w:vAlign w:val="center"/>
                </w:tcPr>
                <w:p w14:paraId="07F0DDAE">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排气量</w:t>
                  </w:r>
                </w:p>
              </w:tc>
              <w:tc>
                <w:tcPr>
                  <w:tcW w:w="973" w:type="pct"/>
                  <w:vMerge w:val="continue"/>
                  <w:vAlign w:val="center"/>
                </w:tcPr>
                <w:p w14:paraId="00697B5F">
                  <w:pPr>
                    <w:snapToGrid w:val="0"/>
                    <w:jc w:val="center"/>
                    <w:rPr>
                      <w:rFonts w:ascii="Times New Roman" w:hAnsi="Times New Roman" w:eastAsia="宋体" w:cs="宋体"/>
                      <w:b/>
                      <w:color w:val="auto"/>
                      <w:kern w:val="0"/>
                      <w:szCs w:val="21"/>
                      <w:highlight w:val="none"/>
                    </w:rPr>
                  </w:pPr>
                </w:p>
              </w:tc>
              <w:tc>
                <w:tcPr>
                  <w:tcW w:w="519" w:type="pct"/>
                  <w:vAlign w:val="center"/>
                </w:tcPr>
                <w:p w14:paraId="73DB7F41">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浓度</w:t>
                  </w:r>
                </w:p>
              </w:tc>
              <w:tc>
                <w:tcPr>
                  <w:tcW w:w="439" w:type="pct"/>
                  <w:vAlign w:val="center"/>
                </w:tcPr>
                <w:p w14:paraId="3B5AE315">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速率</w:t>
                  </w:r>
                </w:p>
              </w:tc>
              <w:tc>
                <w:tcPr>
                  <w:tcW w:w="593" w:type="pct"/>
                  <w:vAlign w:val="center"/>
                </w:tcPr>
                <w:p w14:paraId="486D704A">
                  <w:pPr>
                    <w:snapToGrid w:val="0"/>
                    <w:jc w:val="center"/>
                    <w:rPr>
                      <w:rFonts w:ascii="Times New Roman" w:hAnsi="Times New Roman" w:eastAsia="宋体" w:cs="宋体"/>
                      <w:b/>
                      <w:color w:val="auto"/>
                      <w:kern w:val="0"/>
                      <w:szCs w:val="21"/>
                      <w:highlight w:val="none"/>
                    </w:rPr>
                  </w:pPr>
                  <w:r>
                    <w:rPr>
                      <w:rFonts w:hint="eastAsia" w:cs="宋体"/>
                      <w:b/>
                      <w:color w:val="auto"/>
                      <w:kern w:val="0"/>
                      <w:szCs w:val="21"/>
                      <w:highlight w:val="none"/>
                      <w:lang w:val="en-US" w:eastAsia="zh-CN"/>
                    </w:rPr>
                    <w:t>排放</w:t>
                  </w:r>
                  <w:r>
                    <w:rPr>
                      <w:rFonts w:ascii="Times New Roman" w:hAnsi="Times New Roman" w:eastAsia="宋体" w:cs="宋体"/>
                      <w:b/>
                      <w:color w:val="auto"/>
                      <w:kern w:val="0"/>
                      <w:szCs w:val="21"/>
                      <w:highlight w:val="none"/>
                    </w:rPr>
                    <w:t>量</w:t>
                  </w:r>
                </w:p>
              </w:tc>
              <w:tc>
                <w:tcPr>
                  <w:tcW w:w="519" w:type="pct"/>
                  <w:vAlign w:val="center"/>
                </w:tcPr>
                <w:p w14:paraId="6675A174">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浓度</w:t>
                  </w:r>
                </w:p>
              </w:tc>
              <w:tc>
                <w:tcPr>
                  <w:tcW w:w="397" w:type="pct"/>
                  <w:vAlign w:val="center"/>
                </w:tcPr>
                <w:p w14:paraId="153F957A">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速率</w:t>
                  </w:r>
                </w:p>
              </w:tc>
              <w:tc>
                <w:tcPr>
                  <w:tcW w:w="386" w:type="pct"/>
                  <w:vMerge w:val="continue"/>
                  <w:vAlign w:val="center"/>
                </w:tcPr>
                <w:p w14:paraId="067735A0">
                  <w:pPr>
                    <w:snapToGrid w:val="0"/>
                    <w:jc w:val="center"/>
                    <w:rPr>
                      <w:rFonts w:ascii="Times New Roman" w:hAnsi="Times New Roman" w:eastAsia="宋体" w:cs="宋体"/>
                      <w:b/>
                      <w:color w:val="auto"/>
                      <w:kern w:val="0"/>
                      <w:szCs w:val="21"/>
                      <w:highlight w:val="none"/>
                    </w:rPr>
                  </w:pPr>
                </w:p>
              </w:tc>
            </w:tr>
            <w:tr w14:paraId="1905D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continue"/>
                  <w:vAlign w:val="center"/>
                </w:tcPr>
                <w:p w14:paraId="52729B05">
                  <w:pPr>
                    <w:snapToGrid w:val="0"/>
                    <w:jc w:val="center"/>
                    <w:rPr>
                      <w:rFonts w:ascii="Times New Roman" w:hAnsi="Times New Roman" w:eastAsia="宋体" w:cs="宋体"/>
                      <w:b/>
                      <w:color w:val="auto"/>
                      <w:kern w:val="0"/>
                      <w:szCs w:val="21"/>
                      <w:highlight w:val="none"/>
                    </w:rPr>
                  </w:pPr>
                </w:p>
              </w:tc>
              <w:tc>
                <w:tcPr>
                  <w:tcW w:w="591" w:type="pct"/>
                  <w:vAlign w:val="center"/>
                </w:tcPr>
                <w:p w14:paraId="2E6DDFE2">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3</w:t>
                  </w:r>
                  <w:r>
                    <w:rPr>
                      <w:rFonts w:ascii="Times New Roman" w:hAnsi="Times New Roman" w:eastAsia="宋体" w:cs="宋体"/>
                      <w:color w:val="auto"/>
                      <w:kern w:val="0"/>
                      <w:szCs w:val="21"/>
                      <w:highlight w:val="none"/>
                    </w:rPr>
                    <w:t>/h</w:t>
                  </w:r>
                </w:p>
              </w:tc>
              <w:tc>
                <w:tcPr>
                  <w:tcW w:w="973" w:type="pct"/>
                  <w:vMerge w:val="continue"/>
                  <w:vAlign w:val="center"/>
                </w:tcPr>
                <w:p w14:paraId="63EAFAA6">
                  <w:pPr>
                    <w:snapToGrid w:val="0"/>
                    <w:jc w:val="center"/>
                    <w:rPr>
                      <w:rFonts w:ascii="Times New Roman" w:hAnsi="Times New Roman" w:eastAsia="宋体" w:cs="宋体"/>
                      <w:b/>
                      <w:color w:val="auto"/>
                      <w:kern w:val="0"/>
                      <w:szCs w:val="21"/>
                      <w:highlight w:val="none"/>
                    </w:rPr>
                  </w:pPr>
                </w:p>
              </w:tc>
              <w:tc>
                <w:tcPr>
                  <w:tcW w:w="519" w:type="pct"/>
                  <w:vAlign w:val="center"/>
                </w:tcPr>
                <w:p w14:paraId="12A9DB18">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439" w:type="pct"/>
                  <w:vAlign w:val="center"/>
                </w:tcPr>
                <w:p w14:paraId="0CC63EB5">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kg/h</w:t>
                  </w:r>
                </w:p>
              </w:tc>
              <w:tc>
                <w:tcPr>
                  <w:tcW w:w="593" w:type="pct"/>
                  <w:vAlign w:val="center"/>
                </w:tcPr>
                <w:p w14:paraId="72C0DB39">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t/a</w:t>
                  </w:r>
                </w:p>
              </w:tc>
              <w:tc>
                <w:tcPr>
                  <w:tcW w:w="519" w:type="pct"/>
                  <w:vAlign w:val="center"/>
                </w:tcPr>
                <w:p w14:paraId="6389C8CE">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397" w:type="pct"/>
                  <w:vAlign w:val="center"/>
                </w:tcPr>
                <w:p w14:paraId="2BD1C2BA">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kg/h</w:t>
                  </w:r>
                </w:p>
              </w:tc>
              <w:tc>
                <w:tcPr>
                  <w:tcW w:w="386" w:type="pct"/>
                  <w:vAlign w:val="center"/>
                </w:tcPr>
                <w:p w14:paraId="565AD097">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h</w:t>
                  </w:r>
                </w:p>
              </w:tc>
            </w:tr>
            <w:tr w14:paraId="7D322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restart"/>
                  <w:vAlign w:val="center"/>
                </w:tcPr>
                <w:p w14:paraId="3E65F812">
                  <w:pPr>
                    <w:snapToGrid w:val="0"/>
                    <w:jc w:val="center"/>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rPr>
                    <w:t>FQ-</w:t>
                  </w:r>
                  <w:r>
                    <w:rPr>
                      <w:rFonts w:hint="eastAsia" w:ascii="Times New Roman" w:hAnsi="Times New Roman" w:eastAsia="宋体" w:cs="宋体"/>
                      <w:color w:val="auto"/>
                      <w:kern w:val="0"/>
                      <w:szCs w:val="21"/>
                      <w:highlight w:val="none"/>
                      <w:lang w:val="en-US" w:eastAsia="zh-CN"/>
                    </w:rPr>
                    <w:t>1</w:t>
                  </w:r>
                </w:p>
              </w:tc>
              <w:tc>
                <w:tcPr>
                  <w:tcW w:w="591" w:type="pct"/>
                  <w:vMerge w:val="restart"/>
                  <w:vAlign w:val="center"/>
                </w:tcPr>
                <w:p w14:paraId="3CD9F3F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21247</w:t>
                  </w:r>
                </w:p>
              </w:tc>
              <w:tc>
                <w:tcPr>
                  <w:tcW w:w="973" w:type="pct"/>
                  <w:vAlign w:val="center"/>
                </w:tcPr>
                <w:p w14:paraId="3AC4CF75">
                  <w:pPr>
                    <w:tabs>
                      <w:tab w:val="left" w:pos="960"/>
                    </w:tabs>
                    <w:snapToGrid w:val="0"/>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val="en-US" w:eastAsia="zh-CN"/>
                    </w:rPr>
                    <w:t>颗粒物</w:t>
                  </w:r>
                </w:p>
              </w:tc>
              <w:tc>
                <w:tcPr>
                  <w:tcW w:w="519" w:type="pct"/>
                  <w:vAlign w:val="center"/>
                </w:tcPr>
                <w:p w14:paraId="35E759E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2.64</w:t>
                  </w:r>
                </w:p>
              </w:tc>
              <w:tc>
                <w:tcPr>
                  <w:tcW w:w="439" w:type="pct"/>
                  <w:vAlign w:val="center"/>
                </w:tcPr>
                <w:p w14:paraId="7166366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0.06</w:t>
                  </w:r>
                </w:p>
              </w:tc>
              <w:tc>
                <w:tcPr>
                  <w:tcW w:w="593" w:type="pct"/>
                  <w:vAlign w:val="center"/>
                </w:tcPr>
                <w:p w14:paraId="520972C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0.067</w:t>
                  </w:r>
                </w:p>
              </w:tc>
              <w:tc>
                <w:tcPr>
                  <w:tcW w:w="519" w:type="pct"/>
                  <w:vAlign w:val="center"/>
                </w:tcPr>
                <w:p w14:paraId="1944830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w:t>
                  </w:r>
                  <w:r>
                    <w:rPr>
                      <w:rFonts w:hint="eastAsia" w:ascii="Times New Roman" w:hAnsi="Times New Roman" w:eastAsia="宋体" w:cs="宋体"/>
                      <w:color w:val="auto"/>
                      <w:kern w:val="0"/>
                      <w:szCs w:val="21"/>
                      <w:highlight w:val="none"/>
                      <w:lang w:val="en-US" w:eastAsia="zh-CN"/>
                    </w:rPr>
                    <w:t>0</w:t>
                  </w:r>
                </w:p>
              </w:tc>
              <w:tc>
                <w:tcPr>
                  <w:tcW w:w="397" w:type="pct"/>
                  <w:vAlign w:val="center"/>
                </w:tcPr>
                <w:p w14:paraId="0029506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restart"/>
                  <w:vAlign w:val="center"/>
                </w:tcPr>
                <w:p w14:paraId="5FDC7B5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12</w:t>
                  </w:r>
                  <w:r>
                    <w:rPr>
                      <w:rFonts w:hint="eastAsia" w:ascii="Times New Roman" w:hAnsi="Times New Roman" w:eastAsia="宋体" w:cs="宋体"/>
                      <w:color w:val="auto"/>
                      <w:kern w:val="0"/>
                      <w:szCs w:val="21"/>
                      <w:highlight w:val="none"/>
                      <w:lang w:val="en-US" w:eastAsia="zh-CN"/>
                    </w:rPr>
                    <w:t>00</w:t>
                  </w:r>
                </w:p>
              </w:tc>
            </w:tr>
            <w:tr w14:paraId="7FE65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continue"/>
                  <w:vAlign w:val="center"/>
                </w:tcPr>
                <w:p w14:paraId="4EE1D13F">
                  <w:pPr>
                    <w:snapToGrid w:val="0"/>
                    <w:jc w:val="center"/>
                    <w:rPr>
                      <w:rFonts w:hint="eastAsia" w:ascii="Times New Roman" w:hAnsi="Times New Roman" w:eastAsia="宋体" w:cs="宋体"/>
                      <w:color w:val="auto"/>
                      <w:kern w:val="0"/>
                      <w:szCs w:val="21"/>
                      <w:highlight w:val="none"/>
                    </w:rPr>
                  </w:pPr>
                </w:p>
              </w:tc>
              <w:tc>
                <w:tcPr>
                  <w:tcW w:w="591" w:type="pct"/>
                  <w:vMerge w:val="continue"/>
                  <w:vAlign w:val="center"/>
                </w:tcPr>
                <w:p w14:paraId="22A4086D">
                  <w:pPr>
                    <w:snapToGrid w:val="0"/>
                    <w:jc w:val="center"/>
                    <w:rPr>
                      <w:rFonts w:hint="eastAsia" w:cs="宋体"/>
                      <w:color w:val="auto"/>
                      <w:kern w:val="0"/>
                      <w:szCs w:val="21"/>
                      <w:highlight w:val="none"/>
                      <w:lang w:val="en-US" w:eastAsia="zh-CN"/>
                    </w:rPr>
                  </w:pPr>
                </w:p>
              </w:tc>
              <w:tc>
                <w:tcPr>
                  <w:tcW w:w="973" w:type="pct"/>
                  <w:vAlign w:val="center"/>
                </w:tcPr>
                <w:p w14:paraId="72C263C1">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二氧化硫</w:t>
                  </w:r>
                </w:p>
              </w:tc>
              <w:tc>
                <w:tcPr>
                  <w:tcW w:w="519" w:type="pct"/>
                  <w:vAlign w:val="center"/>
                </w:tcPr>
                <w:p w14:paraId="71E5E45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0.98</w:t>
                  </w:r>
                </w:p>
              </w:tc>
              <w:tc>
                <w:tcPr>
                  <w:tcW w:w="439" w:type="pct"/>
                  <w:vAlign w:val="center"/>
                </w:tcPr>
                <w:p w14:paraId="177D5BB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0.018</w:t>
                  </w:r>
                </w:p>
              </w:tc>
              <w:tc>
                <w:tcPr>
                  <w:tcW w:w="593" w:type="pct"/>
                  <w:vAlign w:val="center"/>
                </w:tcPr>
                <w:p w14:paraId="5D852E7C">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0.022</w:t>
                  </w:r>
                </w:p>
              </w:tc>
              <w:tc>
                <w:tcPr>
                  <w:tcW w:w="519" w:type="pct"/>
                  <w:vAlign w:val="center"/>
                </w:tcPr>
                <w:p w14:paraId="6375914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100</w:t>
                  </w:r>
                </w:p>
              </w:tc>
              <w:tc>
                <w:tcPr>
                  <w:tcW w:w="397" w:type="pct"/>
                  <w:vAlign w:val="center"/>
                </w:tcPr>
                <w:p w14:paraId="1439764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continue"/>
                  <w:vAlign w:val="center"/>
                </w:tcPr>
                <w:p w14:paraId="2EC8759A">
                  <w:pPr>
                    <w:snapToGrid w:val="0"/>
                    <w:jc w:val="center"/>
                    <w:rPr>
                      <w:rFonts w:hint="eastAsia" w:ascii="Times New Roman" w:hAnsi="Times New Roman" w:eastAsia="宋体" w:cs="宋体"/>
                      <w:color w:val="auto"/>
                      <w:kern w:val="0"/>
                      <w:szCs w:val="21"/>
                      <w:highlight w:val="none"/>
                      <w:lang w:val="en-US" w:eastAsia="zh-CN"/>
                    </w:rPr>
                  </w:pPr>
                </w:p>
              </w:tc>
            </w:tr>
            <w:tr w14:paraId="02E28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continue"/>
                  <w:vAlign w:val="center"/>
                </w:tcPr>
                <w:p w14:paraId="6195640F">
                  <w:pPr>
                    <w:snapToGrid w:val="0"/>
                    <w:jc w:val="center"/>
                    <w:rPr>
                      <w:rFonts w:hint="eastAsia" w:ascii="Times New Roman" w:hAnsi="Times New Roman" w:eastAsia="宋体" w:cs="宋体"/>
                      <w:color w:val="auto"/>
                      <w:kern w:val="0"/>
                      <w:szCs w:val="21"/>
                      <w:highlight w:val="none"/>
                    </w:rPr>
                  </w:pPr>
                </w:p>
              </w:tc>
              <w:tc>
                <w:tcPr>
                  <w:tcW w:w="591" w:type="pct"/>
                  <w:vMerge w:val="continue"/>
                  <w:vAlign w:val="center"/>
                </w:tcPr>
                <w:p w14:paraId="706170B7">
                  <w:pPr>
                    <w:snapToGrid w:val="0"/>
                    <w:jc w:val="center"/>
                    <w:rPr>
                      <w:rFonts w:hint="eastAsia" w:cs="宋体"/>
                      <w:color w:val="auto"/>
                      <w:kern w:val="0"/>
                      <w:szCs w:val="21"/>
                      <w:highlight w:val="none"/>
                      <w:lang w:val="en-US" w:eastAsia="zh-CN"/>
                    </w:rPr>
                  </w:pPr>
                </w:p>
              </w:tc>
              <w:tc>
                <w:tcPr>
                  <w:tcW w:w="973" w:type="pct"/>
                  <w:vAlign w:val="center"/>
                </w:tcPr>
                <w:p w14:paraId="18D41F65">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氮氧化物</w:t>
                  </w:r>
                </w:p>
              </w:tc>
              <w:tc>
                <w:tcPr>
                  <w:tcW w:w="519" w:type="pct"/>
                  <w:vAlign w:val="center"/>
                </w:tcPr>
                <w:p w14:paraId="5C1DD68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9.16</w:t>
                  </w:r>
                </w:p>
              </w:tc>
              <w:tc>
                <w:tcPr>
                  <w:tcW w:w="439" w:type="pct"/>
                  <w:vAlign w:val="center"/>
                </w:tcPr>
                <w:p w14:paraId="769A098A">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0.172</w:t>
                  </w:r>
                </w:p>
              </w:tc>
              <w:tc>
                <w:tcPr>
                  <w:tcW w:w="593" w:type="pct"/>
                  <w:vAlign w:val="center"/>
                </w:tcPr>
                <w:p w14:paraId="1F9A1459">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0.206</w:t>
                  </w:r>
                </w:p>
              </w:tc>
              <w:tc>
                <w:tcPr>
                  <w:tcW w:w="519" w:type="pct"/>
                  <w:vAlign w:val="center"/>
                </w:tcPr>
                <w:p w14:paraId="35294C2B">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400</w:t>
                  </w:r>
                </w:p>
              </w:tc>
              <w:tc>
                <w:tcPr>
                  <w:tcW w:w="397" w:type="pct"/>
                  <w:vAlign w:val="center"/>
                </w:tcPr>
                <w:p w14:paraId="19146049">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Merge w:val="continue"/>
                  <w:vAlign w:val="center"/>
                </w:tcPr>
                <w:p w14:paraId="0A2DC004">
                  <w:pPr>
                    <w:snapToGrid w:val="0"/>
                    <w:jc w:val="center"/>
                    <w:rPr>
                      <w:rFonts w:hint="eastAsia" w:ascii="Times New Roman" w:hAnsi="Times New Roman" w:eastAsia="宋体" w:cs="宋体"/>
                      <w:color w:val="auto"/>
                      <w:kern w:val="0"/>
                      <w:szCs w:val="21"/>
                      <w:highlight w:val="none"/>
                      <w:lang w:val="en-US" w:eastAsia="zh-CN"/>
                    </w:rPr>
                  </w:pPr>
                </w:p>
              </w:tc>
            </w:tr>
            <w:tr w14:paraId="3F75E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Merge w:val="continue"/>
                  <w:vAlign w:val="center"/>
                </w:tcPr>
                <w:p w14:paraId="0D0C29D6">
                  <w:pPr>
                    <w:snapToGrid w:val="0"/>
                    <w:jc w:val="center"/>
                    <w:rPr>
                      <w:rFonts w:hint="default" w:ascii="Times New Roman" w:hAnsi="Times New Roman" w:eastAsia="宋体" w:cs="宋体"/>
                      <w:color w:val="auto"/>
                      <w:kern w:val="0"/>
                      <w:szCs w:val="21"/>
                      <w:highlight w:val="none"/>
                      <w:lang w:val="en-US" w:eastAsia="zh-CN"/>
                    </w:rPr>
                  </w:pPr>
                </w:p>
              </w:tc>
              <w:tc>
                <w:tcPr>
                  <w:tcW w:w="591" w:type="pct"/>
                  <w:vMerge w:val="continue"/>
                  <w:vAlign w:val="center"/>
                </w:tcPr>
                <w:p w14:paraId="241A9525">
                  <w:pPr>
                    <w:snapToGrid w:val="0"/>
                    <w:jc w:val="center"/>
                    <w:rPr>
                      <w:rFonts w:hint="default" w:ascii="Times New Roman" w:hAnsi="Times New Roman" w:eastAsia="宋体" w:cs="宋体"/>
                      <w:color w:val="auto"/>
                      <w:kern w:val="0"/>
                      <w:szCs w:val="21"/>
                      <w:highlight w:val="none"/>
                      <w:lang w:val="en-US" w:eastAsia="zh-CN"/>
                    </w:rPr>
                  </w:pPr>
                </w:p>
              </w:tc>
              <w:tc>
                <w:tcPr>
                  <w:tcW w:w="973" w:type="pct"/>
                  <w:vAlign w:val="center"/>
                </w:tcPr>
                <w:p w14:paraId="3C51DF01">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非甲烷总烃</w:t>
                  </w:r>
                </w:p>
              </w:tc>
              <w:tc>
                <w:tcPr>
                  <w:tcW w:w="519" w:type="pct"/>
                  <w:vAlign w:val="center"/>
                </w:tcPr>
                <w:p w14:paraId="4E028C6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w:t>
                  </w:r>
                </w:p>
              </w:tc>
              <w:tc>
                <w:tcPr>
                  <w:tcW w:w="439" w:type="pct"/>
                  <w:vAlign w:val="center"/>
                </w:tcPr>
                <w:p w14:paraId="6AE8A26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0.11</w:t>
                  </w:r>
                </w:p>
              </w:tc>
              <w:tc>
                <w:tcPr>
                  <w:tcW w:w="593" w:type="pct"/>
                  <w:vAlign w:val="center"/>
                </w:tcPr>
                <w:p w14:paraId="2372FA0E">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0.135</w:t>
                  </w:r>
                </w:p>
              </w:tc>
              <w:tc>
                <w:tcPr>
                  <w:tcW w:w="519" w:type="pct"/>
                  <w:vAlign w:val="center"/>
                </w:tcPr>
                <w:p w14:paraId="3031F4E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397" w:type="pct"/>
                  <w:vAlign w:val="center"/>
                </w:tcPr>
                <w:p w14:paraId="1713113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w:t>
                  </w:r>
                </w:p>
              </w:tc>
              <w:tc>
                <w:tcPr>
                  <w:tcW w:w="386" w:type="pct"/>
                  <w:vMerge w:val="continue"/>
                  <w:vAlign w:val="center"/>
                </w:tcPr>
                <w:p w14:paraId="3C9FF6AD">
                  <w:pPr>
                    <w:snapToGrid w:val="0"/>
                    <w:jc w:val="center"/>
                    <w:rPr>
                      <w:rFonts w:hint="default" w:ascii="Times New Roman" w:hAnsi="Times New Roman" w:eastAsia="宋体" w:cs="宋体"/>
                      <w:color w:val="auto"/>
                      <w:kern w:val="0"/>
                      <w:szCs w:val="21"/>
                      <w:highlight w:val="none"/>
                      <w:lang w:val="en-US" w:eastAsia="zh-CN"/>
                    </w:rPr>
                  </w:pPr>
                </w:p>
              </w:tc>
            </w:tr>
            <w:tr w14:paraId="1C8F8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Align w:val="center"/>
                </w:tcPr>
                <w:p w14:paraId="720DC2A2">
                  <w:pPr>
                    <w:snapToGrid w:val="0"/>
                    <w:jc w:val="center"/>
                    <w:rPr>
                      <w:rFonts w:hint="default"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FQ-2</w:t>
                  </w:r>
                </w:p>
              </w:tc>
              <w:tc>
                <w:tcPr>
                  <w:tcW w:w="591" w:type="pct"/>
                  <w:vAlign w:val="center"/>
                </w:tcPr>
                <w:p w14:paraId="37B455CB">
                  <w:pPr>
                    <w:snapToGrid w:val="0"/>
                    <w:jc w:val="center"/>
                    <w:rPr>
                      <w:rFonts w:hint="default"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10000</w:t>
                  </w:r>
                </w:p>
              </w:tc>
              <w:tc>
                <w:tcPr>
                  <w:tcW w:w="973" w:type="pct"/>
                  <w:vAlign w:val="center"/>
                </w:tcPr>
                <w:p w14:paraId="211D7A97">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非甲烷总烃</w:t>
                  </w:r>
                </w:p>
              </w:tc>
              <w:tc>
                <w:tcPr>
                  <w:tcW w:w="519" w:type="pct"/>
                  <w:vAlign w:val="center"/>
                </w:tcPr>
                <w:p w14:paraId="198E77C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6.4</w:t>
                  </w:r>
                </w:p>
              </w:tc>
              <w:tc>
                <w:tcPr>
                  <w:tcW w:w="439" w:type="pct"/>
                  <w:vAlign w:val="center"/>
                </w:tcPr>
                <w:p w14:paraId="1E696C58">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0.07</w:t>
                  </w:r>
                </w:p>
              </w:tc>
              <w:tc>
                <w:tcPr>
                  <w:tcW w:w="593" w:type="pct"/>
                  <w:vAlign w:val="center"/>
                </w:tcPr>
                <w:p w14:paraId="73E5343A">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0.079</w:t>
                  </w:r>
                </w:p>
              </w:tc>
              <w:tc>
                <w:tcPr>
                  <w:tcW w:w="519" w:type="pct"/>
                  <w:vAlign w:val="center"/>
                </w:tcPr>
                <w:p w14:paraId="797D393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397" w:type="pct"/>
                  <w:vAlign w:val="center"/>
                </w:tcPr>
                <w:p w14:paraId="7D223D5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w:t>
                  </w:r>
                </w:p>
              </w:tc>
              <w:tc>
                <w:tcPr>
                  <w:tcW w:w="386" w:type="pct"/>
                  <w:vAlign w:val="center"/>
                </w:tcPr>
                <w:p w14:paraId="32FD0508">
                  <w:pPr>
                    <w:snapToGrid w:val="0"/>
                    <w:jc w:val="center"/>
                    <w:rPr>
                      <w:rFonts w:hint="default" w:ascii="Times New Roman" w:hAnsi="Times New Roman" w:eastAsia="宋体" w:cs="宋体"/>
                      <w:color w:val="auto"/>
                      <w:kern w:val="0"/>
                      <w:szCs w:val="21"/>
                      <w:highlight w:val="none"/>
                      <w:lang w:val="en-US" w:eastAsia="zh-CN"/>
                    </w:rPr>
                  </w:pPr>
                  <w:r>
                    <w:rPr>
                      <w:rFonts w:hint="eastAsia" w:ascii="Times New Roman" w:hAnsi="Times New Roman" w:eastAsia="宋体" w:cs="宋体"/>
                      <w:color w:val="auto"/>
                      <w:kern w:val="0"/>
                      <w:szCs w:val="21"/>
                      <w:highlight w:val="none"/>
                      <w:lang w:val="en-US" w:eastAsia="zh-CN"/>
                    </w:rPr>
                    <w:t>1200</w:t>
                  </w:r>
                </w:p>
              </w:tc>
            </w:tr>
            <w:tr w14:paraId="7999F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0" w:type="pct"/>
                  <w:vAlign w:val="center"/>
                </w:tcPr>
                <w:p w14:paraId="0F845A2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983" w:type="dxa"/>
                  <w:vAlign w:val="center"/>
                </w:tcPr>
                <w:p w14:paraId="24DC274E">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5000</w:t>
                  </w:r>
                </w:p>
              </w:tc>
              <w:tc>
                <w:tcPr>
                  <w:tcW w:w="1617" w:type="dxa"/>
                  <w:vAlign w:val="center"/>
                </w:tcPr>
                <w:p w14:paraId="69135DA2">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863" w:type="dxa"/>
                  <w:vAlign w:val="center"/>
                </w:tcPr>
                <w:p w14:paraId="09EE8A53">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5.2</w:t>
                  </w:r>
                </w:p>
              </w:tc>
              <w:tc>
                <w:tcPr>
                  <w:tcW w:w="730" w:type="dxa"/>
                  <w:vAlign w:val="center"/>
                </w:tcPr>
                <w:p w14:paraId="71B68512">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0.026</w:t>
                  </w:r>
                </w:p>
              </w:tc>
              <w:tc>
                <w:tcPr>
                  <w:tcW w:w="987" w:type="dxa"/>
                  <w:vAlign w:val="center"/>
                </w:tcPr>
                <w:p w14:paraId="566CB123">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0.125</w:t>
                  </w:r>
                </w:p>
              </w:tc>
              <w:tc>
                <w:tcPr>
                  <w:tcW w:w="863" w:type="dxa"/>
                  <w:vAlign w:val="center"/>
                </w:tcPr>
                <w:p w14:paraId="657D084D">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30</w:t>
                  </w:r>
                </w:p>
              </w:tc>
              <w:tc>
                <w:tcPr>
                  <w:tcW w:w="660" w:type="dxa"/>
                  <w:vAlign w:val="center"/>
                </w:tcPr>
                <w:p w14:paraId="368C391D">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w:t>
                  </w:r>
                </w:p>
              </w:tc>
              <w:tc>
                <w:tcPr>
                  <w:tcW w:w="642" w:type="dxa"/>
                  <w:vAlign w:val="center"/>
                </w:tcPr>
                <w:p w14:paraId="7ECCB8CF">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4800</w:t>
                  </w:r>
                </w:p>
              </w:tc>
            </w:tr>
          </w:tbl>
          <w:p w14:paraId="6C3BFA7D">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cs="宋体"/>
                <w:b/>
                <w:bCs/>
                <w:color w:val="auto"/>
                <w:spacing w:val="-4"/>
                <w:szCs w:val="21"/>
                <w:highlight w:val="none"/>
                <w:lang w:val="en-US" w:eastAsia="zh-CN"/>
              </w:rPr>
              <w:t>10</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本项目</w:t>
            </w:r>
            <w:r>
              <w:rPr>
                <w:rFonts w:hint="eastAsia" w:ascii="Times New Roman" w:hAnsi="Times New Roman" w:eastAsia="宋体" w:cs="宋体"/>
                <w:b/>
                <w:bCs/>
                <w:color w:val="auto"/>
                <w:spacing w:val="-4"/>
                <w:szCs w:val="21"/>
                <w:highlight w:val="none"/>
              </w:rPr>
              <w:t>无</w:t>
            </w:r>
            <w:r>
              <w:rPr>
                <w:rFonts w:ascii="Times New Roman" w:hAnsi="Times New Roman" w:eastAsia="宋体" w:cs="宋体"/>
                <w:b/>
                <w:bCs/>
                <w:color w:val="auto"/>
                <w:spacing w:val="-4"/>
                <w:szCs w:val="21"/>
                <w:highlight w:val="none"/>
              </w:rPr>
              <w:t>组织</w:t>
            </w:r>
            <w:r>
              <w:rPr>
                <w:rFonts w:hint="eastAsia" w:ascii="Times New Roman" w:hAnsi="Times New Roman" w:eastAsia="宋体" w:cs="宋体"/>
                <w:b/>
                <w:bCs/>
                <w:color w:val="auto"/>
                <w:spacing w:val="-4"/>
                <w:szCs w:val="21"/>
                <w:highlight w:val="none"/>
              </w:rPr>
              <w:t>废气排放情况表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0"/>
              <w:gridCol w:w="1202"/>
              <w:gridCol w:w="1508"/>
              <w:gridCol w:w="910"/>
              <w:gridCol w:w="910"/>
              <w:gridCol w:w="1207"/>
              <w:gridCol w:w="1199"/>
            </w:tblGrid>
            <w:tr w14:paraId="14B1C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00B95141">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污染源位置</w:t>
                  </w:r>
                </w:p>
              </w:tc>
              <w:tc>
                <w:tcPr>
                  <w:tcW w:w="712" w:type="pct"/>
                  <w:vMerge w:val="restart"/>
                  <w:vAlign w:val="center"/>
                </w:tcPr>
                <w:p w14:paraId="6D14F19D">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工序</w:t>
                  </w:r>
                </w:p>
              </w:tc>
              <w:tc>
                <w:tcPr>
                  <w:tcW w:w="893" w:type="pct"/>
                  <w:vMerge w:val="restart"/>
                  <w:vAlign w:val="center"/>
                </w:tcPr>
                <w:p w14:paraId="4352B4C2">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污染物名称</w:t>
                  </w:r>
                </w:p>
              </w:tc>
              <w:tc>
                <w:tcPr>
                  <w:tcW w:w="539" w:type="pct"/>
                  <w:vAlign w:val="center"/>
                </w:tcPr>
                <w:p w14:paraId="6ED393D1">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削减量</w:t>
                  </w:r>
                </w:p>
              </w:tc>
              <w:tc>
                <w:tcPr>
                  <w:tcW w:w="539" w:type="pct"/>
                  <w:vAlign w:val="center"/>
                </w:tcPr>
                <w:p w14:paraId="4E9434D3">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排放量</w:t>
                  </w:r>
                </w:p>
              </w:tc>
              <w:tc>
                <w:tcPr>
                  <w:tcW w:w="715" w:type="pct"/>
                  <w:vAlign w:val="center"/>
                </w:tcPr>
                <w:p w14:paraId="2EA603BF">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面源面积</w:t>
                  </w:r>
                </w:p>
              </w:tc>
              <w:tc>
                <w:tcPr>
                  <w:tcW w:w="710" w:type="pct"/>
                  <w:vAlign w:val="center"/>
                </w:tcPr>
                <w:p w14:paraId="06ACFB1E">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面源高度</w:t>
                  </w:r>
                </w:p>
              </w:tc>
            </w:tr>
            <w:tr w14:paraId="27112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7CE78479">
                  <w:pPr>
                    <w:snapToGrid w:val="0"/>
                    <w:jc w:val="center"/>
                    <w:rPr>
                      <w:rFonts w:ascii="Times New Roman" w:hAnsi="Times New Roman" w:eastAsia="宋体" w:cs="宋体"/>
                      <w:b/>
                      <w:color w:val="auto"/>
                      <w:szCs w:val="21"/>
                      <w:highlight w:val="none"/>
                    </w:rPr>
                  </w:pPr>
                </w:p>
              </w:tc>
              <w:tc>
                <w:tcPr>
                  <w:tcW w:w="712" w:type="pct"/>
                  <w:vMerge w:val="continue"/>
                  <w:vAlign w:val="center"/>
                </w:tcPr>
                <w:p w14:paraId="4093DAEA">
                  <w:pPr>
                    <w:snapToGrid w:val="0"/>
                    <w:jc w:val="center"/>
                    <w:rPr>
                      <w:rFonts w:ascii="Times New Roman" w:hAnsi="Times New Roman" w:eastAsia="宋体" w:cs="宋体"/>
                      <w:b/>
                      <w:color w:val="auto"/>
                      <w:szCs w:val="21"/>
                      <w:highlight w:val="none"/>
                    </w:rPr>
                  </w:pPr>
                </w:p>
              </w:tc>
              <w:tc>
                <w:tcPr>
                  <w:tcW w:w="893" w:type="pct"/>
                  <w:vMerge w:val="continue"/>
                  <w:vAlign w:val="center"/>
                </w:tcPr>
                <w:p w14:paraId="734363ED">
                  <w:pPr>
                    <w:snapToGrid w:val="0"/>
                    <w:jc w:val="center"/>
                    <w:rPr>
                      <w:rFonts w:ascii="Times New Roman" w:hAnsi="Times New Roman" w:eastAsia="宋体" w:cs="宋体"/>
                      <w:b/>
                      <w:color w:val="auto"/>
                      <w:szCs w:val="21"/>
                      <w:highlight w:val="none"/>
                    </w:rPr>
                  </w:pPr>
                </w:p>
              </w:tc>
              <w:tc>
                <w:tcPr>
                  <w:tcW w:w="539" w:type="pct"/>
                  <w:vAlign w:val="center"/>
                </w:tcPr>
                <w:p w14:paraId="1DBA6CB7">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t/a</w:t>
                  </w:r>
                </w:p>
              </w:tc>
              <w:tc>
                <w:tcPr>
                  <w:tcW w:w="539" w:type="pct"/>
                  <w:vAlign w:val="center"/>
                </w:tcPr>
                <w:p w14:paraId="3DAE3539">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t/a</w:t>
                  </w:r>
                </w:p>
              </w:tc>
              <w:tc>
                <w:tcPr>
                  <w:tcW w:w="715" w:type="pct"/>
                  <w:vAlign w:val="center"/>
                </w:tcPr>
                <w:p w14:paraId="6674A178">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2</w:t>
                  </w:r>
                </w:p>
              </w:tc>
              <w:tc>
                <w:tcPr>
                  <w:tcW w:w="710" w:type="pct"/>
                  <w:vAlign w:val="center"/>
                </w:tcPr>
                <w:p w14:paraId="0440F140">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p>
              </w:tc>
            </w:tr>
            <w:tr w14:paraId="28383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763833AA">
                  <w:pPr>
                    <w:snapToGrid w:val="0"/>
                    <w:jc w:val="center"/>
                    <w:rPr>
                      <w:rFonts w:ascii="Times New Roman" w:hAnsi="Times New Roman" w:eastAsia="宋体" w:cs="宋体"/>
                      <w:color w:val="auto"/>
                      <w:szCs w:val="21"/>
                      <w:highlight w:val="none"/>
                    </w:rPr>
                  </w:pPr>
                  <w:r>
                    <w:rPr>
                      <w:rFonts w:hint="eastAsia" w:cs="宋体"/>
                      <w:color w:val="auto"/>
                      <w:highlight w:val="none"/>
                      <w:lang w:val="en-US" w:eastAsia="zh-CN"/>
                    </w:rPr>
                    <w:t>2#</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712" w:type="pct"/>
                  <w:vAlign w:val="center"/>
                </w:tcPr>
                <w:p w14:paraId="69417119">
                  <w:pPr>
                    <w:snapToGrid w:val="0"/>
                    <w:jc w:val="center"/>
                    <w:rPr>
                      <w:rFonts w:hint="default" w:ascii="Times New Roman" w:hAnsi="Times New Roman" w:eastAsia="宋体" w:cs="宋体"/>
                      <w:bCs/>
                      <w:color w:val="auto"/>
                      <w:kern w:val="2"/>
                      <w:sz w:val="21"/>
                      <w:szCs w:val="21"/>
                      <w:highlight w:val="none"/>
                      <w:lang w:val="en-US" w:eastAsia="zh-CN" w:bidi="ar-SA"/>
                    </w:rPr>
                  </w:pPr>
                  <w:r>
                    <w:rPr>
                      <w:rFonts w:hint="eastAsia" w:cs="宋体"/>
                      <w:bCs/>
                      <w:color w:val="auto"/>
                      <w:kern w:val="2"/>
                      <w:sz w:val="21"/>
                      <w:szCs w:val="21"/>
                      <w:highlight w:val="none"/>
                      <w:lang w:val="en-US" w:eastAsia="zh-CN" w:bidi="ar-SA"/>
                    </w:rPr>
                    <w:t>熔化</w:t>
                  </w:r>
                </w:p>
              </w:tc>
              <w:tc>
                <w:tcPr>
                  <w:tcW w:w="893" w:type="pct"/>
                  <w:vAlign w:val="center"/>
                </w:tcPr>
                <w:p w14:paraId="77F8B52D">
                  <w:pPr>
                    <w:snapToGrid w:val="0"/>
                    <w:jc w:val="center"/>
                    <w:rPr>
                      <w:rFonts w:hint="default"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kern w:val="2"/>
                      <w:sz w:val="21"/>
                      <w:szCs w:val="21"/>
                      <w:highlight w:val="none"/>
                      <w:lang w:val="en-US" w:eastAsia="zh-CN" w:bidi="ar-SA"/>
                    </w:rPr>
                    <w:t>颗粒物</w:t>
                  </w:r>
                </w:p>
              </w:tc>
              <w:tc>
                <w:tcPr>
                  <w:tcW w:w="539" w:type="pct"/>
                  <w:vAlign w:val="center"/>
                </w:tcPr>
                <w:p w14:paraId="3BE0FB8C">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w:t>
                  </w:r>
                </w:p>
              </w:tc>
              <w:tc>
                <w:tcPr>
                  <w:tcW w:w="539" w:type="pct"/>
                  <w:vAlign w:val="center"/>
                </w:tcPr>
                <w:p w14:paraId="78DC9127">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0.057</w:t>
                  </w:r>
                </w:p>
              </w:tc>
              <w:tc>
                <w:tcPr>
                  <w:tcW w:w="715" w:type="pct"/>
                  <w:vMerge w:val="restart"/>
                  <w:vAlign w:val="center"/>
                </w:tcPr>
                <w:p w14:paraId="04307AB1">
                  <w:pPr>
                    <w:pStyle w:val="59"/>
                    <w:autoSpaceDE w:val="0"/>
                    <w:autoSpaceDN w:val="0"/>
                    <w:snapToGrid w:val="0"/>
                    <w:jc w:val="center"/>
                    <w:rPr>
                      <w:rFonts w:hint="default" w:ascii="Times New Roman" w:hAnsi="Times New Roman" w:eastAsia="宋体"/>
                      <w:snapToGrid w:val="0"/>
                      <w:color w:val="auto"/>
                      <w:kern w:val="0"/>
                      <w:highlight w:val="none"/>
                      <w:lang w:val="en-US"/>
                    </w:rPr>
                  </w:pPr>
                  <w:r>
                    <w:rPr>
                      <w:rFonts w:hint="eastAsia" w:ascii="Times New Roman" w:hAnsi="Times New Roman"/>
                      <w:snapToGrid w:val="0"/>
                      <w:color w:val="auto"/>
                      <w:kern w:val="0"/>
                      <w:highlight w:val="none"/>
                      <w:lang w:val="en-US" w:eastAsia="zh-CN"/>
                    </w:rPr>
                    <w:t>6160.04</w:t>
                  </w:r>
                </w:p>
              </w:tc>
              <w:tc>
                <w:tcPr>
                  <w:tcW w:w="710" w:type="pct"/>
                  <w:vMerge w:val="restart"/>
                  <w:vAlign w:val="center"/>
                </w:tcPr>
                <w:p w14:paraId="656DB908">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12</w:t>
                  </w:r>
                </w:p>
              </w:tc>
            </w:tr>
            <w:tr w14:paraId="5E340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2F88C2CF">
                  <w:pPr>
                    <w:snapToGrid w:val="0"/>
                    <w:jc w:val="center"/>
                    <w:rPr>
                      <w:rFonts w:hint="eastAsia" w:ascii="Times New Roman" w:hAnsi="Times New Roman" w:eastAsia="宋体" w:cs="宋体"/>
                      <w:color w:val="auto"/>
                      <w:highlight w:val="none"/>
                      <w:lang w:val="en-US" w:eastAsia="zh-CN"/>
                    </w:rPr>
                  </w:pPr>
                </w:p>
              </w:tc>
              <w:tc>
                <w:tcPr>
                  <w:tcW w:w="712" w:type="pct"/>
                  <w:shd w:val="clear" w:color="auto" w:fill="auto"/>
                  <w:vAlign w:val="center"/>
                </w:tcPr>
                <w:p w14:paraId="22A5BF32">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cs="宋体"/>
                      <w:bCs/>
                      <w:color w:val="auto"/>
                      <w:szCs w:val="21"/>
                      <w:highlight w:val="none"/>
                      <w:lang w:val="en-US" w:eastAsia="zh-CN"/>
                    </w:rPr>
                    <w:t>压铸</w:t>
                  </w:r>
                </w:p>
              </w:tc>
              <w:tc>
                <w:tcPr>
                  <w:tcW w:w="893" w:type="pct"/>
                  <w:shd w:val="clear" w:color="auto" w:fill="auto"/>
                  <w:vAlign w:val="center"/>
                </w:tcPr>
                <w:p w14:paraId="737139B4">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szCs w:val="21"/>
                      <w:highlight w:val="none"/>
                    </w:rPr>
                    <w:t>颗粒物</w:t>
                  </w:r>
                </w:p>
              </w:tc>
              <w:tc>
                <w:tcPr>
                  <w:tcW w:w="539" w:type="pct"/>
                  <w:shd w:val="clear" w:color="auto" w:fill="auto"/>
                  <w:vAlign w:val="center"/>
                </w:tcPr>
                <w:p w14:paraId="2B603977">
                  <w:pPr>
                    <w:snapToGrid w:val="0"/>
                    <w:jc w:val="center"/>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0</w:t>
                  </w:r>
                </w:p>
              </w:tc>
              <w:tc>
                <w:tcPr>
                  <w:tcW w:w="539" w:type="pct"/>
                  <w:shd w:val="clear" w:color="auto" w:fill="auto"/>
                  <w:vAlign w:val="center"/>
                </w:tcPr>
                <w:p w14:paraId="35645291">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Cs w:val="21"/>
                      <w:highlight w:val="none"/>
                      <w:lang w:val="en-US" w:eastAsia="zh-CN"/>
                    </w:rPr>
                    <w:t>0.015</w:t>
                  </w:r>
                </w:p>
              </w:tc>
              <w:tc>
                <w:tcPr>
                  <w:tcW w:w="715" w:type="pct"/>
                  <w:vMerge w:val="continue"/>
                  <w:vAlign w:val="center"/>
                </w:tcPr>
                <w:p w14:paraId="3CB49172">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c>
                <w:tcPr>
                  <w:tcW w:w="710" w:type="pct"/>
                  <w:vMerge w:val="continue"/>
                  <w:vAlign w:val="center"/>
                </w:tcPr>
                <w:p w14:paraId="685B2314">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r>
            <w:tr w14:paraId="133A7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56B51486">
                  <w:pPr>
                    <w:snapToGrid w:val="0"/>
                    <w:jc w:val="center"/>
                    <w:rPr>
                      <w:rFonts w:ascii="Times New Roman" w:hAnsi="Times New Roman" w:eastAsia="宋体" w:cs="宋体"/>
                      <w:bCs/>
                      <w:color w:val="auto"/>
                      <w:szCs w:val="21"/>
                      <w:highlight w:val="none"/>
                    </w:rPr>
                  </w:pPr>
                </w:p>
              </w:tc>
              <w:tc>
                <w:tcPr>
                  <w:tcW w:w="712" w:type="pct"/>
                  <w:vAlign w:val="center"/>
                </w:tcPr>
                <w:p w14:paraId="146272EA">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cs="宋体"/>
                      <w:bCs/>
                      <w:color w:val="auto"/>
                      <w:szCs w:val="21"/>
                      <w:highlight w:val="none"/>
                      <w:lang w:val="en-US" w:eastAsia="zh-CN"/>
                    </w:rPr>
                    <w:t>脱模</w:t>
                  </w:r>
                </w:p>
              </w:tc>
              <w:tc>
                <w:tcPr>
                  <w:tcW w:w="893" w:type="pct"/>
                  <w:vAlign w:val="center"/>
                </w:tcPr>
                <w:p w14:paraId="771D05BA">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szCs w:val="21"/>
                      <w:highlight w:val="none"/>
                      <w:lang w:val="en-US" w:eastAsia="zh-CN"/>
                    </w:rPr>
                    <w:t>非甲烷总烃</w:t>
                  </w:r>
                </w:p>
              </w:tc>
              <w:tc>
                <w:tcPr>
                  <w:tcW w:w="539" w:type="pct"/>
                  <w:vAlign w:val="center"/>
                </w:tcPr>
                <w:p w14:paraId="21D1ACA1">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0</w:t>
                  </w:r>
                </w:p>
              </w:tc>
              <w:tc>
                <w:tcPr>
                  <w:tcW w:w="539" w:type="pct"/>
                  <w:vAlign w:val="center"/>
                </w:tcPr>
                <w:p w14:paraId="70D44D86">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Cs w:val="21"/>
                      <w:highlight w:val="none"/>
                      <w:lang w:val="en-US" w:eastAsia="zh-CN"/>
                    </w:rPr>
                    <w:t>0.15</w:t>
                  </w:r>
                </w:p>
              </w:tc>
              <w:tc>
                <w:tcPr>
                  <w:tcW w:w="715" w:type="pct"/>
                  <w:vMerge w:val="continue"/>
                  <w:vAlign w:val="center"/>
                </w:tcPr>
                <w:p w14:paraId="11328F7D">
                  <w:pPr>
                    <w:snapToGrid w:val="0"/>
                    <w:jc w:val="center"/>
                    <w:rPr>
                      <w:rFonts w:ascii="Times New Roman" w:hAnsi="Times New Roman" w:eastAsia="宋体" w:cs="宋体"/>
                      <w:bCs/>
                      <w:color w:val="auto"/>
                      <w:kern w:val="0"/>
                      <w:szCs w:val="21"/>
                      <w:highlight w:val="none"/>
                    </w:rPr>
                  </w:pPr>
                </w:p>
              </w:tc>
              <w:tc>
                <w:tcPr>
                  <w:tcW w:w="710" w:type="pct"/>
                  <w:vMerge w:val="continue"/>
                  <w:vAlign w:val="center"/>
                </w:tcPr>
                <w:p w14:paraId="2610A877">
                  <w:pPr>
                    <w:snapToGrid w:val="0"/>
                    <w:jc w:val="center"/>
                    <w:rPr>
                      <w:rFonts w:ascii="Times New Roman" w:hAnsi="Times New Roman" w:eastAsia="宋体" w:cs="宋体"/>
                      <w:bCs/>
                      <w:color w:val="auto"/>
                      <w:kern w:val="0"/>
                      <w:szCs w:val="21"/>
                      <w:highlight w:val="none"/>
                    </w:rPr>
                  </w:pPr>
                </w:p>
              </w:tc>
            </w:tr>
            <w:tr w14:paraId="7A92A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6454CE31">
                  <w:pPr>
                    <w:snapToGrid w:val="0"/>
                    <w:jc w:val="center"/>
                    <w:rPr>
                      <w:rFonts w:ascii="Times New Roman" w:hAnsi="Times New Roman" w:eastAsia="宋体" w:cs="宋体"/>
                      <w:color w:val="auto"/>
                      <w:highlight w:val="none"/>
                    </w:rPr>
                  </w:pPr>
                </w:p>
              </w:tc>
              <w:tc>
                <w:tcPr>
                  <w:tcW w:w="712" w:type="pct"/>
                  <w:vMerge w:val="restart"/>
                  <w:vAlign w:val="center"/>
                </w:tcPr>
                <w:p w14:paraId="15C8B488">
                  <w:pPr>
                    <w:snapToGrid w:val="0"/>
                    <w:jc w:val="center"/>
                    <w:rPr>
                      <w:rFonts w:ascii="Times New Roman" w:hAnsi="Times New Roman" w:eastAsia="宋体" w:cs="宋体"/>
                      <w:color w:val="auto"/>
                      <w:kern w:val="0"/>
                      <w:sz w:val="21"/>
                      <w:szCs w:val="21"/>
                      <w:highlight w:val="none"/>
                      <w:lang w:val="en-US" w:eastAsia="zh-CN" w:bidi="ar-SA"/>
                    </w:rPr>
                  </w:pPr>
                  <w:r>
                    <w:rPr>
                      <w:rFonts w:hint="eastAsia" w:ascii="Times New Roman" w:hAnsi="Times New Roman" w:eastAsia="宋体" w:cs="宋体"/>
                      <w:color w:val="auto"/>
                      <w:kern w:val="0"/>
                      <w:szCs w:val="21"/>
                      <w:highlight w:val="none"/>
                    </w:rPr>
                    <w:t>合计</w:t>
                  </w:r>
                </w:p>
              </w:tc>
              <w:tc>
                <w:tcPr>
                  <w:tcW w:w="893" w:type="pct"/>
                  <w:vAlign w:val="center"/>
                </w:tcPr>
                <w:p w14:paraId="5966EA0B">
                  <w:pPr>
                    <w:tabs>
                      <w:tab w:val="left" w:pos="960"/>
                    </w:tabs>
                    <w:snapToGrid w:val="0"/>
                    <w:jc w:val="center"/>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颗粒物</w:t>
                  </w:r>
                </w:p>
              </w:tc>
              <w:tc>
                <w:tcPr>
                  <w:tcW w:w="539" w:type="pct"/>
                  <w:vAlign w:val="center"/>
                </w:tcPr>
                <w:p w14:paraId="3E5953A9">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bCs/>
                      <w:color w:val="auto"/>
                      <w:kern w:val="0"/>
                      <w:sz w:val="21"/>
                      <w:szCs w:val="21"/>
                      <w:highlight w:val="none"/>
                      <w:lang w:val="en-US" w:eastAsia="zh-CN" w:bidi="ar-SA"/>
                    </w:rPr>
                    <w:t>0</w:t>
                  </w:r>
                </w:p>
              </w:tc>
              <w:tc>
                <w:tcPr>
                  <w:tcW w:w="539" w:type="pct"/>
                  <w:vAlign w:val="center"/>
                </w:tcPr>
                <w:p w14:paraId="62A1F504">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0.072</w:t>
                  </w:r>
                </w:p>
              </w:tc>
              <w:tc>
                <w:tcPr>
                  <w:tcW w:w="715" w:type="pct"/>
                  <w:vMerge w:val="continue"/>
                  <w:vAlign w:val="center"/>
                </w:tcPr>
                <w:p w14:paraId="18428A72">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64CCA62E">
                  <w:pPr>
                    <w:pStyle w:val="59"/>
                    <w:autoSpaceDE w:val="0"/>
                    <w:autoSpaceDN w:val="0"/>
                    <w:snapToGrid w:val="0"/>
                    <w:jc w:val="center"/>
                    <w:rPr>
                      <w:rFonts w:ascii="Times New Roman" w:hAnsi="Times New Roman" w:eastAsia="宋体"/>
                      <w:snapToGrid w:val="0"/>
                      <w:color w:val="auto"/>
                      <w:kern w:val="0"/>
                      <w:highlight w:val="none"/>
                    </w:rPr>
                  </w:pPr>
                </w:p>
              </w:tc>
            </w:tr>
            <w:tr w14:paraId="1A9AC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31099C0F">
                  <w:pPr>
                    <w:snapToGrid w:val="0"/>
                    <w:jc w:val="center"/>
                    <w:rPr>
                      <w:rFonts w:ascii="Times New Roman" w:hAnsi="Times New Roman" w:eastAsia="宋体" w:cs="宋体"/>
                      <w:color w:val="auto"/>
                      <w:highlight w:val="none"/>
                    </w:rPr>
                  </w:pPr>
                </w:p>
              </w:tc>
              <w:tc>
                <w:tcPr>
                  <w:tcW w:w="712" w:type="pct"/>
                  <w:vMerge w:val="continue"/>
                  <w:vAlign w:val="center"/>
                </w:tcPr>
                <w:p w14:paraId="3A5D654C">
                  <w:pPr>
                    <w:snapToGrid w:val="0"/>
                    <w:jc w:val="center"/>
                    <w:rPr>
                      <w:rFonts w:ascii="Times New Roman" w:hAnsi="Times New Roman" w:eastAsia="宋体" w:cs="宋体"/>
                      <w:color w:val="auto"/>
                      <w:kern w:val="0"/>
                      <w:szCs w:val="21"/>
                      <w:highlight w:val="none"/>
                    </w:rPr>
                  </w:pPr>
                </w:p>
              </w:tc>
              <w:tc>
                <w:tcPr>
                  <w:tcW w:w="893" w:type="pct"/>
                  <w:vAlign w:val="center"/>
                </w:tcPr>
                <w:p w14:paraId="4F019F1F">
                  <w:pPr>
                    <w:tabs>
                      <w:tab w:val="left" w:pos="960"/>
                    </w:tabs>
                    <w:snapToGrid w:val="0"/>
                    <w:jc w:val="center"/>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非甲烷总烃</w:t>
                  </w:r>
                </w:p>
              </w:tc>
              <w:tc>
                <w:tcPr>
                  <w:tcW w:w="539" w:type="pct"/>
                  <w:vAlign w:val="center"/>
                </w:tcPr>
                <w:p w14:paraId="4108603B">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w:t>
                  </w:r>
                </w:p>
              </w:tc>
              <w:tc>
                <w:tcPr>
                  <w:tcW w:w="539" w:type="pct"/>
                  <w:vAlign w:val="center"/>
                </w:tcPr>
                <w:p w14:paraId="6D40C950">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0.15</w:t>
                  </w:r>
                </w:p>
              </w:tc>
              <w:tc>
                <w:tcPr>
                  <w:tcW w:w="715" w:type="pct"/>
                  <w:vMerge w:val="continue"/>
                  <w:vAlign w:val="center"/>
                </w:tcPr>
                <w:p w14:paraId="148F8E27">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4120FBA3">
                  <w:pPr>
                    <w:pStyle w:val="59"/>
                    <w:autoSpaceDE w:val="0"/>
                    <w:autoSpaceDN w:val="0"/>
                    <w:snapToGrid w:val="0"/>
                    <w:jc w:val="center"/>
                    <w:rPr>
                      <w:rFonts w:ascii="Times New Roman" w:hAnsi="Times New Roman" w:eastAsia="宋体"/>
                      <w:snapToGrid w:val="0"/>
                      <w:color w:val="auto"/>
                      <w:kern w:val="0"/>
                      <w:highlight w:val="none"/>
                    </w:rPr>
                  </w:pPr>
                </w:p>
              </w:tc>
            </w:tr>
            <w:tr w14:paraId="70733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75DB0CEF">
                  <w:pPr>
                    <w:snapToGrid w:val="0"/>
                    <w:jc w:val="center"/>
                    <w:rPr>
                      <w:rFonts w:ascii="Times New Roman" w:hAnsi="Times New Roman" w:eastAsia="宋体" w:cs="宋体"/>
                      <w:color w:val="auto"/>
                      <w:highlight w:val="none"/>
                    </w:rPr>
                  </w:pP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712" w:type="pct"/>
                  <w:vAlign w:val="center"/>
                </w:tcPr>
                <w:p w14:paraId="4CFC02B7">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打磨</w:t>
                  </w:r>
                </w:p>
              </w:tc>
              <w:tc>
                <w:tcPr>
                  <w:tcW w:w="893" w:type="pct"/>
                  <w:vAlign w:val="center"/>
                </w:tcPr>
                <w:p w14:paraId="6EAB9AE4">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kern w:val="2"/>
                      <w:sz w:val="21"/>
                      <w:szCs w:val="21"/>
                      <w:highlight w:val="none"/>
                      <w:lang w:val="en-US" w:eastAsia="zh-CN" w:bidi="ar-SA"/>
                    </w:rPr>
                    <w:t>颗粒物</w:t>
                  </w:r>
                </w:p>
              </w:tc>
              <w:tc>
                <w:tcPr>
                  <w:tcW w:w="539" w:type="pct"/>
                  <w:vAlign w:val="center"/>
                </w:tcPr>
                <w:p w14:paraId="31C91267">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1.064</w:t>
                  </w:r>
                </w:p>
              </w:tc>
              <w:tc>
                <w:tcPr>
                  <w:tcW w:w="539" w:type="pct"/>
                  <w:vAlign w:val="center"/>
                </w:tcPr>
                <w:p w14:paraId="21FDAAB7">
                  <w:pPr>
                    <w:snapToGrid w:val="0"/>
                    <w:jc w:val="center"/>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0.25</w:t>
                  </w:r>
                </w:p>
              </w:tc>
              <w:tc>
                <w:tcPr>
                  <w:tcW w:w="715" w:type="pct"/>
                  <w:vMerge w:val="restart"/>
                  <w:vAlign w:val="center"/>
                </w:tcPr>
                <w:p w14:paraId="755ED87D">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2197.96</w:t>
                  </w:r>
                </w:p>
              </w:tc>
              <w:tc>
                <w:tcPr>
                  <w:tcW w:w="710" w:type="pct"/>
                  <w:vMerge w:val="restart"/>
                  <w:vAlign w:val="center"/>
                </w:tcPr>
                <w:p w14:paraId="01B0C8B0">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r>
                    <w:rPr>
                      <w:rFonts w:hint="eastAsia" w:ascii="Times New Roman" w:hAnsi="Times New Roman"/>
                      <w:snapToGrid w:val="0"/>
                      <w:color w:val="auto"/>
                      <w:kern w:val="0"/>
                      <w:highlight w:val="none"/>
                      <w:lang w:val="en-US" w:eastAsia="zh-CN"/>
                    </w:rPr>
                    <w:t>6</w:t>
                  </w:r>
                </w:p>
              </w:tc>
            </w:tr>
            <w:tr w14:paraId="70DAE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6F34DEA7">
                  <w:pPr>
                    <w:snapToGrid w:val="0"/>
                    <w:jc w:val="center"/>
                    <w:rPr>
                      <w:rFonts w:ascii="Times New Roman" w:hAnsi="Times New Roman" w:eastAsia="宋体" w:cs="宋体"/>
                      <w:color w:val="auto"/>
                      <w:highlight w:val="none"/>
                    </w:rPr>
                  </w:pPr>
                </w:p>
              </w:tc>
              <w:tc>
                <w:tcPr>
                  <w:tcW w:w="712" w:type="pct"/>
                  <w:vAlign w:val="center"/>
                </w:tcPr>
                <w:p w14:paraId="2913F700">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抛丸</w:t>
                  </w:r>
                </w:p>
              </w:tc>
              <w:tc>
                <w:tcPr>
                  <w:tcW w:w="893" w:type="pct"/>
                  <w:vAlign w:val="center"/>
                </w:tcPr>
                <w:p w14:paraId="21F08B04">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539" w:type="pct"/>
                  <w:vAlign w:val="center"/>
                </w:tcPr>
                <w:p w14:paraId="033A3152">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w:t>
                  </w:r>
                </w:p>
              </w:tc>
              <w:tc>
                <w:tcPr>
                  <w:tcW w:w="539" w:type="pct"/>
                  <w:vAlign w:val="center"/>
                </w:tcPr>
                <w:p w14:paraId="35DCA713">
                  <w:pPr>
                    <w:snapToGrid w:val="0"/>
                    <w:jc w:val="center"/>
                    <w:rPr>
                      <w:rFonts w:hint="default"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0.066</w:t>
                  </w:r>
                </w:p>
              </w:tc>
              <w:tc>
                <w:tcPr>
                  <w:tcW w:w="715" w:type="pct"/>
                  <w:vMerge w:val="continue"/>
                  <w:vAlign w:val="center"/>
                </w:tcPr>
                <w:p w14:paraId="0889FFB2">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463620D4">
                  <w:pPr>
                    <w:pStyle w:val="59"/>
                    <w:autoSpaceDE w:val="0"/>
                    <w:autoSpaceDN w:val="0"/>
                    <w:snapToGrid w:val="0"/>
                    <w:jc w:val="center"/>
                    <w:rPr>
                      <w:rFonts w:ascii="Times New Roman" w:hAnsi="Times New Roman" w:eastAsia="宋体"/>
                      <w:snapToGrid w:val="0"/>
                      <w:color w:val="auto"/>
                      <w:kern w:val="0"/>
                      <w:highlight w:val="none"/>
                    </w:rPr>
                  </w:pPr>
                </w:p>
              </w:tc>
            </w:tr>
            <w:tr w14:paraId="04BC4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79A50C1A">
                  <w:pPr>
                    <w:snapToGrid w:val="0"/>
                    <w:jc w:val="center"/>
                    <w:rPr>
                      <w:rFonts w:ascii="Times New Roman" w:hAnsi="Times New Roman" w:eastAsia="宋体" w:cs="宋体"/>
                      <w:color w:val="auto"/>
                      <w:highlight w:val="none"/>
                    </w:rPr>
                  </w:pPr>
                </w:p>
              </w:tc>
              <w:tc>
                <w:tcPr>
                  <w:tcW w:w="712" w:type="pct"/>
                  <w:vAlign w:val="center"/>
                </w:tcPr>
                <w:p w14:paraId="25D5845B">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合计</w:t>
                  </w:r>
                </w:p>
              </w:tc>
              <w:tc>
                <w:tcPr>
                  <w:tcW w:w="893" w:type="pct"/>
                  <w:vAlign w:val="center"/>
                </w:tcPr>
                <w:p w14:paraId="4F184E0C">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539" w:type="pct"/>
                  <w:vAlign w:val="center"/>
                </w:tcPr>
                <w:p w14:paraId="50575D78">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1.064</w:t>
                  </w:r>
                </w:p>
              </w:tc>
              <w:tc>
                <w:tcPr>
                  <w:tcW w:w="539" w:type="pct"/>
                  <w:vAlign w:val="center"/>
                </w:tcPr>
                <w:p w14:paraId="775CC786">
                  <w:pPr>
                    <w:snapToGrid w:val="0"/>
                    <w:jc w:val="center"/>
                    <w:rPr>
                      <w:rFonts w:hint="default"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0.316</w:t>
                  </w:r>
                </w:p>
              </w:tc>
              <w:tc>
                <w:tcPr>
                  <w:tcW w:w="715" w:type="pct"/>
                  <w:vMerge w:val="continue"/>
                  <w:vAlign w:val="center"/>
                </w:tcPr>
                <w:p w14:paraId="56304B99">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2C49CF32">
                  <w:pPr>
                    <w:pStyle w:val="59"/>
                    <w:autoSpaceDE w:val="0"/>
                    <w:autoSpaceDN w:val="0"/>
                    <w:snapToGrid w:val="0"/>
                    <w:jc w:val="center"/>
                    <w:rPr>
                      <w:rFonts w:ascii="Times New Roman" w:hAnsi="Times New Roman" w:eastAsia="宋体"/>
                      <w:snapToGrid w:val="0"/>
                      <w:color w:val="auto"/>
                      <w:kern w:val="0"/>
                      <w:highlight w:val="none"/>
                    </w:rPr>
                  </w:pPr>
                </w:p>
              </w:tc>
            </w:tr>
          </w:tbl>
          <w:p w14:paraId="5F292B66">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cs="宋体"/>
                <w:b/>
                <w:bCs/>
                <w:color w:val="auto"/>
                <w:spacing w:val="-4"/>
                <w:szCs w:val="21"/>
                <w:highlight w:val="none"/>
                <w:lang w:val="en-US" w:eastAsia="zh-CN"/>
              </w:rPr>
              <w:t>11</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全厂项目</w:t>
            </w:r>
            <w:r>
              <w:rPr>
                <w:rFonts w:hint="eastAsia" w:ascii="Times New Roman" w:hAnsi="Times New Roman" w:eastAsia="宋体" w:cs="宋体"/>
                <w:b/>
                <w:bCs/>
                <w:color w:val="auto"/>
                <w:spacing w:val="-4"/>
                <w:szCs w:val="21"/>
                <w:highlight w:val="none"/>
              </w:rPr>
              <w:t>无</w:t>
            </w:r>
            <w:r>
              <w:rPr>
                <w:rFonts w:ascii="Times New Roman" w:hAnsi="Times New Roman" w:eastAsia="宋体" w:cs="宋体"/>
                <w:b/>
                <w:bCs/>
                <w:color w:val="auto"/>
                <w:spacing w:val="-4"/>
                <w:szCs w:val="21"/>
                <w:highlight w:val="none"/>
              </w:rPr>
              <w:t>组织</w:t>
            </w:r>
            <w:r>
              <w:rPr>
                <w:rFonts w:hint="eastAsia" w:ascii="Times New Roman" w:hAnsi="Times New Roman" w:eastAsia="宋体" w:cs="宋体"/>
                <w:b/>
                <w:bCs/>
                <w:color w:val="auto"/>
                <w:spacing w:val="-4"/>
                <w:szCs w:val="21"/>
                <w:highlight w:val="none"/>
              </w:rPr>
              <w:t>废气排放情况表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00"/>
              <w:gridCol w:w="1202"/>
              <w:gridCol w:w="1508"/>
              <w:gridCol w:w="910"/>
              <w:gridCol w:w="910"/>
              <w:gridCol w:w="1207"/>
              <w:gridCol w:w="1199"/>
            </w:tblGrid>
            <w:tr w14:paraId="047AB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6A3436FC">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污染源位置</w:t>
                  </w:r>
                </w:p>
              </w:tc>
              <w:tc>
                <w:tcPr>
                  <w:tcW w:w="712" w:type="pct"/>
                  <w:vMerge w:val="restart"/>
                  <w:vAlign w:val="center"/>
                </w:tcPr>
                <w:p w14:paraId="2BBB88A6">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工序</w:t>
                  </w:r>
                </w:p>
              </w:tc>
              <w:tc>
                <w:tcPr>
                  <w:tcW w:w="893" w:type="pct"/>
                  <w:vMerge w:val="restart"/>
                  <w:vAlign w:val="center"/>
                </w:tcPr>
                <w:p w14:paraId="6F2BFDA6">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污染物名称</w:t>
                  </w:r>
                </w:p>
              </w:tc>
              <w:tc>
                <w:tcPr>
                  <w:tcW w:w="539" w:type="pct"/>
                  <w:vAlign w:val="center"/>
                </w:tcPr>
                <w:p w14:paraId="793136D9">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削减量</w:t>
                  </w:r>
                </w:p>
              </w:tc>
              <w:tc>
                <w:tcPr>
                  <w:tcW w:w="539" w:type="pct"/>
                  <w:vAlign w:val="center"/>
                </w:tcPr>
                <w:p w14:paraId="7D606507">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排放量</w:t>
                  </w:r>
                </w:p>
              </w:tc>
              <w:tc>
                <w:tcPr>
                  <w:tcW w:w="715" w:type="pct"/>
                  <w:vAlign w:val="center"/>
                </w:tcPr>
                <w:p w14:paraId="55A82F01">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面源面积</w:t>
                  </w:r>
                </w:p>
              </w:tc>
              <w:tc>
                <w:tcPr>
                  <w:tcW w:w="710" w:type="pct"/>
                  <w:vAlign w:val="center"/>
                </w:tcPr>
                <w:p w14:paraId="0D83FDDA">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面源高度</w:t>
                  </w:r>
                </w:p>
              </w:tc>
            </w:tr>
            <w:tr w14:paraId="71B51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66E636F8">
                  <w:pPr>
                    <w:snapToGrid w:val="0"/>
                    <w:jc w:val="center"/>
                    <w:rPr>
                      <w:rFonts w:ascii="Times New Roman" w:hAnsi="Times New Roman" w:eastAsia="宋体" w:cs="宋体"/>
                      <w:b/>
                      <w:color w:val="auto"/>
                      <w:szCs w:val="21"/>
                      <w:highlight w:val="none"/>
                    </w:rPr>
                  </w:pPr>
                </w:p>
              </w:tc>
              <w:tc>
                <w:tcPr>
                  <w:tcW w:w="712" w:type="pct"/>
                  <w:vMerge w:val="continue"/>
                  <w:vAlign w:val="center"/>
                </w:tcPr>
                <w:p w14:paraId="46578B2B">
                  <w:pPr>
                    <w:snapToGrid w:val="0"/>
                    <w:jc w:val="center"/>
                    <w:rPr>
                      <w:rFonts w:ascii="Times New Roman" w:hAnsi="Times New Roman" w:eastAsia="宋体" w:cs="宋体"/>
                      <w:b/>
                      <w:color w:val="auto"/>
                      <w:szCs w:val="21"/>
                      <w:highlight w:val="none"/>
                    </w:rPr>
                  </w:pPr>
                </w:p>
              </w:tc>
              <w:tc>
                <w:tcPr>
                  <w:tcW w:w="893" w:type="pct"/>
                  <w:vMerge w:val="continue"/>
                  <w:vAlign w:val="center"/>
                </w:tcPr>
                <w:p w14:paraId="73DD2387">
                  <w:pPr>
                    <w:snapToGrid w:val="0"/>
                    <w:jc w:val="center"/>
                    <w:rPr>
                      <w:rFonts w:ascii="Times New Roman" w:hAnsi="Times New Roman" w:eastAsia="宋体" w:cs="宋体"/>
                      <w:b/>
                      <w:color w:val="auto"/>
                      <w:szCs w:val="21"/>
                      <w:highlight w:val="none"/>
                    </w:rPr>
                  </w:pPr>
                </w:p>
              </w:tc>
              <w:tc>
                <w:tcPr>
                  <w:tcW w:w="539" w:type="pct"/>
                  <w:vAlign w:val="center"/>
                </w:tcPr>
                <w:p w14:paraId="0AF96337">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t/a</w:t>
                  </w:r>
                </w:p>
              </w:tc>
              <w:tc>
                <w:tcPr>
                  <w:tcW w:w="539" w:type="pct"/>
                  <w:vAlign w:val="center"/>
                </w:tcPr>
                <w:p w14:paraId="5600645B">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t/a</w:t>
                  </w:r>
                </w:p>
              </w:tc>
              <w:tc>
                <w:tcPr>
                  <w:tcW w:w="715" w:type="pct"/>
                  <w:vAlign w:val="center"/>
                </w:tcPr>
                <w:p w14:paraId="2F6390A6">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2</w:t>
                  </w:r>
                </w:p>
              </w:tc>
              <w:tc>
                <w:tcPr>
                  <w:tcW w:w="710" w:type="pct"/>
                  <w:vAlign w:val="center"/>
                </w:tcPr>
                <w:p w14:paraId="3FE10F78">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w:t>
                  </w:r>
                </w:p>
              </w:tc>
            </w:tr>
            <w:tr w14:paraId="24138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1626659C">
                  <w:pPr>
                    <w:snapToGrid w:val="0"/>
                    <w:jc w:val="center"/>
                    <w:rPr>
                      <w:rFonts w:ascii="Times New Roman" w:hAnsi="Times New Roman" w:eastAsia="宋体" w:cs="宋体"/>
                      <w:color w:val="auto"/>
                      <w:szCs w:val="21"/>
                      <w:highlight w:val="none"/>
                    </w:rPr>
                  </w:pPr>
                  <w:r>
                    <w:rPr>
                      <w:rFonts w:hint="eastAsia" w:cs="宋体"/>
                      <w:color w:val="auto"/>
                      <w:highlight w:val="none"/>
                      <w:lang w:val="en-US" w:eastAsia="zh-CN"/>
                    </w:rPr>
                    <w:t>2#</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712" w:type="pct"/>
                  <w:vAlign w:val="center"/>
                </w:tcPr>
                <w:p w14:paraId="4F1ACC70">
                  <w:pPr>
                    <w:snapToGrid w:val="0"/>
                    <w:jc w:val="center"/>
                    <w:rPr>
                      <w:rFonts w:hint="default" w:cs="宋体"/>
                      <w:bCs/>
                      <w:color w:val="auto"/>
                      <w:kern w:val="2"/>
                      <w:sz w:val="21"/>
                      <w:szCs w:val="21"/>
                      <w:highlight w:val="none"/>
                      <w:lang w:val="en-US" w:eastAsia="zh-CN" w:bidi="ar-SA"/>
                    </w:rPr>
                  </w:pPr>
                  <w:r>
                    <w:rPr>
                      <w:rFonts w:hint="eastAsia" w:cs="宋体"/>
                      <w:bCs/>
                      <w:color w:val="auto"/>
                      <w:kern w:val="2"/>
                      <w:sz w:val="21"/>
                      <w:szCs w:val="21"/>
                      <w:highlight w:val="none"/>
                      <w:lang w:val="en-US" w:eastAsia="zh-CN" w:bidi="ar-SA"/>
                    </w:rPr>
                    <w:t>注塑</w:t>
                  </w:r>
                </w:p>
              </w:tc>
              <w:tc>
                <w:tcPr>
                  <w:tcW w:w="893" w:type="pct"/>
                  <w:vAlign w:val="center"/>
                </w:tcPr>
                <w:p w14:paraId="3521A68E">
                  <w:pPr>
                    <w:snapToGrid w:val="0"/>
                    <w:jc w:val="center"/>
                    <w:rPr>
                      <w:rFonts w:hint="default"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kern w:val="2"/>
                      <w:sz w:val="21"/>
                      <w:szCs w:val="21"/>
                      <w:highlight w:val="none"/>
                      <w:lang w:val="en-US" w:eastAsia="zh-CN" w:bidi="ar-SA"/>
                    </w:rPr>
                    <w:t>非甲烷总烃</w:t>
                  </w:r>
                </w:p>
              </w:tc>
              <w:tc>
                <w:tcPr>
                  <w:tcW w:w="539" w:type="pct"/>
                  <w:vAlign w:val="center"/>
                </w:tcPr>
                <w:p w14:paraId="6DA0EB7B">
                  <w:pPr>
                    <w:snapToGrid w:val="0"/>
                    <w:jc w:val="center"/>
                    <w:rPr>
                      <w:rFonts w:hint="default"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w:t>
                  </w:r>
                </w:p>
              </w:tc>
              <w:tc>
                <w:tcPr>
                  <w:tcW w:w="539" w:type="pct"/>
                  <w:vAlign w:val="center"/>
                </w:tcPr>
                <w:p w14:paraId="21AB998D">
                  <w:pPr>
                    <w:snapToGrid w:val="0"/>
                    <w:jc w:val="center"/>
                    <w:rPr>
                      <w:rFonts w:hint="default"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0.035</w:t>
                  </w:r>
                </w:p>
              </w:tc>
              <w:tc>
                <w:tcPr>
                  <w:tcW w:w="715" w:type="pct"/>
                  <w:vMerge w:val="restart"/>
                  <w:vAlign w:val="center"/>
                </w:tcPr>
                <w:p w14:paraId="1FB395CE">
                  <w:pPr>
                    <w:pStyle w:val="59"/>
                    <w:autoSpaceDE w:val="0"/>
                    <w:autoSpaceDN w:val="0"/>
                    <w:snapToGrid w:val="0"/>
                    <w:jc w:val="center"/>
                    <w:rPr>
                      <w:rFonts w:hint="default" w:ascii="Times New Roman" w:hAnsi="Times New Roman" w:eastAsia="宋体"/>
                      <w:snapToGrid w:val="0"/>
                      <w:color w:val="auto"/>
                      <w:kern w:val="0"/>
                      <w:highlight w:val="none"/>
                      <w:lang w:val="en-US"/>
                    </w:rPr>
                  </w:pPr>
                  <w:r>
                    <w:rPr>
                      <w:rFonts w:hint="eastAsia" w:ascii="Times New Roman" w:hAnsi="Times New Roman"/>
                      <w:snapToGrid w:val="0"/>
                      <w:color w:val="auto"/>
                      <w:kern w:val="0"/>
                      <w:highlight w:val="none"/>
                      <w:lang w:val="en-US" w:eastAsia="zh-CN"/>
                    </w:rPr>
                    <w:t>6160.04</w:t>
                  </w:r>
                </w:p>
              </w:tc>
              <w:tc>
                <w:tcPr>
                  <w:tcW w:w="710" w:type="pct"/>
                  <w:vMerge w:val="restart"/>
                  <w:vAlign w:val="center"/>
                </w:tcPr>
                <w:p w14:paraId="1F776F15">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12</w:t>
                  </w:r>
                </w:p>
              </w:tc>
            </w:tr>
            <w:tr w14:paraId="5A7B9E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4F23F53E">
                  <w:pPr>
                    <w:snapToGrid w:val="0"/>
                    <w:jc w:val="center"/>
                    <w:rPr>
                      <w:rFonts w:ascii="Times New Roman" w:hAnsi="Times New Roman" w:eastAsia="宋体" w:cs="宋体"/>
                      <w:color w:val="auto"/>
                      <w:szCs w:val="21"/>
                      <w:highlight w:val="none"/>
                    </w:rPr>
                  </w:pPr>
                </w:p>
              </w:tc>
              <w:tc>
                <w:tcPr>
                  <w:tcW w:w="712" w:type="pct"/>
                  <w:vAlign w:val="center"/>
                </w:tcPr>
                <w:p w14:paraId="452C18DC">
                  <w:pPr>
                    <w:snapToGrid w:val="0"/>
                    <w:jc w:val="center"/>
                    <w:rPr>
                      <w:rFonts w:hint="default" w:ascii="Times New Roman" w:hAnsi="Times New Roman" w:eastAsia="宋体" w:cs="宋体"/>
                      <w:bCs/>
                      <w:color w:val="auto"/>
                      <w:kern w:val="2"/>
                      <w:sz w:val="21"/>
                      <w:szCs w:val="21"/>
                      <w:highlight w:val="none"/>
                      <w:lang w:val="en-US" w:eastAsia="zh-CN" w:bidi="ar-SA"/>
                    </w:rPr>
                  </w:pPr>
                  <w:r>
                    <w:rPr>
                      <w:rFonts w:hint="eastAsia" w:cs="宋体"/>
                      <w:bCs/>
                      <w:color w:val="auto"/>
                      <w:kern w:val="2"/>
                      <w:sz w:val="21"/>
                      <w:szCs w:val="21"/>
                      <w:highlight w:val="none"/>
                      <w:lang w:val="en-US" w:eastAsia="zh-CN" w:bidi="ar-SA"/>
                    </w:rPr>
                    <w:t>熔化</w:t>
                  </w:r>
                </w:p>
              </w:tc>
              <w:tc>
                <w:tcPr>
                  <w:tcW w:w="893" w:type="pct"/>
                  <w:vAlign w:val="center"/>
                </w:tcPr>
                <w:p w14:paraId="02DADC0F">
                  <w:pPr>
                    <w:snapToGrid w:val="0"/>
                    <w:jc w:val="center"/>
                    <w:rPr>
                      <w:rFonts w:hint="default"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kern w:val="2"/>
                      <w:sz w:val="21"/>
                      <w:szCs w:val="21"/>
                      <w:highlight w:val="none"/>
                      <w:lang w:val="en-US" w:eastAsia="zh-CN" w:bidi="ar-SA"/>
                    </w:rPr>
                    <w:t>颗粒物</w:t>
                  </w:r>
                </w:p>
              </w:tc>
              <w:tc>
                <w:tcPr>
                  <w:tcW w:w="539" w:type="pct"/>
                  <w:vAlign w:val="center"/>
                </w:tcPr>
                <w:p w14:paraId="4EEFC3F1">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w:t>
                  </w:r>
                </w:p>
              </w:tc>
              <w:tc>
                <w:tcPr>
                  <w:tcW w:w="539" w:type="pct"/>
                  <w:vAlign w:val="center"/>
                </w:tcPr>
                <w:p w14:paraId="53AA02F5">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 w:val="21"/>
                      <w:szCs w:val="21"/>
                      <w:highlight w:val="none"/>
                      <w:lang w:val="en-US" w:eastAsia="zh-CN" w:bidi="ar-SA"/>
                    </w:rPr>
                    <w:t>0.057</w:t>
                  </w:r>
                </w:p>
              </w:tc>
              <w:tc>
                <w:tcPr>
                  <w:tcW w:w="715" w:type="pct"/>
                  <w:vMerge w:val="continue"/>
                  <w:vAlign w:val="center"/>
                </w:tcPr>
                <w:p w14:paraId="72035672">
                  <w:pPr>
                    <w:pStyle w:val="59"/>
                    <w:autoSpaceDE w:val="0"/>
                    <w:autoSpaceDN w:val="0"/>
                    <w:snapToGrid w:val="0"/>
                    <w:jc w:val="center"/>
                    <w:rPr>
                      <w:rFonts w:hint="default" w:ascii="Times New Roman" w:hAnsi="Times New Roman" w:eastAsia="宋体"/>
                      <w:snapToGrid w:val="0"/>
                      <w:color w:val="auto"/>
                      <w:kern w:val="0"/>
                      <w:highlight w:val="none"/>
                      <w:lang w:val="en-US"/>
                    </w:rPr>
                  </w:pPr>
                </w:p>
              </w:tc>
              <w:tc>
                <w:tcPr>
                  <w:tcW w:w="710" w:type="pct"/>
                  <w:vMerge w:val="continue"/>
                  <w:vAlign w:val="center"/>
                </w:tcPr>
                <w:p w14:paraId="5B45E1A2">
                  <w:pPr>
                    <w:pStyle w:val="59"/>
                    <w:autoSpaceDE w:val="0"/>
                    <w:autoSpaceDN w:val="0"/>
                    <w:snapToGrid w:val="0"/>
                    <w:jc w:val="center"/>
                    <w:rPr>
                      <w:rFonts w:ascii="Times New Roman" w:hAnsi="Times New Roman" w:eastAsia="宋体"/>
                      <w:snapToGrid w:val="0"/>
                      <w:color w:val="auto"/>
                      <w:kern w:val="0"/>
                      <w:highlight w:val="none"/>
                    </w:rPr>
                  </w:pPr>
                </w:p>
              </w:tc>
            </w:tr>
            <w:tr w14:paraId="08F70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2D127C43">
                  <w:pPr>
                    <w:snapToGrid w:val="0"/>
                    <w:jc w:val="center"/>
                    <w:rPr>
                      <w:rFonts w:hint="eastAsia" w:ascii="Times New Roman" w:hAnsi="Times New Roman" w:eastAsia="宋体" w:cs="宋体"/>
                      <w:color w:val="auto"/>
                      <w:highlight w:val="none"/>
                      <w:lang w:val="en-US" w:eastAsia="zh-CN"/>
                    </w:rPr>
                  </w:pPr>
                </w:p>
              </w:tc>
              <w:tc>
                <w:tcPr>
                  <w:tcW w:w="712" w:type="pct"/>
                  <w:shd w:val="clear" w:color="auto" w:fill="auto"/>
                  <w:vAlign w:val="center"/>
                </w:tcPr>
                <w:p w14:paraId="4237FAAD">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cs="宋体"/>
                      <w:bCs/>
                      <w:color w:val="auto"/>
                      <w:szCs w:val="21"/>
                      <w:highlight w:val="none"/>
                      <w:lang w:val="en-US" w:eastAsia="zh-CN"/>
                    </w:rPr>
                    <w:t>压铸</w:t>
                  </w:r>
                </w:p>
              </w:tc>
              <w:tc>
                <w:tcPr>
                  <w:tcW w:w="893" w:type="pct"/>
                  <w:shd w:val="clear" w:color="auto" w:fill="auto"/>
                  <w:vAlign w:val="center"/>
                </w:tcPr>
                <w:p w14:paraId="2F715C37">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szCs w:val="21"/>
                      <w:highlight w:val="none"/>
                    </w:rPr>
                    <w:t>颗粒物</w:t>
                  </w:r>
                </w:p>
              </w:tc>
              <w:tc>
                <w:tcPr>
                  <w:tcW w:w="539" w:type="pct"/>
                  <w:shd w:val="clear" w:color="auto" w:fill="auto"/>
                  <w:vAlign w:val="center"/>
                </w:tcPr>
                <w:p w14:paraId="3293A351">
                  <w:pPr>
                    <w:snapToGrid w:val="0"/>
                    <w:jc w:val="center"/>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0</w:t>
                  </w:r>
                </w:p>
              </w:tc>
              <w:tc>
                <w:tcPr>
                  <w:tcW w:w="539" w:type="pct"/>
                  <w:shd w:val="clear" w:color="auto" w:fill="auto"/>
                  <w:vAlign w:val="center"/>
                </w:tcPr>
                <w:p w14:paraId="0D16ACC5">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Cs w:val="21"/>
                      <w:highlight w:val="none"/>
                      <w:lang w:val="en-US" w:eastAsia="zh-CN"/>
                    </w:rPr>
                    <w:t>0.015</w:t>
                  </w:r>
                </w:p>
              </w:tc>
              <w:tc>
                <w:tcPr>
                  <w:tcW w:w="715" w:type="pct"/>
                  <w:vMerge w:val="continue"/>
                  <w:vAlign w:val="center"/>
                </w:tcPr>
                <w:p w14:paraId="6C7021F8">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c>
                <w:tcPr>
                  <w:tcW w:w="710" w:type="pct"/>
                  <w:vMerge w:val="continue"/>
                  <w:vAlign w:val="center"/>
                </w:tcPr>
                <w:p w14:paraId="706DD934">
                  <w:pPr>
                    <w:pStyle w:val="59"/>
                    <w:autoSpaceDE w:val="0"/>
                    <w:autoSpaceDN w:val="0"/>
                    <w:snapToGrid w:val="0"/>
                    <w:jc w:val="center"/>
                    <w:rPr>
                      <w:rFonts w:hint="eastAsia" w:ascii="Times New Roman" w:hAnsi="Times New Roman" w:eastAsia="宋体"/>
                      <w:snapToGrid w:val="0"/>
                      <w:color w:val="auto"/>
                      <w:kern w:val="0"/>
                      <w:highlight w:val="none"/>
                      <w:lang w:val="en-US" w:eastAsia="zh-CN"/>
                    </w:rPr>
                  </w:pPr>
                </w:p>
              </w:tc>
            </w:tr>
            <w:tr w14:paraId="41ABD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67F31E16">
                  <w:pPr>
                    <w:snapToGrid w:val="0"/>
                    <w:jc w:val="center"/>
                    <w:rPr>
                      <w:rFonts w:ascii="Times New Roman" w:hAnsi="Times New Roman" w:eastAsia="宋体" w:cs="宋体"/>
                      <w:bCs/>
                      <w:color w:val="auto"/>
                      <w:szCs w:val="21"/>
                      <w:highlight w:val="none"/>
                    </w:rPr>
                  </w:pPr>
                </w:p>
              </w:tc>
              <w:tc>
                <w:tcPr>
                  <w:tcW w:w="712" w:type="pct"/>
                  <w:vAlign w:val="center"/>
                </w:tcPr>
                <w:p w14:paraId="4BC05003">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cs="宋体"/>
                      <w:bCs/>
                      <w:color w:val="auto"/>
                      <w:szCs w:val="21"/>
                      <w:highlight w:val="none"/>
                      <w:lang w:val="en-US" w:eastAsia="zh-CN"/>
                    </w:rPr>
                    <w:t>脱模</w:t>
                  </w:r>
                </w:p>
              </w:tc>
              <w:tc>
                <w:tcPr>
                  <w:tcW w:w="893" w:type="pct"/>
                  <w:vAlign w:val="center"/>
                </w:tcPr>
                <w:p w14:paraId="6C9B3CC1">
                  <w:pPr>
                    <w:snapToGrid w:val="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bCs/>
                      <w:color w:val="auto"/>
                      <w:szCs w:val="21"/>
                      <w:highlight w:val="none"/>
                      <w:lang w:val="en-US" w:eastAsia="zh-CN"/>
                    </w:rPr>
                    <w:t>非甲烷总烃</w:t>
                  </w:r>
                </w:p>
              </w:tc>
              <w:tc>
                <w:tcPr>
                  <w:tcW w:w="539" w:type="pct"/>
                  <w:vAlign w:val="center"/>
                </w:tcPr>
                <w:p w14:paraId="07A514A4">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0</w:t>
                  </w:r>
                </w:p>
              </w:tc>
              <w:tc>
                <w:tcPr>
                  <w:tcW w:w="539" w:type="pct"/>
                  <w:vAlign w:val="center"/>
                </w:tcPr>
                <w:p w14:paraId="08ACF98C">
                  <w:pPr>
                    <w:snapToGrid w:val="0"/>
                    <w:jc w:val="center"/>
                    <w:rPr>
                      <w:rFonts w:hint="default" w:ascii="Times New Roman" w:hAnsi="Times New Roman" w:eastAsia="宋体" w:cs="宋体"/>
                      <w:bCs/>
                      <w:color w:val="auto"/>
                      <w:kern w:val="0"/>
                      <w:sz w:val="21"/>
                      <w:szCs w:val="21"/>
                      <w:highlight w:val="none"/>
                      <w:lang w:val="en-US" w:eastAsia="zh-CN" w:bidi="ar-SA"/>
                    </w:rPr>
                  </w:pPr>
                  <w:r>
                    <w:rPr>
                      <w:rFonts w:hint="eastAsia" w:cs="宋体"/>
                      <w:bCs/>
                      <w:color w:val="auto"/>
                      <w:kern w:val="0"/>
                      <w:szCs w:val="21"/>
                      <w:highlight w:val="none"/>
                      <w:lang w:val="en-US" w:eastAsia="zh-CN"/>
                    </w:rPr>
                    <w:t>0.15</w:t>
                  </w:r>
                </w:p>
              </w:tc>
              <w:tc>
                <w:tcPr>
                  <w:tcW w:w="715" w:type="pct"/>
                  <w:vMerge w:val="continue"/>
                  <w:vAlign w:val="center"/>
                </w:tcPr>
                <w:p w14:paraId="167A6CDE">
                  <w:pPr>
                    <w:snapToGrid w:val="0"/>
                    <w:jc w:val="center"/>
                    <w:rPr>
                      <w:rFonts w:ascii="Times New Roman" w:hAnsi="Times New Roman" w:eastAsia="宋体" w:cs="宋体"/>
                      <w:bCs/>
                      <w:color w:val="auto"/>
                      <w:kern w:val="0"/>
                      <w:szCs w:val="21"/>
                      <w:highlight w:val="none"/>
                    </w:rPr>
                  </w:pPr>
                </w:p>
              </w:tc>
              <w:tc>
                <w:tcPr>
                  <w:tcW w:w="710" w:type="pct"/>
                  <w:vMerge w:val="continue"/>
                  <w:vAlign w:val="center"/>
                </w:tcPr>
                <w:p w14:paraId="321BD714">
                  <w:pPr>
                    <w:snapToGrid w:val="0"/>
                    <w:jc w:val="center"/>
                    <w:rPr>
                      <w:rFonts w:ascii="Times New Roman" w:hAnsi="Times New Roman" w:eastAsia="宋体" w:cs="宋体"/>
                      <w:bCs/>
                      <w:color w:val="auto"/>
                      <w:kern w:val="0"/>
                      <w:szCs w:val="21"/>
                      <w:highlight w:val="none"/>
                    </w:rPr>
                  </w:pPr>
                </w:p>
              </w:tc>
            </w:tr>
            <w:tr w14:paraId="0E381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5DF7F46D">
                  <w:pPr>
                    <w:snapToGrid w:val="0"/>
                    <w:jc w:val="center"/>
                    <w:rPr>
                      <w:rFonts w:ascii="Times New Roman" w:hAnsi="Times New Roman" w:eastAsia="宋体" w:cs="宋体"/>
                      <w:color w:val="auto"/>
                      <w:highlight w:val="none"/>
                    </w:rPr>
                  </w:pPr>
                </w:p>
              </w:tc>
              <w:tc>
                <w:tcPr>
                  <w:tcW w:w="712" w:type="pct"/>
                  <w:vMerge w:val="restart"/>
                  <w:vAlign w:val="center"/>
                </w:tcPr>
                <w:p w14:paraId="4931AD36">
                  <w:pPr>
                    <w:snapToGrid w:val="0"/>
                    <w:jc w:val="center"/>
                    <w:rPr>
                      <w:rFonts w:ascii="Times New Roman" w:hAnsi="Times New Roman" w:eastAsia="宋体" w:cs="宋体"/>
                      <w:color w:val="auto"/>
                      <w:kern w:val="0"/>
                      <w:sz w:val="21"/>
                      <w:szCs w:val="21"/>
                      <w:highlight w:val="none"/>
                      <w:lang w:val="en-US" w:eastAsia="zh-CN" w:bidi="ar-SA"/>
                    </w:rPr>
                  </w:pPr>
                  <w:r>
                    <w:rPr>
                      <w:rFonts w:hint="eastAsia" w:ascii="Times New Roman" w:hAnsi="Times New Roman" w:eastAsia="宋体" w:cs="宋体"/>
                      <w:color w:val="auto"/>
                      <w:kern w:val="0"/>
                      <w:szCs w:val="21"/>
                      <w:highlight w:val="none"/>
                    </w:rPr>
                    <w:t>合计</w:t>
                  </w:r>
                </w:p>
              </w:tc>
              <w:tc>
                <w:tcPr>
                  <w:tcW w:w="893" w:type="pct"/>
                  <w:vAlign w:val="center"/>
                </w:tcPr>
                <w:p w14:paraId="7134AFE1">
                  <w:pPr>
                    <w:tabs>
                      <w:tab w:val="left" w:pos="960"/>
                    </w:tabs>
                    <w:snapToGrid w:val="0"/>
                    <w:jc w:val="center"/>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颗粒物</w:t>
                  </w:r>
                </w:p>
              </w:tc>
              <w:tc>
                <w:tcPr>
                  <w:tcW w:w="539" w:type="pct"/>
                  <w:vAlign w:val="center"/>
                </w:tcPr>
                <w:p w14:paraId="345ACC08">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bCs/>
                      <w:color w:val="auto"/>
                      <w:kern w:val="0"/>
                      <w:sz w:val="21"/>
                      <w:szCs w:val="21"/>
                      <w:highlight w:val="none"/>
                      <w:lang w:val="en-US" w:eastAsia="zh-CN" w:bidi="ar-SA"/>
                    </w:rPr>
                    <w:t>0</w:t>
                  </w:r>
                </w:p>
              </w:tc>
              <w:tc>
                <w:tcPr>
                  <w:tcW w:w="539" w:type="pct"/>
                  <w:vAlign w:val="center"/>
                </w:tcPr>
                <w:p w14:paraId="4B36DBBE">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0.072</w:t>
                  </w:r>
                </w:p>
              </w:tc>
              <w:tc>
                <w:tcPr>
                  <w:tcW w:w="715" w:type="pct"/>
                  <w:vMerge w:val="continue"/>
                  <w:vAlign w:val="center"/>
                </w:tcPr>
                <w:p w14:paraId="0775FF52">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1FBF091F">
                  <w:pPr>
                    <w:pStyle w:val="59"/>
                    <w:autoSpaceDE w:val="0"/>
                    <w:autoSpaceDN w:val="0"/>
                    <w:snapToGrid w:val="0"/>
                    <w:jc w:val="center"/>
                    <w:rPr>
                      <w:rFonts w:ascii="Times New Roman" w:hAnsi="Times New Roman" w:eastAsia="宋体"/>
                      <w:snapToGrid w:val="0"/>
                      <w:color w:val="auto"/>
                      <w:kern w:val="0"/>
                      <w:highlight w:val="none"/>
                    </w:rPr>
                  </w:pPr>
                </w:p>
              </w:tc>
            </w:tr>
            <w:tr w14:paraId="62703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1E93C7AE">
                  <w:pPr>
                    <w:snapToGrid w:val="0"/>
                    <w:jc w:val="center"/>
                    <w:rPr>
                      <w:rFonts w:ascii="Times New Roman" w:hAnsi="Times New Roman" w:eastAsia="宋体" w:cs="宋体"/>
                      <w:color w:val="auto"/>
                      <w:highlight w:val="none"/>
                    </w:rPr>
                  </w:pPr>
                </w:p>
              </w:tc>
              <w:tc>
                <w:tcPr>
                  <w:tcW w:w="712" w:type="pct"/>
                  <w:vMerge w:val="continue"/>
                  <w:vAlign w:val="center"/>
                </w:tcPr>
                <w:p w14:paraId="6F8D1126">
                  <w:pPr>
                    <w:snapToGrid w:val="0"/>
                    <w:jc w:val="center"/>
                    <w:rPr>
                      <w:rFonts w:ascii="Times New Roman" w:hAnsi="Times New Roman" w:eastAsia="宋体" w:cs="宋体"/>
                      <w:color w:val="auto"/>
                      <w:kern w:val="0"/>
                      <w:szCs w:val="21"/>
                      <w:highlight w:val="none"/>
                    </w:rPr>
                  </w:pPr>
                </w:p>
              </w:tc>
              <w:tc>
                <w:tcPr>
                  <w:tcW w:w="893" w:type="pct"/>
                  <w:vAlign w:val="center"/>
                </w:tcPr>
                <w:p w14:paraId="55740A5F">
                  <w:pPr>
                    <w:tabs>
                      <w:tab w:val="left" w:pos="960"/>
                    </w:tabs>
                    <w:snapToGrid w:val="0"/>
                    <w:jc w:val="center"/>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非甲烷总烃</w:t>
                  </w:r>
                </w:p>
              </w:tc>
              <w:tc>
                <w:tcPr>
                  <w:tcW w:w="539" w:type="pct"/>
                  <w:vAlign w:val="center"/>
                </w:tcPr>
                <w:p w14:paraId="5ED21189">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0</w:t>
                  </w:r>
                </w:p>
              </w:tc>
              <w:tc>
                <w:tcPr>
                  <w:tcW w:w="539" w:type="pct"/>
                  <w:vAlign w:val="center"/>
                </w:tcPr>
                <w:p w14:paraId="2E378AE0">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0.185</w:t>
                  </w:r>
                </w:p>
              </w:tc>
              <w:tc>
                <w:tcPr>
                  <w:tcW w:w="715" w:type="pct"/>
                  <w:vMerge w:val="continue"/>
                  <w:vAlign w:val="center"/>
                </w:tcPr>
                <w:p w14:paraId="7E2F2F36">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2DC0D99E">
                  <w:pPr>
                    <w:pStyle w:val="59"/>
                    <w:autoSpaceDE w:val="0"/>
                    <w:autoSpaceDN w:val="0"/>
                    <w:snapToGrid w:val="0"/>
                    <w:jc w:val="center"/>
                    <w:rPr>
                      <w:rFonts w:ascii="Times New Roman" w:hAnsi="Times New Roman" w:eastAsia="宋体"/>
                      <w:snapToGrid w:val="0"/>
                      <w:color w:val="auto"/>
                      <w:kern w:val="0"/>
                      <w:highlight w:val="none"/>
                    </w:rPr>
                  </w:pPr>
                </w:p>
              </w:tc>
            </w:tr>
            <w:tr w14:paraId="235FC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restart"/>
                  <w:vAlign w:val="center"/>
                </w:tcPr>
                <w:p w14:paraId="5753FA3A">
                  <w:pPr>
                    <w:snapToGrid w:val="0"/>
                    <w:jc w:val="center"/>
                    <w:rPr>
                      <w:rFonts w:ascii="Times New Roman" w:hAnsi="Times New Roman" w:eastAsia="宋体" w:cs="宋体"/>
                      <w:color w:val="auto"/>
                      <w:highlight w:val="none"/>
                    </w:rPr>
                  </w:pP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生产</w:t>
                  </w:r>
                  <w:r>
                    <w:rPr>
                      <w:rFonts w:hint="eastAsia" w:ascii="Times New Roman" w:hAnsi="Times New Roman" w:eastAsia="宋体" w:cs="宋体"/>
                      <w:color w:val="auto"/>
                      <w:highlight w:val="none"/>
                    </w:rPr>
                    <w:t>车间</w:t>
                  </w:r>
                </w:p>
              </w:tc>
              <w:tc>
                <w:tcPr>
                  <w:tcW w:w="712" w:type="pct"/>
                  <w:vAlign w:val="center"/>
                </w:tcPr>
                <w:p w14:paraId="34B4B57F">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打磨</w:t>
                  </w:r>
                </w:p>
              </w:tc>
              <w:tc>
                <w:tcPr>
                  <w:tcW w:w="1497" w:type="dxa"/>
                  <w:vAlign w:val="center"/>
                </w:tcPr>
                <w:p w14:paraId="5AED5CAA">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kern w:val="2"/>
                      <w:sz w:val="21"/>
                      <w:szCs w:val="21"/>
                      <w:highlight w:val="none"/>
                      <w:lang w:val="en-US" w:eastAsia="zh-CN" w:bidi="ar-SA"/>
                    </w:rPr>
                    <w:t>颗粒物</w:t>
                  </w:r>
                </w:p>
              </w:tc>
              <w:tc>
                <w:tcPr>
                  <w:tcW w:w="904" w:type="dxa"/>
                  <w:vAlign w:val="center"/>
                </w:tcPr>
                <w:p w14:paraId="2617F42D">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1.064</w:t>
                  </w:r>
                </w:p>
              </w:tc>
              <w:tc>
                <w:tcPr>
                  <w:tcW w:w="904" w:type="dxa"/>
                  <w:vAlign w:val="center"/>
                </w:tcPr>
                <w:p w14:paraId="7C1127B4">
                  <w:pPr>
                    <w:snapToGrid w:val="0"/>
                    <w:jc w:val="center"/>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0.25</w:t>
                  </w:r>
                </w:p>
              </w:tc>
              <w:tc>
                <w:tcPr>
                  <w:tcW w:w="715" w:type="pct"/>
                  <w:vMerge w:val="restart"/>
                  <w:vAlign w:val="center"/>
                </w:tcPr>
                <w:p w14:paraId="23DE774A">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2197.96</w:t>
                  </w:r>
                </w:p>
              </w:tc>
              <w:tc>
                <w:tcPr>
                  <w:tcW w:w="710" w:type="pct"/>
                  <w:vMerge w:val="restart"/>
                  <w:vAlign w:val="center"/>
                </w:tcPr>
                <w:p w14:paraId="2BACEB02">
                  <w:pPr>
                    <w:pStyle w:val="59"/>
                    <w:autoSpaceDE w:val="0"/>
                    <w:autoSpaceDN w:val="0"/>
                    <w:snapToGrid w:val="0"/>
                    <w:jc w:val="center"/>
                    <w:rPr>
                      <w:rFonts w:ascii="Times New Roman" w:hAnsi="Times New Roman" w:eastAsia="宋体"/>
                      <w:snapToGrid w:val="0"/>
                      <w:color w:val="auto"/>
                      <w:kern w:val="0"/>
                      <w:highlight w:val="none"/>
                    </w:rPr>
                  </w:pPr>
                  <w:r>
                    <w:rPr>
                      <w:rFonts w:hint="eastAsia" w:ascii="Times New Roman" w:hAnsi="Times New Roman"/>
                      <w:snapToGrid w:val="0"/>
                      <w:color w:val="auto"/>
                      <w:kern w:val="0"/>
                      <w:highlight w:val="none"/>
                      <w:lang w:val="en-US" w:eastAsia="zh-CN"/>
                    </w:rPr>
                    <w:t>6</w:t>
                  </w:r>
                </w:p>
              </w:tc>
            </w:tr>
            <w:tr w14:paraId="4BE7C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48D17207">
                  <w:pPr>
                    <w:snapToGrid w:val="0"/>
                    <w:jc w:val="center"/>
                    <w:rPr>
                      <w:rFonts w:ascii="Times New Roman" w:hAnsi="Times New Roman" w:eastAsia="宋体" w:cs="宋体"/>
                      <w:color w:val="auto"/>
                      <w:highlight w:val="none"/>
                    </w:rPr>
                  </w:pPr>
                </w:p>
              </w:tc>
              <w:tc>
                <w:tcPr>
                  <w:tcW w:w="712" w:type="pct"/>
                  <w:vAlign w:val="center"/>
                </w:tcPr>
                <w:p w14:paraId="07F55676">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抛丸</w:t>
                  </w:r>
                </w:p>
              </w:tc>
              <w:tc>
                <w:tcPr>
                  <w:tcW w:w="1497" w:type="dxa"/>
                  <w:vAlign w:val="center"/>
                </w:tcPr>
                <w:p w14:paraId="7B23F788">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904" w:type="dxa"/>
                  <w:vAlign w:val="center"/>
                </w:tcPr>
                <w:p w14:paraId="40AE7D4E">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w:t>
                  </w:r>
                </w:p>
              </w:tc>
              <w:tc>
                <w:tcPr>
                  <w:tcW w:w="904" w:type="dxa"/>
                  <w:vAlign w:val="center"/>
                </w:tcPr>
                <w:p w14:paraId="46A89F52">
                  <w:pPr>
                    <w:snapToGrid w:val="0"/>
                    <w:jc w:val="center"/>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0.066</w:t>
                  </w:r>
                </w:p>
              </w:tc>
              <w:tc>
                <w:tcPr>
                  <w:tcW w:w="715" w:type="pct"/>
                  <w:vMerge w:val="continue"/>
                  <w:vAlign w:val="center"/>
                </w:tcPr>
                <w:p w14:paraId="5CCE47D6">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35E2C761">
                  <w:pPr>
                    <w:pStyle w:val="59"/>
                    <w:autoSpaceDE w:val="0"/>
                    <w:autoSpaceDN w:val="0"/>
                    <w:snapToGrid w:val="0"/>
                    <w:jc w:val="center"/>
                    <w:rPr>
                      <w:rFonts w:ascii="Times New Roman" w:hAnsi="Times New Roman" w:eastAsia="宋体"/>
                      <w:snapToGrid w:val="0"/>
                      <w:color w:val="auto"/>
                      <w:kern w:val="0"/>
                      <w:highlight w:val="none"/>
                    </w:rPr>
                  </w:pPr>
                </w:p>
              </w:tc>
            </w:tr>
            <w:tr w14:paraId="439D0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89" w:type="pct"/>
                  <w:vMerge w:val="continue"/>
                  <w:vAlign w:val="center"/>
                </w:tcPr>
                <w:p w14:paraId="5085B0C5">
                  <w:pPr>
                    <w:snapToGrid w:val="0"/>
                    <w:jc w:val="center"/>
                    <w:rPr>
                      <w:rFonts w:ascii="Times New Roman" w:hAnsi="Times New Roman" w:eastAsia="宋体" w:cs="宋体"/>
                      <w:color w:val="auto"/>
                      <w:highlight w:val="none"/>
                    </w:rPr>
                  </w:pPr>
                </w:p>
              </w:tc>
              <w:tc>
                <w:tcPr>
                  <w:tcW w:w="712" w:type="pct"/>
                  <w:vAlign w:val="center"/>
                </w:tcPr>
                <w:p w14:paraId="7F90E291">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合计</w:t>
                  </w:r>
                </w:p>
              </w:tc>
              <w:tc>
                <w:tcPr>
                  <w:tcW w:w="1497" w:type="dxa"/>
                  <w:vAlign w:val="center"/>
                </w:tcPr>
                <w:p w14:paraId="63947310">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bCs/>
                      <w:color w:val="auto"/>
                      <w:szCs w:val="21"/>
                      <w:highlight w:val="none"/>
                    </w:rPr>
                    <w:t>颗粒物</w:t>
                  </w:r>
                </w:p>
              </w:tc>
              <w:tc>
                <w:tcPr>
                  <w:tcW w:w="904" w:type="dxa"/>
                  <w:vAlign w:val="center"/>
                </w:tcPr>
                <w:p w14:paraId="4DF8656A">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1.064</w:t>
                  </w:r>
                </w:p>
              </w:tc>
              <w:tc>
                <w:tcPr>
                  <w:tcW w:w="904" w:type="dxa"/>
                  <w:vAlign w:val="center"/>
                </w:tcPr>
                <w:p w14:paraId="4AB43DD2">
                  <w:pPr>
                    <w:snapToGrid w:val="0"/>
                    <w:jc w:val="center"/>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0.316</w:t>
                  </w:r>
                </w:p>
              </w:tc>
              <w:tc>
                <w:tcPr>
                  <w:tcW w:w="715" w:type="pct"/>
                  <w:vMerge w:val="continue"/>
                  <w:vAlign w:val="center"/>
                </w:tcPr>
                <w:p w14:paraId="3085916E">
                  <w:pPr>
                    <w:pStyle w:val="59"/>
                    <w:autoSpaceDE w:val="0"/>
                    <w:autoSpaceDN w:val="0"/>
                    <w:snapToGrid w:val="0"/>
                    <w:jc w:val="center"/>
                    <w:rPr>
                      <w:rFonts w:ascii="Times New Roman" w:hAnsi="Times New Roman" w:eastAsia="宋体"/>
                      <w:snapToGrid w:val="0"/>
                      <w:color w:val="auto"/>
                      <w:kern w:val="0"/>
                      <w:highlight w:val="none"/>
                    </w:rPr>
                  </w:pPr>
                </w:p>
              </w:tc>
              <w:tc>
                <w:tcPr>
                  <w:tcW w:w="710" w:type="pct"/>
                  <w:vMerge w:val="continue"/>
                  <w:vAlign w:val="center"/>
                </w:tcPr>
                <w:p w14:paraId="6A4DD41E">
                  <w:pPr>
                    <w:pStyle w:val="59"/>
                    <w:autoSpaceDE w:val="0"/>
                    <w:autoSpaceDN w:val="0"/>
                    <w:snapToGrid w:val="0"/>
                    <w:jc w:val="center"/>
                    <w:rPr>
                      <w:rFonts w:ascii="Times New Roman" w:hAnsi="Times New Roman" w:eastAsia="宋体"/>
                      <w:snapToGrid w:val="0"/>
                      <w:color w:val="auto"/>
                      <w:kern w:val="0"/>
                      <w:highlight w:val="none"/>
                    </w:rPr>
                  </w:pPr>
                </w:p>
              </w:tc>
            </w:tr>
          </w:tbl>
          <w:p w14:paraId="1F321BCD">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本项目在采取可行的污染防治措施后，各项污染物均能达标排放。</w:t>
            </w:r>
          </w:p>
          <w:p w14:paraId="14E3640D">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（4）排放口基本情况</w:t>
            </w:r>
          </w:p>
          <w:p w14:paraId="5E47E106">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lang w:val="en-US" w:eastAsia="zh-CN"/>
              </w:rPr>
              <w:t>1</w:t>
            </w:r>
            <w:r>
              <w:rPr>
                <w:rFonts w:hint="eastAsia" w:cs="宋体"/>
                <w:b/>
                <w:bCs/>
                <w:color w:val="auto"/>
                <w:spacing w:val="-4"/>
                <w:szCs w:val="21"/>
                <w:highlight w:val="none"/>
                <w:lang w:val="en-US" w:eastAsia="zh-CN"/>
              </w:rPr>
              <w:t>2</w:t>
            </w:r>
            <w:r>
              <w:rPr>
                <w:rFonts w:hint="eastAsia" w:ascii="Times New Roman" w:hAnsi="Times New Roman" w:eastAsia="宋体" w:cs="宋体"/>
                <w:b/>
                <w:bCs/>
                <w:color w:val="auto"/>
                <w:spacing w:val="-4"/>
                <w:szCs w:val="21"/>
                <w:highlight w:val="none"/>
              </w:rPr>
              <w:t xml:space="preserve">  废气排放口</w:t>
            </w:r>
            <w:r>
              <w:rPr>
                <w:rFonts w:ascii="Times New Roman" w:hAnsi="Times New Roman" w:eastAsia="宋体" w:cs="宋体"/>
                <w:b/>
                <w:bCs/>
                <w:color w:val="auto"/>
                <w:spacing w:val="-4"/>
                <w:szCs w:val="21"/>
                <w:highlight w:val="none"/>
              </w:rPr>
              <w:t>基本情况表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53"/>
              <w:gridCol w:w="755"/>
              <w:gridCol w:w="1131"/>
              <w:gridCol w:w="1498"/>
              <w:gridCol w:w="1408"/>
              <w:gridCol w:w="962"/>
              <w:gridCol w:w="966"/>
              <w:gridCol w:w="966"/>
            </w:tblGrid>
            <w:tr w14:paraId="08505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446" w:type="pct"/>
                  <w:vMerge w:val="restart"/>
                  <w:vAlign w:val="center"/>
                </w:tcPr>
                <w:p w14:paraId="135096A6">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排放口</w:t>
                  </w:r>
                </w:p>
                <w:p w14:paraId="144A83C3">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编号</w:t>
                  </w:r>
                </w:p>
              </w:tc>
              <w:tc>
                <w:tcPr>
                  <w:tcW w:w="447" w:type="pct"/>
                  <w:vMerge w:val="restart"/>
                  <w:vAlign w:val="center"/>
                </w:tcPr>
                <w:p w14:paraId="1A31E0F2">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排放口</w:t>
                  </w:r>
                </w:p>
                <w:p w14:paraId="23E95E1D">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名称</w:t>
                  </w:r>
                </w:p>
              </w:tc>
              <w:tc>
                <w:tcPr>
                  <w:tcW w:w="670" w:type="pct"/>
                  <w:vMerge w:val="restart"/>
                  <w:vAlign w:val="center"/>
                </w:tcPr>
                <w:p w14:paraId="31B69E3F">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污染物种类</w:t>
                  </w:r>
                </w:p>
              </w:tc>
              <w:tc>
                <w:tcPr>
                  <w:tcW w:w="1721" w:type="pct"/>
                  <w:gridSpan w:val="2"/>
                  <w:vAlign w:val="center"/>
                </w:tcPr>
                <w:p w14:paraId="3DCBD5D5">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排气筒地理坐标</w:t>
                  </w:r>
                </w:p>
              </w:tc>
              <w:tc>
                <w:tcPr>
                  <w:tcW w:w="570" w:type="pct"/>
                  <w:vAlign w:val="center"/>
                </w:tcPr>
                <w:p w14:paraId="427E92EA">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排气筒</w:t>
                  </w:r>
                </w:p>
                <w:p w14:paraId="6AC88FB8">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高度</w:t>
                  </w:r>
                </w:p>
              </w:tc>
              <w:tc>
                <w:tcPr>
                  <w:tcW w:w="572" w:type="pct"/>
                  <w:vAlign w:val="center"/>
                </w:tcPr>
                <w:p w14:paraId="31EAF4E8">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排气筒</w:t>
                  </w:r>
                </w:p>
                <w:p w14:paraId="377A7758">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出口内径</w:t>
                  </w:r>
                </w:p>
              </w:tc>
              <w:tc>
                <w:tcPr>
                  <w:tcW w:w="572" w:type="pct"/>
                  <w:vAlign w:val="center"/>
                </w:tcPr>
                <w:p w14:paraId="755DF7EA">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排气</w:t>
                  </w:r>
                  <w:r>
                    <w:rPr>
                      <w:rFonts w:ascii="Times New Roman" w:hAnsi="Times New Roman" w:eastAsia="宋体" w:cs="宋体"/>
                      <w:b/>
                      <w:color w:val="auto"/>
                      <w:sz w:val="21"/>
                      <w:szCs w:val="21"/>
                      <w:highlight w:val="none"/>
                    </w:rPr>
                    <w:t>温度</w:t>
                  </w:r>
                </w:p>
              </w:tc>
            </w:tr>
            <w:tr w14:paraId="499D6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Merge w:val="continue"/>
                  <w:vAlign w:val="center"/>
                </w:tcPr>
                <w:p w14:paraId="4812A03C">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447" w:type="pct"/>
                  <w:vMerge w:val="continue"/>
                  <w:vAlign w:val="center"/>
                </w:tcPr>
                <w:p w14:paraId="378528C2">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670" w:type="pct"/>
                  <w:vMerge w:val="continue"/>
                  <w:vAlign w:val="center"/>
                </w:tcPr>
                <w:p w14:paraId="2DCD356B">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887" w:type="pct"/>
                  <w:vAlign w:val="center"/>
                </w:tcPr>
                <w:p w14:paraId="50619D71">
                  <w:pPr>
                    <w:pStyle w:val="49"/>
                    <w:adjustRightInd/>
                    <w:spacing w:beforeLines="0" w:line="240" w:lineRule="auto"/>
                    <w:ind w:firstLine="0" w:firstLineChars="0"/>
                    <w:jc w:val="center"/>
                    <w:rPr>
                      <w:rFonts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经度</w:t>
                  </w:r>
                </w:p>
              </w:tc>
              <w:tc>
                <w:tcPr>
                  <w:tcW w:w="834" w:type="pct"/>
                  <w:vAlign w:val="center"/>
                </w:tcPr>
                <w:p w14:paraId="023572B2">
                  <w:pPr>
                    <w:pStyle w:val="49"/>
                    <w:adjustRightInd/>
                    <w:spacing w:beforeLines="0" w:line="240" w:lineRule="auto"/>
                    <w:ind w:firstLine="0" w:firstLineChars="0"/>
                    <w:jc w:val="center"/>
                    <w:rPr>
                      <w:rFonts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纬度</w:t>
                  </w:r>
                </w:p>
              </w:tc>
              <w:tc>
                <w:tcPr>
                  <w:tcW w:w="570" w:type="pct"/>
                  <w:vAlign w:val="center"/>
                </w:tcPr>
                <w:p w14:paraId="1E8ECD77">
                  <w:pPr>
                    <w:pStyle w:val="49"/>
                    <w:adjustRightInd/>
                    <w:spacing w:beforeLines="0" w:line="240" w:lineRule="auto"/>
                    <w:ind w:firstLine="0" w:firstLineChars="0"/>
                    <w:jc w:val="center"/>
                    <w:rPr>
                      <w:rFonts w:ascii="Times New Roman" w:hAnsi="Times New Roman" w:eastAsia="宋体" w:cs="宋体"/>
                      <w:bCs/>
                      <w:color w:val="auto"/>
                      <w:sz w:val="21"/>
                      <w:szCs w:val="21"/>
                      <w:highlight w:val="none"/>
                    </w:rPr>
                  </w:pPr>
                  <w:r>
                    <w:rPr>
                      <w:rFonts w:ascii="Times New Roman" w:hAnsi="Times New Roman" w:eastAsia="宋体" w:cs="宋体"/>
                      <w:bCs/>
                      <w:color w:val="auto"/>
                      <w:sz w:val="21"/>
                      <w:szCs w:val="21"/>
                      <w:highlight w:val="none"/>
                    </w:rPr>
                    <w:t>m</w:t>
                  </w:r>
                </w:p>
              </w:tc>
              <w:tc>
                <w:tcPr>
                  <w:tcW w:w="572" w:type="pct"/>
                  <w:vAlign w:val="center"/>
                </w:tcPr>
                <w:p w14:paraId="01FA0688">
                  <w:pPr>
                    <w:pStyle w:val="49"/>
                    <w:adjustRightInd/>
                    <w:spacing w:beforeLines="0" w:line="240" w:lineRule="auto"/>
                    <w:ind w:firstLine="0" w:firstLineChars="0"/>
                    <w:jc w:val="center"/>
                    <w:rPr>
                      <w:rFonts w:ascii="Times New Roman" w:hAnsi="Times New Roman" w:eastAsia="宋体" w:cs="宋体"/>
                      <w:bCs/>
                      <w:color w:val="auto"/>
                      <w:sz w:val="21"/>
                      <w:szCs w:val="21"/>
                      <w:highlight w:val="none"/>
                    </w:rPr>
                  </w:pPr>
                  <w:r>
                    <w:rPr>
                      <w:rFonts w:ascii="Times New Roman" w:hAnsi="Times New Roman" w:eastAsia="宋体" w:cs="宋体"/>
                      <w:bCs/>
                      <w:color w:val="auto"/>
                      <w:sz w:val="21"/>
                      <w:szCs w:val="21"/>
                      <w:highlight w:val="none"/>
                    </w:rPr>
                    <w:t>m</w:t>
                  </w:r>
                </w:p>
              </w:tc>
              <w:tc>
                <w:tcPr>
                  <w:tcW w:w="572" w:type="pct"/>
                  <w:vAlign w:val="center"/>
                </w:tcPr>
                <w:p w14:paraId="76EABF4D">
                  <w:pPr>
                    <w:pStyle w:val="49"/>
                    <w:adjustRightInd/>
                    <w:spacing w:beforeLines="0" w:line="240" w:lineRule="auto"/>
                    <w:ind w:firstLine="0" w:firstLineChars="0"/>
                    <w:jc w:val="center"/>
                    <w:rPr>
                      <w:rFonts w:ascii="Times New Roman" w:hAnsi="Times New Roman" w:eastAsia="宋体" w:cs="宋体"/>
                      <w:bCs/>
                      <w:color w:val="auto"/>
                      <w:sz w:val="21"/>
                      <w:szCs w:val="21"/>
                      <w:highlight w:val="none"/>
                    </w:rPr>
                  </w:pPr>
                  <w:r>
                    <w:rPr>
                      <w:rFonts w:hint="eastAsia" w:ascii="Times New Roman" w:hAnsi="Times New Roman" w:eastAsia="宋体" w:cs="宋体"/>
                      <w:bCs/>
                      <w:color w:val="auto"/>
                      <w:sz w:val="21"/>
                      <w:szCs w:val="21"/>
                      <w:highlight w:val="none"/>
                    </w:rPr>
                    <w:t>℃</w:t>
                  </w:r>
                </w:p>
              </w:tc>
            </w:tr>
            <w:tr w14:paraId="57DD2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Merge w:val="restart"/>
                  <w:vAlign w:val="center"/>
                </w:tcPr>
                <w:p w14:paraId="5394F156">
                  <w:pPr>
                    <w:snapToGrid w:val="0"/>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kern w:val="0"/>
                      <w:szCs w:val="21"/>
                      <w:highlight w:val="none"/>
                    </w:rPr>
                    <w:t>FQ-</w:t>
                  </w:r>
                  <w:r>
                    <w:rPr>
                      <w:rFonts w:hint="eastAsia" w:ascii="Times New Roman" w:hAnsi="Times New Roman" w:eastAsia="宋体" w:cs="宋体"/>
                      <w:color w:val="auto"/>
                      <w:kern w:val="0"/>
                      <w:szCs w:val="21"/>
                      <w:highlight w:val="none"/>
                      <w:lang w:val="en-US" w:eastAsia="zh-CN"/>
                    </w:rPr>
                    <w:t>1</w:t>
                  </w:r>
                </w:p>
              </w:tc>
              <w:tc>
                <w:tcPr>
                  <w:tcW w:w="447" w:type="pct"/>
                  <w:vMerge w:val="restart"/>
                  <w:vAlign w:val="center"/>
                </w:tcPr>
                <w:p w14:paraId="64B5FC97">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1</w:t>
                  </w:r>
                  <w:r>
                    <w:rPr>
                      <w:rFonts w:hint="eastAsia" w:ascii="Times New Roman" w:hAnsi="Times New Roman" w:eastAsia="宋体" w:cs="宋体"/>
                      <w:color w:val="auto"/>
                      <w:sz w:val="21"/>
                      <w:szCs w:val="21"/>
                      <w:highlight w:val="none"/>
                    </w:rPr>
                    <w:t>#废气排放口</w:t>
                  </w:r>
                </w:p>
              </w:tc>
              <w:tc>
                <w:tcPr>
                  <w:tcW w:w="670" w:type="pct"/>
                  <w:vAlign w:val="center"/>
                </w:tcPr>
                <w:p w14:paraId="43BAEEEA">
                  <w:pPr>
                    <w:tabs>
                      <w:tab w:val="left" w:pos="960"/>
                    </w:tabs>
                    <w:snapToGrid w:val="0"/>
                    <w:jc w:val="center"/>
                    <w:rPr>
                      <w:rFonts w:ascii="Times New Roman" w:hAnsi="Times New Roman" w:eastAsia="宋体" w:cs="宋体"/>
                      <w:color w:val="auto"/>
                      <w:sz w:val="21"/>
                      <w:szCs w:val="21"/>
                      <w:highlight w:val="none"/>
                    </w:rPr>
                  </w:pPr>
                  <w:r>
                    <w:rPr>
                      <w:rFonts w:hint="eastAsia" w:ascii="Times New Roman" w:hAnsi="Times New Roman" w:eastAsia="宋体" w:cs="宋体"/>
                      <w:color w:val="auto"/>
                      <w:szCs w:val="21"/>
                      <w:highlight w:val="none"/>
                      <w:lang w:val="en-US" w:eastAsia="zh-CN"/>
                    </w:rPr>
                    <w:t>颗粒物</w:t>
                  </w:r>
                </w:p>
              </w:tc>
              <w:tc>
                <w:tcPr>
                  <w:tcW w:w="887" w:type="pct"/>
                  <w:vMerge w:val="restart"/>
                  <w:vAlign w:val="center"/>
                </w:tcPr>
                <w:p w14:paraId="2BBE81A5">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E</w:t>
                  </w:r>
                  <w:r>
                    <w:rPr>
                      <w:rFonts w:hint="eastAsia" w:ascii="Times New Roman" w:hAnsi="Times New Roman" w:eastAsia="宋体" w:cs="宋体"/>
                      <w:color w:val="auto"/>
                      <w:sz w:val="21"/>
                      <w:szCs w:val="21"/>
                      <w:highlight w:val="none"/>
                      <w:lang w:val="en-US" w:eastAsia="zh-CN"/>
                    </w:rPr>
                    <w:t>119</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58</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33.126</w:t>
                  </w:r>
                  <w:r>
                    <w:rPr>
                      <w:rFonts w:ascii="Times New Roman" w:hAnsi="Times New Roman" w:eastAsia="宋体" w:cs="宋体"/>
                      <w:color w:val="auto"/>
                      <w:sz w:val="21"/>
                      <w:szCs w:val="21"/>
                      <w:highlight w:val="none"/>
                    </w:rPr>
                    <w:t>"</w:t>
                  </w:r>
                </w:p>
              </w:tc>
              <w:tc>
                <w:tcPr>
                  <w:tcW w:w="834" w:type="pct"/>
                  <w:vMerge w:val="restart"/>
                  <w:vAlign w:val="center"/>
                </w:tcPr>
                <w:p w14:paraId="377187F5">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N3</w:t>
                  </w:r>
                  <w:r>
                    <w:rPr>
                      <w:rFonts w:hint="eastAsia" w:ascii="Times New Roman" w:hAnsi="Times New Roman" w:eastAsia="宋体" w:cs="宋体"/>
                      <w:color w:val="auto"/>
                      <w:sz w:val="21"/>
                      <w:szCs w:val="21"/>
                      <w:highlight w:val="none"/>
                    </w:rPr>
                    <w:t>1</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rPr>
                    <w:t>3</w:t>
                  </w:r>
                  <w:r>
                    <w:rPr>
                      <w:rFonts w:hint="eastAsia" w:ascii="Times New Roman" w:hAnsi="Times New Roman" w:eastAsia="宋体" w:cs="宋体"/>
                      <w:color w:val="auto"/>
                      <w:sz w:val="21"/>
                      <w:szCs w:val="21"/>
                      <w:highlight w:val="none"/>
                      <w:lang w:val="en-US" w:eastAsia="zh-CN"/>
                    </w:rPr>
                    <w:t>6</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7.785</w:t>
                  </w:r>
                  <w:r>
                    <w:rPr>
                      <w:rFonts w:ascii="Times New Roman" w:hAnsi="Times New Roman" w:eastAsia="宋体" w:cs="宋体"/>
                      <w:color w:val="auto"/>
                      <w:sz w:val="21"/>
                      <w:szCs w:val="21"/>
                      <w:highlight w:val="none"/>
                    </w:rPr>
                    <w:t>"</w:t>
                  </w:r>
                </w:p>
              </w:tc>
              <w:tc>
                <w:tcPr>
                  <w:tcW w:w="570" w:type="pct"/>
                  <w:vMerge w:val="restart"/>
                  <w:vAlign w:val="center"/>
                </w:tcPr>
                <w:p w14:paraId="4ED28B38">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15</w:t>
                  </w:r>
                </w:p>
              </w:tc>
              <w:tc>
                <w:tcPr>
                  <w:tcW w:w="572" w:type="pct"/>
                  <w:vMerge w:val="restart"/>
                  <w:vAlign w:val="center"/>
                </w:tcPr>
                <w:p w14:paraId="611609EA">
                  <w:pPr>
                    <w:pStyle w:val="49"/>
                    <w:adjustRightInd/>
                    <w:spacing w:beforeLines="0" w:line="240" w:lineRule="auto"/>
                    <w:ind w:firstLine="0" w:firstLine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0.8</w:t>
                  </w:r>
                </w:p>
              </w:tc>
              <w:tc>
                <w:tcPr>
                  <w:tcW w:w="572" w:type="pct"/>
                  <w:vMerge w:val="restart"/>
                  <w:vAlign w:val="center"/>
                </w:tcPr>
                <w:p w14:paraId="3D858B2B">
                  <w:pPr>
                    <w:pStyle w:val="49"/>
                    <w:adjustRightInd/>
                    <w:spacing w:beforeLines="0" w:line="240" w:lineRule="auto"/>
                    <w:ind w:firstLine="0" w:firstLine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25</w:t>
                  </w:r>
                </w:p>
              </w:tc>
            </w:tr>
            <w:tr w14:paraId="140F1C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Merge w:val="continue"/>
                  <w:vAlign w:val="center"/>
                </w:tcPr>
                <w:p w14:paraId="384722BB">
                  <w:pPr>
                    <w:snapToGrid w:val="0"/>
                    <w:jc w:val="center"/>
                    <w:rPr>
                      <w:rFonts w:hint="eastAsia" w:ascii="Times New Roman" w:hAnsi="Times New Roman" w:eastAsia="宋体" w:cs="宋体"/>
                      <w:color w:val="auto"/>
                      <w:kern w:val="0"/>
                      <w:szCs w:val="21"/>
                      <w:highlight w:val="none"/>
                    </w:rPr>
                  </w:pPr>
                </w:p>
              </w:tc>
              <w:tc>
                <w:tcPr>
                  <w:tcW w:w="447" w:type="pct"/>
                  <w:vMerge w:val="continue"/>
                  <w:vAlign w:val="center"/>
                </w:tcPr>
                <w:p w14:paraId="4FBB8C31">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70" w:type="pct"/>
                  <w:vAlign w:val="center"/>
                </w:tcPr>
                <w:p w14:paraId="5A2C5224">
                  <w:pPr>
                    <w:tabs>
                      <w:tab w:val="left" w:pos="960"/>
                    </w:tabs>
                    <w:snapToGrid w:val="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Cs w:val="21"/>
                      <w:highlight w:val="none"/>
                      <w:lang w:val="en-US" w:eastAsia="zh-CN"/>
                    </w:rPr>
                    <w:t>二氧化硫</w:t>
                  </w:r>
                </w:p>
              </w:tc>
              <w:tc>
                <w:tcPr>
                  <w:tcW w:w="887" w:type="pct"/>
                  <w:vMerge w:val="continue"/>
                  <w:vAlign w:val="center"/>
                </w:tcPr>
                <w:p w14:paraId="52A79944">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834" w:type="pct"/>
                  <w:vMerge w:val="continue"/>
                  <w:vAlign w:val="center"/>
                </w:tcPr>
                <w:p w14:paraId="4172D2BF">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570" w:type="pct"/>
                  <w:vMerge w:val="continue"/>
                  <w:vAlign w:val="center"/>
                </w:tcPr>
                <w:p w14:paraId="0B6258F2">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p>
              </w:tc>
              <w:tc>
                <w:tcPr>
                  <w:tcW w:w="572" w:type="pct"/>
                  <w:vMerge w:val="continue"/>
                  <w:vAlign w:val="center"/>
                </w:tcPr>
                <w:p w14:paraId="6CEDBB6C">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572" w:type="pct"/>
                  <w:vMerge w:val="continue"/>
                  <w:vAlign w:val="center"/>
                </w:tcPr>
                <w:p w14:paraId="0246CE91">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r>
            <w:tr w14:paraId="469CE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Merge w:val="continue"/>
                  <w:vAlign w:val="center"/>
                </w:tcPr>
                <w:p w14:paraId="567E3529">
                  <w:pPr>
                    <w:snapToGrid w:val="0"/>
                    <w:jc w:val="center"/>
                    <w:rPr>
                      <w:rFonts w:hint="eastAsia" w:ascii="Times New Roman" w:hAnsi="Times New Roman" w:eastAsia="宋体" w:cs="宋体"/>
                      <w:color w:val="auto"/>
                      <w:kern w:val="0"/>
                      <w:szCs w:val="21"/>
                      <w:highlight w:val="none"/>
                    </w:rPr>
                  </w:pPr>
                </w:p>
              </w:tc>
              <w:tc>
                <w:tcPr>
                  <w:tcW w:w="447" w:type="pct"/>
                  <w:vMerge w:val="continue"/>
                  <w:vAlign w:val="center"/>
                </w:tcPr>
                <w:p w14:paraId="7BB0B261">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70" w:type="pct"/>
                  <w:vAlign w:val="center"/>
                </w:tcPr>
                <w:p w14:paraId="50EA1B30">
                  <w:pPr>
                    <w:tabs>
                      <w:tab w:val="left" w:pos="960"/>
                    </w:tabs>
                    <w:snapToGrid w:val="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Cs w:val="21"/>
                      <w:highlight w:val="none"/>
                      <w:lang w:val="en-US" w:eastAsia="zh-CN"/>
                    </w:rPr>
                    <w:t>氮氧化物</w:t>
                  </w:r>
                </w:p>
              </w:tc>
              <w:tc>
                <w:tcPr>
                  <w:tcW w:w="887" w:type="pct"/>
                  <w:vMerge w:val="continue"/>
                  <w:vAlign w:val="center"/>
                </w:tcPr>
                <w:p w14:paraId="3EE1B62D">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834" w:type="pct"/>
                  <w:vMerge w:val="continue"/>
                  <w:vAlign w:val="center"/>
                </w:tcPr>
                <w:p w14:paraId="27B49B82">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570" w:type="pct"/>
                  <w:vMerge w:val="continue"/>
                  <w:vAlign w:val="center"/>
                </w:tcPr>
                <w:p w14:paraId="5150ECB4">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p>
              </w:tc>
              <w:tc>
                <w:tcPr>
                  <w:tcW w:w="572" w:type="pct"/>
                  <w:vMerge w:val="continue"/>
                  <w:vAlign w:val="center"/>
                </w:tcPr>
                <w:p w14:paraId="7443E491">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572" w:type="pct"/>
                  <w:vMerge w:val="continue"/>
                  <w:vAlign w:val="center"/>
                </w:tcPr>
                <w:p w14:paraId="6B8C008E">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r>
            <w:tr w14:paraId="7D516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Merge w:val="continue"/>
                  <w:vAlign w:val="center"/>
                </w:tcPr>
                <w:p w14:paraId="3BF390D8">
                  <w:pPr>
                    <w:snapToGrid w:val="0"/>
                    <w:jc w:val="center"/>
                    <w:rPr>
                      <w:rFonts w:hint="eastAsia" w:ascii="Times New Roman" w:hAnsi="Times New Roman" w:eastAsia="宋体" w:cs="宋体"/>
                      <w:color w:val="auto"/>
                      <w:kern w:val="0"/>
                      <w:szCs w:val="21"/>
                      <w:highlight w:val="none"/>
                    </w:rPr>
                  </w:pPr>
                </w:p>
              </w:tc>
              <w:tc>
                <w:tcPr>
                  <w:tcW w:w="447" w:type="pct"/>
                  <w:vMerge w:val="continue"/>
                  <w:vAlign w:val="center"/>
                </w:tcPr>
                <w:p w14:paraId="1FBA607C">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70" w:type="pct"/>
                  <w:vAlign w:val="center"/>
                </w:tcPr>
                <w:p w14:paraId="39D44C23">
                  <w:pPr>
                    <w:tabs>
                      <w:tab w:val="left" w:pos="960"/>
                    </w:tabs>
                    <w:snapToGrid w:val="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Cs w:val="21"/>
                      <w:highlight w:val="none"/>
                      <w:lang w:val="en-US" w:eastAsia="zh-CN"/>
                    </w:rPr>
                    <w:t>非甲烷总烃</w:t>
                  </w:r>
                </w:p>
              </w:tc>
              <w:tc>
                <w:tcPr>
                  <w:tcW w:w="887" w:type="pct"/>
                  <w:vMerge w:val="continue"/>
                  <w:vAlign w:val="center"/>
                </w:tcPr>
                <w:p w14:paraId="4F4A469B">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834" w:type="pct"/>
                  <w:vMerge w:val="continue"/>
                  <w:vAlign w:val="center"/>
                </w:tcPr>
                <w:p w14:paraId="364601B4">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570" w:type="pct"/>
                  <w:vMerge w:val="continue"/>
                  <w:vAlign w:val="center"/>
                </w:tcPr>
                <w:p w14:paraId="6434C9F2">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p>
              </w:tc>
              <w:tc>
                <w:tcPr>
                  <w:tcW w:w="572" w:type="pct"/>
                  <w:vMerge w:val="continue"/>
                  <w:vAlign w:val="center"/>
                </w:tcPr>
                <w:p w14:paraId="02E82365">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572" w:type="pct"/>
                  <w:vMerge w:val="continue"/>
                  <w:vAlign w:val="center"/>
                </w:tcPr>
                <w:p w14:paraId="55FBCB8B">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r>
            <w:tr w14:paraId="44E8B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pct"/>
                  <w:vAlign w:val="center"/>
                </w:tcPr>
                <w:p w14:paraId="3A39110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447" w:type="pct"/>
                  <w:vAlign w:val="center"/>
                </w:tcPr>
                <w:p w14:paraId="0A6420B5">
                  <w:pPr>
                    <w:pStyle w:val="49"/>
                    <w:adjustRightInd/>
                    <w:spacing w:beforeLines="0" w:line="240" w:lineRule="auto"/>
                    <w:ind w:firstLine="0" w:firstLine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3#废气排放口</w:t>
                  </w:r>
                </w:p>
              </w:tc>
              <w:tc>
                <w:tcPr>
                  <w:tcW w:w="670" w:type="pct"/>
                  <w:vAlign w:val="center"/>
                </w:tcPr>
                <w:p w14:paraId="2400CFBD">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1476" w:type="dxa"/>
                  <w:vAlign w:val="center"/>
                </w:tcPr>
                <w:p w14:paraId="1D58D6A3">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E</w:t>
                  </w:r>
                  <w:r>
                    <w:rPr>
                      <w:rFonts w:hint="eastAsia" w:ascii="Times New Roman" w:hAnsi="Times New Roman" w:eastAsia="宋体" w:cs="宋体"/>
                      <w:color w:val="auto"/>
                      <w:sz w:val="21"/>
                      <w:szCs w:val="21"/>
                      <w:highlight w:val="none"/>
                      <w:lang w:val="en-US" w:eastAsia="zh-CN"/>
                    </w:rPr>
                    <w:t>119</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58</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31.126</w:t>
                  </w:r>
                  <w:r>
                    <w:rPr>
                      <w:rFonts w:ascii="Times New Roman" w:hAnsi="Times New Roman" w:eastAsia="宋体" w:cs="宋体"/>
                      <w:color w:val="auto"/>
                      <w:sz w:val="21"/>
                      <w:szCs w:val="21"/>
                      <w:highlight w:val="none"/>
                    </w:rPr>
                    <w:t>"</w:t>
                  </w:r>
                </w:p>
              </w:tc>
              <w:tc>
                <w:tcPr>
                  <w:tcW w:w="1387" w:type="dxa"/>
                  <w:vAlign w:val="center"/>
                </w:tcPr>
                <w:p w14:paraId="15986214">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ascii="Times New Roman" w:hAnsi="Times New Roman" w:eastAsia="宋体" w:cs="宋体"/>
                      <w:color w:val="auto"/>
                      <w:sz w:val="21"/>
                      <w:szCs w:val="21"/>
                      <w:highlight w:val="none"/>
                    </w:rPr>
                    <w:t>N3</w:t>
                  </w:r>
                  <w:r>
                    <w:rPr>
                      <w:rFonts w:hint="eastAsia" w:ascii="Times New Roman" w:hAnsi="Times New Roman" w:eastAsia="宋体" w:cs="宋体"/>
                      <w:color w:val="auto"/>
                      <w:sz w:val="21"/>
                      <w:szCs w:val="21"/>
                      <w:highlight w:val="none"/>
                    </w:rPr>
                    <w:t>1</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rPr>
                    <w:t>3</w:t>
                  </w:r>
                  <w:r>
                    <w:rPr>
                      <w:rFonts w:hint="eastAsia" w:ascii="Times New Roman" w:hAnsi="Times New Roman" w:eastAsia="宋体" w:cs="宋体"/>
                      <w:color w:val="auto"/>
                      <w:sz w:val="21"/>
                      <w:szCs w:val="21"/>
                      <w:highlight w:val="none"/>
                      <w:lang w:val="en-US" w:eastAsia="zh-CN"/>
                    </w:rPr>
                    <w:t>6</w:t>
                  </w:r>
                  <w:r>
                    <w:rPr>
                      <w:rFonts w:ascii="Times New Roman" w:hAnsi="Times New Roman" w:eastAsia="宋体" w:cs="宋体"/>
                      <w:color w:val="auto"/>
                      <w:sz w:val="21"/>
                      <w:szCs w:val="21"/>
                      <w:highlight w:val="none"/>
                    </w:rPr>
                    <w:t>'</w:t>
                  </w:r>
                  <w:r>
                    <w:rPr>
                      <w:rFonts w:hint="eastAsia" w:ascii="Times New Roman" w:hAnsi="Times New Roman" w:eastAsia="宋体" w:cs="宋体"/>
                      <w:color w:val="auto"/>
                      <w:sz w:val="21"/>
                      <w:szCs w:val="21"/>
                      <w:highlight w:val="none"/>
                      <w:lang w:val="en-US" w:eastAsia="zh-CN"/>
                    </w:rPr>
                    <w:t>9.854</w:t>
                  </w:r>
                  <w:r>
                    <w:rPr>
                      <w:rFonts w:ascii="Times New Roman" w:hAnsi="Times New Roman" w:eastAsia="宋体" w:cs="宋体"/>
                      <w:color w:val="auto"/>
                      <w:sz w:val="21"/>
                      <w:szCs w:val="21"/>
                      <w:highlight w:val="none"/>
                    </w:rPr>
                    <w:t>"</w:t>
                  </w:r>
                </w:p>
              </w:tc>
              <w:tc>
                <w:tcPr>
                  <w:tcW w:w="947" w:type="dxa"/>
                  <w:vAlign w:val="center"/>
                </w:tcPr>
                <w:p w14:paraId="1CF35EA7">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15</w:t>
                  </w:r>
                </w:p>
              </w:tc>
              <w:tc>
                <w:tcPr>
                  <w:tcW w:w="951" w:type="dxa"/>
                  <w:vAlign w:val="center"/>
                </w:tcPr>
                <w:p w14:paraId="1E534DC1">
                  <w:pPr>
                    <w:pStyle w:val="49"/>
                    <w:adjustRightInd/>
                    <w:spacing w:beforeLines="0" w:line="240" w:lineRule="auto"/>
                    <w:ind w:firstLine="0" w:firstLine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0.4</w:t>
                  </w:r>
                </w:p>
              </w:tc>
              <w:tc>
                <w:tcPr>
                  <w:tcW w:w="951" w:type="dxa"/>
                  <w:vAlign w:val="center"/>
                </w:tcPr>
                <w:p w14:paraId="549DD442">
                  <w:pPr>
                    <w:pStyle w:val="49"/>
                    <w:adjustRightInd/>
                    <w:spacing w:beforeLines="0" w:line="240" w:lineRule="auto"/>
                    <w:ind w:firstLine="0" w:firstLineChars="0"/>
                    <w:jc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20</w:t>
                  </w:r>
                </w:p>
              </w:tc>
            </w:tr>
          </w:tbl>
          <w:p w14:paraId="23E21151">
            <w:pPr>
              <w:tabs>
                <w:tab w:val="left" w:pos="960"/>
              </w:tabs>
              <w:spacing w:beforeLines="50"/>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表4.1</w:t>
            </w:r>
            <w:r>
              <w:rPr>
                <w:rFonts w:ascii="Times New Roman" w:hAnsi="Times New Roman" w:eastAsia="宋体" w:cs="宋体"/>
                <w:b/>
                <w:bCs/>
                <w:color w:val="auto"/>
                <w:spacing w:val="-4"/>
                <w:szCs w:val="21"/>
                <w:highlight w:val="none"/>
              </w:rPr>
              <w:t>-</w:t>
            </w:r>
            <w:r>
              <w:rPr>
                <w:rFonts w:hint="eastAsia" w:ascii="Times New Roman" w:hAnsi="Times New Roman" w:eastAsia="宋体" w:cs="宋体"/>
                <w:b/>
                <w:bCs/>
                <w:color w:val="auto"/>
                <w:spacing w:val="-4"/>
                <w:szCs w:val="21"/>
                <w:highlight w:val="none"/>
              </w:rPr>
              <w:t>1</w:t>
            </w:r>
            <w:r>
              <w:rPr>
                <w:rFonts w:hint="eastAsia" w:cs="宋体"/>
                <w:b/>
                <w:bCs/>
                <w:color w:val="auto"/>
                <w:spacing w:val="-4"/>
                <w:szCs w:val="21"/>
                <w:highlight w:val="none"/>
                <w:lang w:val="en-US" w:eastAsia="zh-CN"/>
              </w:rPr>
              <w:t>3</w:t>
            </w:r>
            <w:r>
              <w:rPr>
                <w:rFonts w:hint="eastAsia" w:ascii="Times New Roman" w:hAnsi="Times New Roman" w:eastAsia="宋体" w:cs="宋体"/>
                <w:b/>
                <w:bCs/>
                <w:color w:val="auto"/>
                <w:spacing w:val="-4"/>
                <w:szCs w:val="21"/>
                <w:highlight w:val="none"/>
              </w:rPr>
              <w:t xml:space="preserve">  废气污染物排放口执行标准信息表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6"/>
              <w:gridCol w:w="766"/>
              <w:gridCol w:w="1070"/>
              <w:gridCol w:w="2921"/>
              <w:gridCol w:w="1452"/>
              <w:gridCol w:w="1484"/>
            </w:tblGrid>
            <w:tr w14:paraId="77FCB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442" w:type="pct"/>
                  <w:vMerge w:val="restart"/>
                  <w:vAlign w:val="center"/>
                </w:tcPr>
                <w:p w14:paraId="49F340F9">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排放口</w:t>
                  </w:r>
                </w:p>
                <w:p w14:paraId="04E63EF7">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编号</w:t>
                  </w:r>
                </w:p>
              </w:tc>
              <w:tc>
                <w:tcPr>
                  <w:tcW w:w="454" w:type="pct"/>
                  <w:vMerge w:val="restart"/>
                  <w:vAlign w:val="center"/>
                </w:tcPr>
                <w:p w14:paraId="6541A431">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排放口</w:t>
                  </w:r>
                </w:p>
                <w:p w14:paraId="3D6A951C">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名称</w:t>
                  </w:r>
                </w:p>
              </w:tc>
              <w:tc>
                <w:tcPr>
                  <w:tcW w:w="634" w:type="pct"/>
                  <w:vMerge w:val="restart"/>
                  <w:vAlign w:val="center"/>
                </w:tcPr>
                <w:p w14:paraId="487B1939">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污染物种类</w:t>
                  </w:r>
                </w:p>
              </w:tc>
              <w:tc>
                <w:tcPr>
                  <w:tcW w:w="3469" w:type="pct"/>
                  <w:gridSpan w:val="3"/>
                  <w:vAlign w:val="center"/>
                </w:tcPr>
                <w:p w14:paraId="36FB8076">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ascii="Times New Roman" w:hAnsi="Times New Roman" w:eastAsia="宋体" w:cs="宋体"/>
                      <w:b/>
                      <w:color w:val="auto"/>
                      <w:sz w:val="21"/>
                      <w:szCs w:val="21"/>
                      <w:highlight w:val="none"/>
                    </w:rPr>
                    <w:t>国家或地方污染物排放标准</w:t>
                  </w:r>
                </w:p>
              </w:tc>
            </w:tr>
            <w:tr w14:paraId="7F04A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Merge w:val="continue"/>
                  <w:vAlign w:val="center"/>
                </w:tcPr>
                <w:p w14:paraId="50B4BBA6">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454" w:type="pct"/>
                  <w:vMerge w:val="continue"/>
                  <w:vAlign w:val="center"/>
                </w:tcPr>
                <w:p w14:paraId="221CAAA6">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634" w:type="pct"/>
                  <w:vMerge w:val="continue"/>
                  <w:vAlign w:val="center"/>
                </w:tcPr>
                <w:p w14:paraId="1070FCEC">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p>
              </w:tc>
              <w:tc>
                <w:tcPr>
                  <w:tcW w:w="1730" w:type="pct"/>
                  <w:vAlign w:val="center"/>
                </w:tcPr>
                <w:p w14:paraId="36B2E72B">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名称</w:t>
                  </w:r>
                </w:p>
              </w:tc>
              <w:tc>
                <w:tcPr>
                  <w:tcW w:w="860" w:type="pct"/>
                  <w:vAlign w:val="center"/>
                </w:tcPr>
                <w:p w14:paraId="685CD184">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浓度限值</w:t>
                  </w:r>
                </w:p>
                <w:p w14:paraId="4F1E9F47">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w:t>
                  </w:r>
                  <w:r>
                    <w:rPr>
                      <w:rFonts w:ascii="Times New Roman" w:hAnsi="Times New Roman" w:eastAsia="宋体" w:cs="宋体"/>
                      <w:b/>
                      <w:color w:val="auto"/>
                      <w:sz w:val="21"/>
                      <w:szCs w:val="21"/>
                      <w:highlight w:val="none"/>
                    </w:rPr>
                    <w:t>mg/Nm</w:t>
                  </w:r>
                  <w:r>
                    <w:rPr>
                      <w:rFonts w:ascii="Times New Roman" w:hAnsi="Times New Roman" w:eastAsia="宋体" w:cs="宋体"/>
                      <w:b/>
                      <w:color w:val="auto"/>
                      <w:sz w:val="21"/>
                      <w:szCs w:val="21"/>
                      <w:highlight w:val="none"/>
                      <w:vertAlign w:val="superscript"/>
                    </w:rPr>
                    <w:t>3</w:t>
                  </w:r>
                  <w:r>
                    <w:rPr>
                      <w:rFonts w:hint="eastAsia" w:ascii="Times New Roman" w:hAnsi="Times New Roman" w:eastAsia="宋体" w:cs="宋体"/>
                      <w:b/>
                      <w:color w:val="auto"/>
                      <w:sz w:val="21"/>
                      <w:szCs w:val="21"/>
                      <w:highlight w:val="none"/>
                    </w:rPr>
                    <w:t>）</w:t>
                  </w:r>
                </w:p>
              </w:tc>
              <w:tc>
                <w:tcPr>
                  <w:tcW w:w="878" w:type="pct"/>
                  <w:vAlign w:val="center"/>
                </w:tcPr>
                <w:p w14:paraId="6E194256">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速率限值</w:t>
                  </w:r>
                </w:p>
                <w:p w14:paraId="0647AFEE">
                  <w:pPr>
                    <w:pStyle w:val="49"/>
                    <w:adjustRightInd/>
                    <w:spacing w:beforeLines="0" w:line="240" w:lineRule="auto"/>
                    <w:ind w:firstLine="0" w:firstLineChars="0"/>
                    <w:jc w:val="center"/>
                    <w:rPr>
                      <w:rFonts w:ascii="Times New Roman" w:hAnsi="Times New Roman" w:eastAsia="宋体" w:cs="宋体"/>
                      <w:b/>
                      <w:color w:val="auto"/>
                      <w:sz w:val="21"/>
                      <w:szCs w:val="21"/>
                      <w:highlight w:val="none"/>
                    </w:rPr>
                  </w:pPr>
                  <w:r>
                    <w:rPr>
                      <w:rFonts w:hint="eastAsia" w:ascii="Times New Roman" w:hAnsi="Times New Roman" w:eastAsia="宋体" w:cs="宋体"/>
                      <w:b/>
                      <w:color w:val="auto"/>
                      <w:sz w:val="21"/>
                      <w:szCs w:val="21"/>
                      <w:highlight w:val="none"/>
                    </w:rPr>
                    <w:t>（kg/h）</w:t>
                  </w:r>
                </w:p>
              </w:tc>
            </w:tr>
            <w:tr w14:paraId="71749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Merge w:val="restart"/>
                  <w:vAlign w:val="center"/>
                </w:tcPr>
                <w:p w14:paraId="04055E0A">
                  <w:pPr>
                    <w:snapToGrid w:val="0"/>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kern w:val="0"/>
                      <w:szCs w:val="21"/>
                      <w:highlight w:val="none"/>
                    </w:rPr>
                    <w:t>FQ-</w:t>
                  </w:r>
                  <w:r>
                    <w:rPr>
                      <w:rFonts w:hint="eastAsia" w:ascii="Times New Roman" w:hAnsi="Times New Roman" w:eastAsia="宋体" w:cs="宋体"/>
                      <w:color w:val="auto"/>
                      <w:kern w:val="0"/>
                      <w:szCs w:val="21"/>
                      <w:highlight w:val="none"/>
                      <w:lang w:val="en-US" w:eastAsia="zh-CN"/>
                    </w:rPr>
                    <w:t>1</w:t>
                  </w:r>
                </w:p>
              </w:tc>
              <w:tc>
                <w:tcPr>
                  <w:tcW w:w="454" w:type="pct"/>
                  <w:vMerge w:val="restart"/>
                  <w:vAlign w:val="center"/>
                </w:tcPr>
                <w:p w14:paraId="7818D385">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1</w:t>
                  </w:r>
                  <w:r>
                    <w:rPr>
                      <w:rFonts w:hint="eastAsia" w:ascii="Times New Roman" w:hAnsi="Times New Roman" w:eastAsia="宋体" w:cs="宋体"/>
                      <w:color w:val="auto"/>
                      <w:sz w:val="21"/>
                      <w:szCs w:val="21"/>
                      <w:highlight w:val="none"/>
                    </w:rPr>
                    <w:t>#废气排放口</w:t>
                  </w:r>
                </w:p>
              </w:tc>
              <w:tc>
                <w:tcPr>
                  <w:tcW w:w="634" w:type="pct"/>
                  <w:vAlign w:val="center"/>
                </w:tcPr>
                <w:p w14:paraId="15010B81">
                  <w:pPr>
                    <w:tabs>
                      <w:tab w:val="left" w:pos="9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颗粒物</w:t>
                  </w:r>
                </w:p>
              </w:tc>
              <w:tc>
                <w:tcPr>
                  <w:tcW w:w="1730" w:type="pct"/>
                  <w:vMerge w:val="restart"/>
                  <w:vAlign w:val="center"/>
                </w:tcPr>
                <w:p w14:paraId="62DA8A37">
                  <w:pPr>
                    <w:pStyle w:val="49"/>
                    <w:adjustRightInd/>
                    <w:spacing w:beforeLines="0" w:line="240" w:lineRule="auto"/>
                    <w:ind w:firstLine="0" w:firstLineChars="0"/>
                    <w:jc w:val="center"/>
                    <w:rPr>
                      <w:rFonts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《铸造工业大气污染物排放标准》（GB39726-2020）</w:t>
                  </w:r>
                </w:p>
              </w:tc>
              <w:tc>
                <w:tcPr>
                  <w:tcW w:w="860" w:type="pct"/>
                  <w:vAlign w:val="center"/>
                </w:tcPr>
                <w:p w14:paraId="49F1E040">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30</w:t>
                  </w:r>
                </w:p>
              </w:tc>
              <w:tc>
                <w:tcPr>
                  <w:tcW w:w="878" w:type="pct"/>
                  <w:vAlign w:val="center"/>
                </w:tcPr>
                <w:p w14:paraId="64964D94">
                  <w:pPr>
                    <w:snapToGrid w:val="0"/>
                    <w:jc w:val="center"/>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w:t>
                  </w:r>
                </w:p>
              </w:tc>
            </w:tr>
            <w:tr w14:paraId="1454C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Merge w:val="continue"/>
                  <w:vAlign w:val="center"/>
                </w:tcPr>
                <w:p w14:paraId="0FF528D6">
                  <w:pPr>
                    <w:snapToGrid w:val="0"/>
                    <w:jc w:val="center"/>
                    <w:rPr>
                      <w:rFonts w:hint="eastAsia" w:ascii="Times New Roman" w:hAnsi="Times New Roman" w:eastAsia="宋体" w:cs="宋体"/>
                      <w:color w:val="auto"/>
                      <w:kern w:val="0"/>
                      <w:szCs w:val="21"/>
                      <w:highlight w:val="none"/>
                    </w:rPr>
                  </w:pPr>
                  <w:bookmarkStart w:id="12" w:name="_Ref368512661"/>
                </w:p>
              </w:tc>
              <w:tc>
                <w:tcPr>
                  <w:tcW w:w="454" w:type="pct"/>
                  <w:vMerge w:val="continue"/>
                  <w:vAlign w:val="center"/>
                </w:tcPr>
                <w:p w14:paraId="027BC740">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34" w:type="pct"/>
                  <w:vAlign w:val="center"/>
                </w:tcPr>
                <w:p w14:paraId="354891F6">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二氧化硫</w:t>
                  </w:r>
                </w:p>
              </w:tc>
              <w:tc>
                <w:tcPr>
                  <w:tcW w:w="1730" w:type="pct"/>
                  <w:vMerge w:val="continue"/>
                  <w:vAlign w:val="center"/>
                </w:tcPr>
                <w:p w14:paraId="42BFDFB1">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p>
              </w:tc>
              <w:tc>
                <w:tcPr>
                  <w:tcW w:w="860" w:type="pct"/>
                  <w:vAlign w:val="center"/>
                </w:tcPr>
                <w:p w14:paraId="346A2F1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100</w:t>
                  </w:r>
                </w:p>
              </w:tc>
              <w:tc>
                <w:tcPr>
                  <w:tcW w:w="878" w:type="pct"/>
                  <w:vAlign w:val="center"/>
                </w:tcPr>
                <w:p w14:paraId="654BEE08">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r>
            <w:tr w14:paraId="795AA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Merge w:val="continue"/>
                  <w:vAlign w:val="center"/>
                </w:tcPr>
                <w:p w14:paraId="004D672C">
                  <w:pPr>
                    <w:snapToGrid w:val="0"/>
                    <w:jc w:val="center"/>
                    <w:rPr>
                      <w:rFonts w:hint="eastAsia" w:ascii="Times New Roman" w:hAnsi="Times New Roman" w:eastAsia="宋体" w:cs="宋体"/>
                      <w:color w:val="auto"/>
                      <w:kern w:val="0"/>
                      <w:szCs w:val="21"/>
                      <w:highlight w:val="none"/>
                    </w:rPr>
                  </w:pPr>
                </w:p>
              </w:tc>
              <w:tc>
                <w:tcPr>
                  <w:tcW w:w="454" w:type="pct"/>
                  <w:vMerge w:val="continue"/>
                  <w:vAlign w:val="center"/>
                </w:tcPr>
                <w:p w14:paraId="229FF5C0">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34" w:type="pct"/>
                  <w:vAlign w:val="center"/>
                </w:tcPr>
                <w:p w14:paraId="7B7E145E">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氮氧化物</w:t>
                  </w:r>
                </w:p>
              </w:tc>
              <w:tc>
                <w:tcPr>
                  <w:tcW w:w="1730" w:type="pct"/>
                  <w:vMerge w:val="continue"/>
                  <w:vAlign w:val="center"/>
                </w:tcPr>
                <w:p w14:paraId="4048C55A">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p>
              </w:tc>
              <w:tc>
                <w:tcPr>
                  <w:tcW w:w="860" w:type="pct"/>
                  <w:vAlign w:val="center"/>
                </w:tcPr>
                <w:p w14:paraId="1B101C9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400</w:t>
                  </w:r>
                </w:p>
              </w:tc>
              <w:tc>
                <w:tcPr>
                  <w:tcW w:w="878" w:type="pct"/>
                  <w:vAlign w:val="center"/>
                </w:tcPr>
                <w:p w14:paraId="104BEBF3">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w:t>
                  </w:r>
                </w:p>
              </w:tc>
            </w:tr>
            <w:tr w14:paraId="661C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Merge w:val="continue"/>
                  <w:vAlign w:val="center"/>
                </w:tcPr>
                <w:p w14:paraId="384D6EF5">
                  <w:pPr>
                    <w:snapToGrid w:val="0"/>
                    <w:jc w:val="center"/>
                    <w:rPr>
                      <w:rFonts w:hint="eastAsia" w:ascii="Times New Roman" w:hAnsi="Times New Roman" w:eastAsia="宋体" w:cs="宋体"/>
                      <w:color w:val="auto"/>
                      <w:kern w:val="0"/>
                      <w:szCs w:val="21"/>
                      <w:highlight w:val="none"/>
                    </w:rPr>
                  </w:pPr>
                </w:p>
              </w:tc>
              <w:tc>
                <w:tcPr>
                  <w:tcW w:w="454" w:type="pct"/>
                  <w:vMerge w:val="continue"/>
                  <w:vAlign w:val="center"/>
                </w:tcPr>
                <w:p w14:paraId="0F23F510">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p>
              </w:tc>
              <w:tc>
                <w:tcPr>
                  <w:tcW w:w="634" w:type="pct"/>
                  <w:vAlign w:val="center"/>
                </w:tcPr>
                <w:p w14:paraId="4FB30ACA">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非甲烷总烃</w:t>
                  </w:r>
                </w:p>
              </w:tc>
              <w:tc>
                <w:tcPr>
                  <w:tcW w:w="1730" w:type="pct"/>
                  <w:vAlign w:val="center"/>
                </w:tcPr>
                <w:p w14:paraId="7C36E38F">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《大气污染物综合排放标准》（DB32/4041-2021）</w:t>
                  </w:r>
                </w:p>
              </w:tc>
              <w:tc>
                <w:tcPr>
                  <w:tcW w:w="860" w:type="pct"/>
                  <w:vAlign w:val="center"/>
                </w:tcPr>
                <w:p w14:paraId="5B81777A">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878" w:type="pct"/>
                  <w:vAlign w:val="center"/>
                </w:tcPr>
                <w:p w14:paraId="423BD0A7">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w:t>
                  </w:r>
                </w:p>
              </w:tc>
            </w:tr>
            <w:tr w14:paraId="4AC63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2" w:type="pct"/>
                  <w:vAlign w:val="center"/>
                </w:tcPr>
                <w:p w14:paraId="556AE1C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454" w:type="pct"/>
                  <w:vAlign w:val="center"/>
                </w:tcPr>
                <w:p w14:paraId="3098CE9C">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3</w:t>
                  </w:r>
                  <w:r>
                    <w:rPr>
                      <w:rFonts w:hint="eastAsia" w:ascii="Times New Roman" w:hAnsi="Times New Roman" w:eastAsia="宋体" w:cs="宋体"/>
                      <w:color w:val="auto"/>
                      <w:sz w:val="21"/>
                      <w:szCs w:val="21"/>
                      <w:highlight w:val="none"/>
                    </w:rPr>
                    <w:t>#废气排放口</w:t>
                  </w:r>
                </w:p>
              </w:tc>
              <w:tc>
                <w:tcPr>
                  <w:tcW w:w="634" w:type="pct"/>
                  <w:vAlign w:val="center"/>
                </w:tcPr>
                <w:p w14:paraId="36DBFF04">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颗粒物</w:t>
                  </w:r>
                </w:p>
              </w:tc>
              <w:tc>
                <w:tcPr>
                  <w:tcW w:w="1730" w:type="pct"/>
                  <w:vAlign w:val="center"/>
                </w:tcPr>
                <w:p w14:paraId="4013AF8E">
                  <w:pPr>
                    <w:pStyle w:val="49"/>
                    <w:adjustRightInd/>
                    <w:spacing w:beforeLines="0" w:line="240" w:lineRule="auto"/>
                    <w:ind w:firstLine="0" w:firstLineChars="0"/>
                    <w:jc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《铸造工业大气污染物排放标准》（GB39726-2020）</w:t>
                  </w:r>
                </w:p>
              </w:tc>
              <w:tc>
                <w:tcPr>
                  <w:tcW w:w="1430" w:type="dxa"/>
                  <w:vAlign w:val="center"/>
                </w:tcPr>
                <w:p w14:paraId="43D4EA1B">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30</w:t>
                  </w:r>
                </w:p>
              </w:tc>
              <w:tc>
                <w:tcPr>
                  <w:tcW w:w="1462" w:type="dxa"/>
                  <w:vAlign w:val="center"/>
                </w:tcPr>
                <w:p w14:paraId="40321BEC">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w:t>
                  </w:r>
                </w:p>
              </w:tc>
            </w:tr>
          </w:tbl>
          <w:p w14:paraId="5BF620D2">
            <w:pPr>
              <w:numPr>
                <w:ilvl w:val="0"/>
                <w:numId w:val="0"/>
              </w:numPr>
              <w:autoSpaceDE w:val="0"/>
              <w:autoSpaceDN w:val="0"/>
              <w:spacing w:line="360" w:lineRule="auto"/>
              <w:ind w:firstLine="480" w:firstLineChars="200"/>
              <w:jc w:val="left"/>
              <w:rPr>
                <w:color w:val="auto"/>
              </w:rPr>
            </w:pPr>
            <w:r>
              <w:rPr>
                <w:rFonts w:ascii="Times New Roman" w:hAnsi="Times New Roman" w:eastAsia="宋体" w:cs="Times New Roman"/>
                <w:color w:val="auto"/>
                <w:kern w:val="2"/>
                <w:sz w:val="24"/>
                <w:szCs w:val="24"/>
                <w:lang w:val="en-US" w:eastAsia="zh-CN" w:bidi="ar-SA"/>
              </w:rPr>
              <w:t>（5）</w:t>
            </w:r>
            <w:r>
              <w:rPr>
                <w:rFonts w:hint="eastAsia" w:ascii="Times New Roman" w:hAnsi="Times New Roman" w:eastAsia="宋体" w:cs="宋体"/>
                <w:color w:val="auto"/>
                <w:kern w:val="0"/>
                <w:sz w:val="24"/>
                <w:highlight w:val="none"/>
              </w:rPr>
              <w:t>监测计划</w:t>
            </w:r>
          </w:p>
          <w:p w14:paraId="06FBA4EA">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lang w:val="en-US" w:eastAsia="zh-CN"/>
              </w:rPr>
            </w:pPr>
            <w:r>
              <w:rPr>
                <w:rFonts w:hint="eastAsia"/>
                <w:color w:val="auto"/>
                <w:sz w:val="24"/>
                <w:szCs w:val="24"/>
                <w:lang w:val="en-US" w:eastAsia="zh-CN"/>
              </w:rPr>
              <w:t>根据《排污单位自行监测技术指南 金属铸造工业》（HJ1251-2022），本项目废气监测计划如下：</w:t>
            </w:r>
          </w:p>
          <w:p w14:paraId="70F0A195">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bookmarkEnd w:id="12"/>
            <w:r>
              <w:rPr>
                <w:rFonts w:hint="eastAsia" w:ascii="Times New Roman" w:hAnsi="Times New Roman" w:eastAsia="宋体" w:cs="宋体"/>
                <w:b/>
                <w:bCs/>
                <w:color w:val="auto"/>
                <w:spacing w:val="-4"/>
                <w:szCs w:val="21"/>
                <w:highlight w:val="none"/>
              </w:rPr>
              <w:t>4.1-1</w:t>
            </w:r>
            <w:r>
              <w:rPr>
                <w:rFonts w:hint="eastAsia" w:cs="宋体"/>
                <w:b/>
                <w:bCs/>
                <w:color w:val="auto"/>
                <w:spacing w:val="-4"/>
                <w:szCs w:val="21"/>
                <w:highlight w:val="none"/>
                <w:lang w:val="en-US" w:eastAsia="zh-CN"/>
              </w:rPr>
              <w:t>4</w:t>
            </w:r>
            <w:r>
              <w:rPr>
                <w:rFonts w:hint="eastAsia" w:ascii="Times New Roman" w:hAnsi="Times New Roman" w:eastAsia="宋体" w:cs="宋体"/>
                <w:b/>
                <w:bCs/>
                <w:color w:val="auto"/>
                <w:spacing w:val="-4"/>
                <w:szCs w:val="21"/>
                <w:highlight w:val="none"/>
              </w:rPr>
              <w:t xml:space="preserve">  </w:t>
            </w:r>
            <w:r>
              <w:rPr>
                <w:rFonts w:ascii="Times New Roman" w:hAnsi="Times New Roman" w:eastAsia="宋体" w:cs="宋体"/>
                <w:b/>
                <w:bCs/>
                <w:color w:val="auto"/>
                <w:spacing w:val="-4"/>
                <w:szCs w:val="21"/>
                <w:highlight w:val="none"/>
              </w:rPr>
              <w:t>废气</w:t>
            </w:r>
            <w:r>
              <w:rPr>
                <w:rFonts w:hint="eastAsia" w:ascii="Times New Roman" w:hAnsi="Times New Roman" w:eastAsia="宋体" w:cs="宋体"/>
                <w:b/>
                <w:bCs/>
                <w:color w:val="auto"/>
                <w:spacing w:val="-4"/>
                <w:szCs w:val="21"/>
                <w:highlight w:val="none"/>
              </w:rPr>
              <w:t>监测计划</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43"/>
              <w:gridCol w:w="3140"/>
              <w:gridCol w:w="956"/>
            </w:tblGrid>
            <w:tr w14:paraId="36367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70049906">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w:t>
                  </w:r>
                  <w:r>
                    <w:rPr>
                      <w:rFonts w:hint="eastAsia" w:ascii="Times New Roman" w:hAnsi="Times New Roman" w:eastAsia="宋体" w:cs="宋体"/>
                      <w:b/>
                      <w:color w:val="auto"/>
                      <w:szCs w:val="21"/>
                      <w:highlight w:val="none"/>
                    </w:rPr>
                    <w:t>点位</w:t>
                  </w:r>
                </w:p>
              </w:tc>
              <w:tc>
                <w:tcPr>
                  <w:tcW w:w="1860" w:type="pct"/>
                  <w:vAlign w:val="center"/>
                </w:tcPr>
                <w:p w14:paraId="1BDF7155">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监测因子</w:t>
                  </w:r>
                </w:p>
              </w:tc>
              <w:tc>
                <w:tcPr>
                  <w:tcW w:w="566" w:type="pct"/>
                  <w:vAlign w:val="center"/>
                </w:tcPr>
                <w:p w14:paraId="2FDA18DF">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监测频次</w:t>
                  </w:r>
                </w:p>
              </w:tc>
            </w:tr>
            <w:tr w14:paraId="7151F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5313BE96">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FQ-</w:t>
                  </w:r>
                  <w:r>
                    <w:rPr>
                      <w:rFonts w:hint="eastAsia" w:ascii="Times New Roman" w:hAnsi="Times New Roman" w:eastAsia="宋体" w:cs="宋体"/>
                      <w:color w:val="auto"/>
                      <w:kern w:val="0"/>
                      <w:szCs w:val="21"/>
                      <w:highlight w:val="none"/>
                      <w:lang w:val="en-US" w:eastAsia="zh-CN"/>
                    </w:rPr>
                    <w:t>1</w:t>
                  </w:r>
                  <w:r>
                    <w:rPr>
                      <w:rFonts w:hint="eastAsia" w:ascii="Times New Roman" w:hAnsi="Times New Roman" w:eastAsia="宋体" w:cs="宋体"/>
                      <w:color w:val="auto"/>
                      <w:kern w:val="0"/>
                      <w:szCs w:val="21"/>
                      <w:highlight w:val="none"/>
                    </w:rPr>
                    <w:t>采样口</w:t>
                  </w:r>
                </w:p>
              </w:tc>
              <w:tc>
                <w:tcPr>
                  <w:tcW w:w="1860" w:type="pct"/>
                  <w:vAlign w:val="center"/>
                </w:tcPr>
                <w:p w14:paraId="3FB3EC11">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颗粒物</w:t>
                  </w:r>
                  <w:r>
                    <w:rPr>
                      <w:rFonts w:hint="eastAsia" w:cs="宋体"/>
                      <w:color w:val="auto"/>
                      <w:szCs w:val="21"/>
                      <w:highlight w:val="none"/>
                      <w:lang w:val="en-US" w:eastAsia="zh-CN"/>
                    </w:rPr>
                    <w:t>、二氧化硫、氮氧化物、非甲烷总烃</w:t>
                  </w:r>
                </w:p>
              </w:tc>
              <w:tc>
                <w:tcPr>
                  <w:tcW w:w="566" w:type="pct"/>
                  <w:vAlign w:val="center"/>
                </w:tcPr>
                <w:p w14:paraId="0D1A6A6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w:t>
                  </w:r>
                  <w:r>
                    <w:rPr>
                      <w:rFonts w:hint="eastAsia" w:cs="宋体"/>
                      <w:color w:val="auto"/>
                      <w:szCs w:val="21"/>
                      <w:highlight w:val="none"/>
                      <w:lang w:val="en-US" w:eastAsia="zh-CN"/>
                    </w:rPr>
                    <w:t>半</w:t>
                  </w:r>
                  <w:r>
                    <w:rPr>
                      <w:rFonts w:hint="eastAsia" w:ascii="Times New Roman" w:hAnsi="Times New Roman" w:eastAsia="宋体" w:cs="宋体"/>
                      <w:color w:val="auto"/>
                      <w:szCs w:val="21"/>
                      <w:highlight w:val="none"/>
                    </w:rPr>
                    <w:t>年</w:t>
                  </w:r>
                </w:p>
              </w:tc>
            </w:tr>
            <w:tr w14:paraId="7ECE6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3A8D52C5">
                  <w:pPr>
                    <w:snapToGrid w:val="0"/>
                    <w:jc w:val="center"/>
                    <w:rPr>
                      <w:rFonts w:hint="eastAsia"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FQ-</w:t>
                  </w:r>
                  <w:r>
                    <w:rPr>
                      <w:rFonts w:hint="eastAsia" w:eastAsia="宋体" w:cs="宋体"/>
                      <w:color w:val="auto"/>
                      <w:kern w:val="0"/>
                      <w:szCs w:val="21"/>
                      <w:highlight w:val="none"/>
                      <w:lang w:val="en-US" w:eastAsia="zh-CN"/>
                    </w:rPr>
                    <w:t>3</w:t>
                  </w:r>
                  <w:r>
                    <w:rPr>
                      <w:rFonts w:hint="eastAsia" w:ascii="Times New Roman" w:hAnsi="Times New Roman" w:eastAsia="宋体" w:cs="宋体"/>
                      <w:color w:val="auto"/>
                      <w:kern w:val="0"/>
                      <w:szCs w:val="21"/>
                      <w:highlight w:val="none"/>
                    </w:rPr>
                    <w:t>采样口</w:t>
                  </w:r>
                </w:p>
              </w:tc>
              <w:tc>
                <w:tcPr>
                  <w:tcW w:w="1860" w:type="pct"/>
                  <w:vAlign w:val="center"/>
                </w:tcPr>
                <w:p w14:paraId="7E28BBA1">
                  <w:pPr>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颗粒物</w:t>
                  </w:r>
                </w:p>
              </w:tc>
              <w:tc>
                <w:tcPr>
                  <w:tcW w:w="566" w:type="pct"/>
                  <w:vAlign w:val="center"/>
                </w:tcPr>
                <w:p w14:paraId="6B247464">
                  <w:pPr>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r w14:paraId="41942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45B0FD55">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szCs w:val="21"/>
                      <w:highlight w:val="none"/>
                    </w:rPr>
                    <w:t>厂界上风向1个，下风向3个监测点</w:t>
                  </w:r>
                </w:p>
              </w:tc>
              <w:tc>
                <w:tcPr>
                  <w:tcW w:w="1860" w:type="pct"/>
                  <w:vAlign w:val="center"/>
                </w:tcPr>
                <w:p w14:paraId="712B8492">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颗粒物、非甲烷总烃</w:t>
                  </w:r>
                </w:p>
              </w:tc>
              <w:tc>
                <w:tcPr>
                  <w:tcW w:w="566" w:type="pct"/>
                  <w:vAlign w:val="center"/>
                </w:tcPr>
                <w:p w14:paraId="45DD4AA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r w14:paraId="20331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2" w:type="pct"/>
                  <w:vAlign w:val="center"/>
                </w:tcPr>
                <w:p w14:paraId="6A09E3B7">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厂房门窗或通风口、其他开口（孔）处</w:t>
                  </w:r>
                </w:p>
              </w:tc>
              <w:tc>
                <w:tcPr>
                  <w:tcW w:w="1860" w:type="pct"/>
                  <w:vAlign w:val="center"/>
                </w:tcPr>
                <w:p w14:paraId="447F93E8">
                  <w:pPr>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颗粒物、</w:t>
                  </w:r>
                  <w:r>
                    <w:rPr>
                      <w:rFonts w:hint="eastAsia" w:ascii="Times New Roman" w:hAnsi="Times New Roman" w:eastAsia="宋体" w:cs="宋体"/>
                      <w:color w:val="auto"/>
                      <w:szCs w:val="21"/>
                      <w:highlight w:val="none"/>
                    </w:rPr>
                    <w:t>非甲烷总烃</w:t>
                  </w:r>
                </w:p>
              </w:tc>
              <w:tc>
                <w:tcPr>
                  <w:tcW w:w="566" w:type="pct"/>
                  <w:vAlign w:val="center"/>
                </w:tcPr>
                <w:p w14:paraId="074451BC">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1次/年</w:t>
                  </w:r>
                </w:p>
              </w:tc>
            </w:tr>
          </w:tbl>
          <w:p w14:paraId="6908DEFA">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6</w:t>
            </w: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非正常</w:t>
            </w:r>
            <w:r>
              <w:rPr>
                <w:rFonts w:ascii="Times New Roman" w:hAnsi="Times New Roman" w:eastAsia="宋体" w:cs="宋体"/>
                <w:color w:val="auto"/>
                <w:sz w:val="24"/>
                <w:highlight w:val="none"/>
              </w:rPr>
              <w:t>情况排放</w:t>
            </w:r>
          </w:p>
          <w:p w14:paraId="4B8B37F7">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本项目非正常排放情况指</w:t>
            </w:r>
            <w:r>
              <w:rPr>
                <w:rFonts w:hint="eastAsia" w:ascii="Times New Roman" w:hAnsi="Times New Roman" w:eastAsia="宋体" w:cs="宋体"/>
                <w:color w:val="auto"/>
                <w:sz w:val="24"/>
                <w:highlight w:val="none"/>
              </w:rPr>
              <w:t>废气处理设施</w:t>
            </w:r>
            <w:r>
              <w:rPr>
                <w:rFonts w:ascii="Times New Roman" w:hAnsi="Times New Roman" w:eastAsia="宋体" w:cs="宋体"/>
                <w:color w:val="auto"/>
                <w:sz w:val="24"/>
                <w:highlight w:val="none"/>
              </w:rPr>
              <w:t>发生故障、</w:t>
            </w:r>
            <w:r>
              <w:rPr>
                <w:rFonts w:hint="eastAsia" w:ascii="Times New Roman" w:hAnsi="Times New Roman" w:eastAsia="宋体" w:cs="宋体"/>
                <w:color w:val="auto"/>
                <w:sz w:val="24"/>
                <w:highlight w:val="none"/>
              </w:rPr>
              <w:t>设备</w:t>
            </w:r>
            <w:r>
              <w:rPr>
                <w:rFonts w:ascii="Times New Roman" w:hAnsi="Times New Roman" w:eastAsia="宋体" w:cs="宋体"/>
                <w:color w:val="auto"/>
                <w:sz w:val="24"/>
                <w:highlight w:val="none"/>
              </w:rPr>
              <w:t>不定时维护等原因导致处理效率降低，</w:t>
            </w:r>
            <w:r>
              <w:rPr>
                <w:rFonts w:hint="eastAsia" w:ascii="Times New Roman" w:hAnsi="Times New Roman" w:eastAsia="宋体" w:cs="宋体"/>
                <w:color w:val="auto"/>
                <w:sz w:val="24"/>
                <w:highlight w:val="none"/>
                <w:lang w:val="en-US" w:eastAsia="zh-CN"/>
              </w:rPr>
              <w:t>主要为FQ-</w:t>
            </w:r>
            <w:r>
              <w:rPr>
                <w:rFonts w:hint="eastAsia" w:cs="宋体"/>
                <w:color w:val="auto"/>
                <w:sz w:val="24"/>
                <w:highlight w:val="none"/>
                <w:lang w:val="en-US" w:eastAsia="zh-CN"/>
              </w:rPr>
              <w:t>1、FQ-3</w:t>
            </w:r>
            <w:r>
              <w:rPr>
                <w:rFonts w:hint="eastAsia" w:ascii="Times New Roman" w:hAnsi="Times New Roman" w:eastAsia="宋体" w:cs="宋体"/>
                <w:color w:val="auto"/>
                <w:sz w:val="24"/>
                <w:highlight w:val="none"/>
                <w:lang w:val="en-US" w:eastAsia="zh-CN"/>
              </w:rPr>
              <w:t>排气筒，</w:t>
            </w:r>
            <w:r>
              <w:rPr>
                <w:rFonts w:ascii="Times New Roman" w:hAnsi="Times New Roman" w:eastAsia="宋体" w:cs="宋体"/>
                <w:color w:val="auto"/>
                <w:sz w:val="24"/>
                <w:highlight w:val="none"/>
              </w:rPr>
              <w:t>本次以降低至0%计。</w:t>
            </w:r>
          </w:p>
          <w:p w14:paraId="0C5E5739">
            <w:pPr>
              <w:tabs>
                <w:tab w:val="left" w:pos="960"/>
              </w:tabs>
              <w:spacing w:beforeLines="50"/>
              <w:jc w:val="center"/>
              <w:rPr>
                <w:rFonts w:ascii="Times New Roman" w:hAnsi="Times New Roman" w:eastAsia="宋体" w:cs="宋体"/>
                <w:b/>
                <w:bCs/>
                <w:color w:val="auto"/>
                <w:spacing w:val="-4"/>
                <w:szCs w:val="21"/>
                <w:highlight w:val="none"/>
              </w:rPr>
            </w:pPr>
          </w:p>
          <w:p w14:paraId="088083E3">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4.1-1</w:t>
            </w:r>
            <w:r>
              <w:rPr>
                <w:rFonts w:hint="eastAsia" w:ascii="Times New Roman" w:hAnsi="Times New Roman" w:eastAsia="宋体" w:cs="宋体"/>
                <w:b/>
                <w:bCs/>
                <w:color w:val="auto"/>
                <w:spacing w:val="-4"/>
                <w:szCs w:val="21"/>
                <w:highlight w:val="none"/>
                <w:lang w:val="en-US" w:eastAsia="zh-CN"/>
              </w:rPr>
              <w:t>3</w:t>
            </w:r>
            <w:r>
              <w:rPr>
                <w:rFonts w:hint="eastAsia" w:ascii="Times New Roman" w:hAnsi="Times New Roman" w:eastAsia="宋体" w:cs="宋体"/>
                <w:b/>
                <w:bCs/>
                <w:color w:val="auto"/>
                <w:spacing w:val="-4"/>
                <w:szCs w:val="21"/>
                <w:highlight w:val="none"/>
              </w:rPr>
              <w:t xml:space="preserve">  非正常排放</w:t>
            </w:r>
            <w:r>
              <w:rPr>
                <w:rFonts w:ascii="Times New Roman" w:hAnsi="Times New Roman" w:eastAsia="宋体" w:cs="宋体"/>
                <w:b/>
                <w:bCs/>
                <w:color w:val="auto"/>
                <w:spacing w:val="-4"/>
                <w:szCs w:val="21"/>
                <w:highlight w:val="none"/>
              </w:rPr>
              <w:t>参数表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62"/>
              <w:gridCol w:w="1381"/>
              <w:gridCol w:w="1126"/>
              <w:gridCol w:w="1126"/>
              <w:gridCol w:w="1126"/>
              <w:gridCol w:w="1126"/>
              <w:gridCol w:w="1592"/>
            </w:tblGrid>
            <w:tr w14:paraId="4B126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restart"/>
                  <w:vAlign w:val="center"/>
                </w:tcPr>
                <w:p w14:paraId="7F75FF06">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非正常</w:t>
                  </w:r>
                </w:p>
                <w:p w14:paraId="2E8E40C8">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排放源</w:t>
                  </w:r>
                </w:p>
              </w:tc>
              <w:tc>
                <w:tcPr>
                  <w:tcW w:w="818" w:type="pct"/>
                  <w:vMerge w:val="restart"/>
                  <w:vAlign w:val="center"/>
                </w:tcPr>
                <w:p w14:paraId="36FDFA31">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污染物</w:t>
                  </w:r>
                </w:p>
              </w:tc>
              <w:tc>
                <w:tcPr>
                  <w:tcW w:w="667" w:type="pct"/>
                  <w:vAlign w:val="center"/>
                </w:tcPr>
                <w:p w14:paraId="0D346EC4">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频次</w:t>
                  </w:r>
                </w:p>
              </w:tc>
              <w:tc>
                <w:tcPr>
                  <w:tcW w:w="667" w:type="pct"/>
                  <w:vAlign w:val="center"/>
                </w:tcPr>
                <w:p w14:paraId="239D800B">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排放浓度</w:t>
                  </w:r>
                </w:p>
              </w:tc>
              <w:tc>
                <w:tcPr>
                  <w:tcW w:w="667" w:type="pct"/>
                  <w:vAlign w:val="center"/>
                </w:tcPr>
                <w:p w14:paraId="2DDF4B9D">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持续时间</w:t>
                  </w:r>
                </w:p>
              </w:tc>
              <w:tc>
                <w:tcPr>
                  <w:tcW w:w="667" w:type="pct"/>
                  <w:vAlign w:val="center"/>
                </w:tcPr>
                <w:p w14:paraId="749367AD">
                  <w:pPr>
                    <w:snapToGrid w:val="0"/>
                    <w:jc w:val="center"/>
                    <w:rPr>
                      <w:rFonts w:hint="eastAsia" w:ascii="Times New Roman" w:hAnsi="Times New Roman" w:eastAsia="宋体" w:cs="宋体"/>
                      <w:b/>
                      <w:color w:val="auto"/>
                      <w:szCs w:val="21"/>
                      <w:highlight w:val="none"/>
                      <w:lang w:eastAsia="zh-CN"/>
                    </w:rPr>
                  </w:pPr>
                  <w:r>
                    <w:rPr>
                      <w:rFonts w:hint="eastAsia" w:ascii="Times New Roman" w:hAnsi="Times New Roman" w:eastAsia="宋体" w:cs="宋体"/>
                      <w:b/>
                      <w:color w:val="auto"/>
                      <w:szCs w:val="21"/>
                      <w:highlight w:val="none"/>
                    </w:rPr>
                    <w:t>排放</w:t>
                  </w:r>
                  <w:r>
                    <w:rPr>
                      <w:rFonts w:hint="eastAsia" w:cs="宋体"/>
                      <w:b/>
                      <w:color w:val="auto"/>
                      <w:szCs w:val="21"/>
                      <w:highlight w:val="none"/>
                      <w:lang w:val="en-US" w:eastAsia="zh-CN"/>
                    </w:rPr>
                    <w:t>速率</w:t>
                  </w:r>
                </w:p>
              </w:tc>
              <w:tc>
                <w:tcPr>
                  <w:tcW w:w="943" w:type="pct"/>
                  <w:vMerge w:val="restart"/>
                  <w:vAlign w:val="center"/>
                </w:tcPr>
                <w:p w14:paraId="773D5048">
                  <w:pPr>
                    <w:snapToGrid w:val="0"/>
                    <w:jc w:val="center"/>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措施</w:t>
                  </w:r>
                </w:p>
              </w:tc>
            </w:tr>
            <w:tr w14:paraId="2CBB83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continue"/>
                  <w:vAlign w:val="center"/>
                </w:tcPr>
                <w:p w14:paraId="796B9D8E">
                  <w:pPr>
                    <w:snapToGrid w:val="0"/>
                    <w:jc w:val="center"/>
                    <w:rPr>
                      <w:rFonts w:ascii="Times New Roman" w:hAnsi="Times New Roman" w:eastAsia="宋体" w:cs="宋体"/>
                      <w:b/>
                      <w:color w:val="auto"/>
                      <w:szCs w:val="21"/>
                      <w:highlight w:val="none"/>
                    </w:rPr>
                  </w:pPr>
                </w:p>
              </w:tc>
              <w:tc>
                <w:tcPr>
                  <w:tcW w:w="818" w:type="pct"/>
                  <w:vMerge w:val="continue"/>
                  <w:vAlign w:val="center"/>
                </w:tcPr>
                <w:p w14:paraId="69107359">
                  <w:pPr>
                    <w:snapToGrid w:val="0"/>
                    <w:jc w:val="center"/>
                    <w:rPr>
                      <w:rFonts w:ascii="Times New Roman" w:hAnsi="Times New Roman" w:eastAsia="宋体" w:cs="宋体"/>
                      <w:b/>
                      <w:color w:val="auto"/>
                      <w:szCs w:val="21"/>
                      <w:highlight w:val="none"/>
                    </w:rPr>
                  </w:pPr>
                </w:p>
              </w:tc>
              <w:tc>
                <w:tcPr>
                  <w:tcW w:w="667" w:type="pct"/>
                  <w:vAlign w:val="center"/>
                </w:tcPr>
                <w:p w14:paraId="01242EF4">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次</w:t>
                  </w:r>
                  <w:r>
                    <w:rPr>
                      <w:rFonts w:hint="eastAsia" w:ascii="Times New Roman" w:hAnsi="Times New Roman" w:eastAsia="宋体" w:cs="宋体"/>
                      <w:color w:val="auto"/>
                      <w:szCs w:val="21"/>
                      <w:highlight w:val="none"/>
                    </w:rPr>
                    <w:t>/年</w:t>
                  </w:r>
                </w:p>
              </w:tc>
              <w:tc>
                <w:tcPr>
                  <w:tcW w:w="667" w:type="pct"/>
                  <w:vAlign w:val="center"/>
                </w:tcPr>
                <w:p w14:paraId="2DC15D71">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kern w:val="0"/>
                      <w:szCs w:val="21"/>
                      <w:highlight w:val="none"/>
                    </w:rPr>
                    <w:t>mg/m</w:t>
                  </w:r>
                  <w:r>
                    <w:rPr>
                      <w:rFonts w:ascii="Times New Roman" w:hAnsi="Times New Roman" w:eastAsia="宋体" w:cs="宋体"/>
                      <w:color w:val="auto"/>
                      <w:kern w:val="0"/>
                      <w:szCs w:val="21"/>
                      <w:highlight w:val="none"/>
                      <w:vertAlign w:val="superscript"/>
                    </w:rPr>
                    <w:t>3</w:t>
                  </w:r>
                </w:p>
              </w:tc>
              <w:tc>
                <w:tcPr>
                  <w:tcW w:w="667" w:type="pct"/>
                  <w:vAlign w:val="center"/>
                </w:tcPr>
                <w:p w14:paraId="5878806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h</w:t>
                  </w:r>
                </w:p>
              </w:tc>
              <w:tc>
                <w:tcPr>
                  <w:tcW w:w="667" w:type="pct"/>
                  <w:vAlign w:val="center"/>
                </w:tcPr>
                <w:p w14:paraId="26C12B4C">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k</w:t>
                  </w:r>
                  <w:r>
                    <w:rPr>
                      <w:rFonts w:hint="eastAsia" w:ascii="Times New Roman" w:hAnsi="Times New Roman" w:eastAsia="宋体" w:cs="宋体"/>
                      <w:color w:val="auto"/>
                      <w:szCs w:val="21"/>
                      <w:highlight w:val="none"/>
                    </w:rPr>
                    <w:t>g</w:t>
                  </w:r>
                  <w:r>
                    <w:rPr>
                      <w:rFonts w:hint="eastAsia" w:cs="宋体"/>
                      <w:color w:val="auto"/>
                      <w:szCs w:val="21"/>
                      <w:highlight w:val="none"/>
                      <w:lang w:val="en-US" w:eastAsia="zh-CN"/>
                    </w:rPr>
                    <w:t>/h</w:t>
                  </w:r>
                </w:p>
              </w:tc>
              <w:tc>
                <w:tcPr>
                  <w:tcW w:w="943" w:type="pct"/>
                  <w:vMerge w:val="continue"/>
                  <w:vAlign w:val="center"/>
                </w:tcPr>
                <w:p w14:paraId="577B2922">
                  <w:pPr>
                    <w:snapToGrid w:val="0"/>
                    <w:jc w:val="center"/>
                    <w:rPr>
                      <w:rFonts w:ascii="Times New Roman" w:hAnsi="Times New Roman" w:eastAsia="宋体" w:cs="宋体"/>
                      <w:b/>
                      <w:color w:val="auto"/>
                      <w:szCs w:val="21"/>
                      <w:highlight w:val="none"/>
                    </w:rPr>
                  </w:pPr>
                </w:p>
              </w:tc>
            </w:tr>
            <w:tr w14:paraId="61D3B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restart"/>
                  <w:vAlign w:val="center"/>
                </w:tcPr>
                <w:p w14:paraId="3D4CDB4E">
                  <w:pPr>
                    <w:snapToGrid w:val="0"/>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kern w:val="0"/>
                      <w:szCs w:val="21"/>
                      <w:highlight w:val="none"/>
                    </w:rPr>
                    <w:t>FQ-</w:t>
                  </w:r>
                  <w:r>
                    <w:rPr>
                      <w:rFonts w:hint="eastAsia" w:cs="宋体"/>
                      <w:color w:val="auto"/>
                      <w:kern w:val="0"/>
                      <w:szCs w:val="21"/>
                      <w:highlight w:val="none"/>
                      <w:lang w:val="en-US" w:eastAsia="zh-CN"/>
                    </w:rPr>
                    <w:t>1</w:t>
                  </w:r>
                </w:p>
              </w:tc>
              <w:tc>
                <w:tcPr>
                  <w:tcW w:w="818" w:type="pct"/>
                  <w:vAlign w:val="center"/>
                </w:tcPr>
                <w:p w14:paraId="0BEA01E4">
                  <w:pPr>
                    <w:tabs>
                      <w:tab w:val="left" w:pos="9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颗粒物</w:t>
                  </w:r>
                </w:p>
              </w:tc>
              <w:tc>
                <w:tcPr>
                  <w:tcW w:w="667" w:type="pct"/>
                  <w:vMerge w:val="restart"/>
                  <w:vAlign w:val="center"/>
                </w:tcPr>
                <w:p w14:paraId="6AFB7C1A">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p>
              </w:tc>
              <w:tc>
                <w:tcPr>
                  <w:tcW w:w="1088" w:type="dxa"/>
                  <w:vAlign w:val="center"/>
                </w:tcPr>
                <w:p w14:paraId="7C24F2ED">
                  <w:pPr>
                    <w:snapToGrid w:val="0"/>
                    <w:jc w:val="center"/>
                    <w:rPr>
                      <w:rFonts w:ascii="Times New Roman" w:hAnsi="Times New Roman" w:eastAsia="宋体" w:cs="宋体"/>
                      <w:color w:val="auto"/>
                      <w:szCs w:val="21"/>
                      <w:highlight w:val="none"/>
                    </w:rPr>
                  </w:pPr>
                  <w:r>
                    <w:rPr>
                      <w:rFonts w:hint="eastAsia" w:cs="宋体"/>
                      <w:color w:val="auto"/>
                      <w:kern w:val="0"/>
                      <w:szCs w:val="21"/>
                      <w:highlight w:val="none"/>
                      <w:lang w:val="en-US" w:eastAsia="zh-CN"/>
                    </w:rPr>
                    <w:t>26.39</w:t>
                  </w:r>
                </w:p>
              </w:tc>
              <w:tc>
                <w:tcPr>
                  <w:tcW w:w="667" w:type="pct"/>
                  <w:vMerge w:val="restart"/>
                  <w:vAlign w:val="center"/>
                </w:tcPr>
                <w:p w14:paraId="31460DD4">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0.5</w:t>
                  </w:r>
                </w:p>
              </w:tc>
              <w:tc>
                <w:tcPr>
                  <w:tcW w:w="1088" w:type="dxa"/>
                  <w:vAlign w:val="center"/>
                </w:tcPr>
                <w:p w14:paraId="33DDB8A5">
                  <w:pPr>
                    <w:snapToGrid w:val="0"/>
                    <w:jc w:val="center"/>
                    <w:rPr>
                      <w:rFonts w:hint="default" w:ascii="Times New Roman" w:hAnsi="Times New Roman" w:eastAsia="宋体" w:cs="宋体"/>
                      <w:bCs/>
                      <w:color w:val="auto"/>
                      <w:szCs w:val="21"/>
                      <w:highlight w:val="none"/>
                      <w:lang w:val="en-US" w:eastAsia="zh-CN"/>
                    </w:rPr>
                  </w:pPr>
                  <w:r>
                    <w:rPr>
                      <w:rFonts w:hint="eastAsia" w:cs="宋体"/>
                      <w:color w:val="auto"/>
                      <w:kern w:val="0"/>
                      <w:szCs w:val="21"/>
                      <w:highlight w:val="none"/>
                      <w:lang w:val="en-US" w:eastAsia="zh-CN"/>
                    </w:rPr>
                    <w:t>0.561</w:t>
                  </w:r>
                </w:p>
              </w:tc>
              <w:tc>
                <w:tcPr>
                  <w:tcW w:w="943" w:type="pct"/>
                  <w:vMerge w:val="restart"/>
                  <w:vAlign w:val="center"/>
                </w:tcPr>
                <w:p w14:paraId="07298658">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设备故障未修复之前不得生产</w:t>
                  </w:r>
                </w:p>
              </w:tc>
            </w:tr>
            <w:tr w14:paraId="00C46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continue"/>
                  <w:vAlign w:val="center"/>
                </w:tcPr>
                <w:p w14:paraId="0F3CEF36">
                  <w:pPr>
                    <w:snapToGrid w:val="0"/>
                    <w:jc w:val="center"/>
                    <w:rPr>
                      <w:rFonts w:hint="eastAsia" w:ascii="Times New Roman" w:hAnsi="Times New Roman" w:eastAsia="宋体" w:cs="宋体"/>
                      <w:color w:val="auto"/>
                      <w:kern w:val="0"/>
                      <w:szCs w:val="21"/>
                      <w:highlight w:val="none"/>
                    </w:rPr>
                  </w:pPr>
                </w:p>
              </w:tc>
              <w:tc>
                <w:tcPr>
                  <w:tcW w:w="1334" w:type="dxa"/>
                  <w:vAlign w:val="center"/>
                </w:tcPr>
                <w:p w14:paraId="14D298F1">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二氧化硫</w:t>
                  </w:r>
                </w:p>
              </w:tc>
              <w:tc>
                <w:tcPr>
                  <w:tcW w:w="667" w:type="pct"/>
                  <w:vMerge w:val="continue"/>
                  <w:vAlign w:val="center"/>
                </w:tcPr>
                <w:p w14:paraId="76C40724">
                  <w:pPr>
                    <w:snapToGrid w:val="0"/>
                    <w:jc w:val="center"/>
                    <w:rPr>
                      <w:rFonts w:hint="eastAsia" w:ascii="Times New Roman" w:hAnsi="Times New Roman" w:eastAsia="宋体" w:cs="宋体"/>
                      <w:color w:val="auto"/>
                      <w:szCs w:val="21"/>
                      <w:highlight w:val="none"/>
                    </w:rPr>
                  </w:pPr>
                </w:p>
              </w:tc>
              <w:tc>
                <w:tcPr>
                  <w:tcW w:w="1088" w:type="dxa"/>
                  <w:vAlign w:val="center"/>
                </w:tcPr>
                <w:p w14:paraId="08526419">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0.98</w:t>
                  </w:r>
                </w:p>
              </w:tc>
              <w:tc>
                <w:tcPr>
                  <w:tcW w:w="667" w:type="pct"/>
                  <w:vMerge w:val="continue"/>
                  <w:vAlign w:val="center"/>
                </w:tcPr>
                <w:p w14:paraId="7BF39350">
                  <w:pPr>
                    <w:snapToGrid w:val="0"/>
                    <w:jc w:val="center"/>
                    <w:rPr>
                      <w:rFonts w:hint="eastAsia" w:ascii="Times New Roman" w:hAnsi="Times New Roman" w:eastAsia="宋体" w:cs="宋体"/>
                      <w:color w:val="auto"/>
                      <w:szCs w:val="21"/>
                      <w:highlight w:val="none"/>
                    </w:rPr>
                  </w:pPr>
                </w:p>
              </w:tc>
              <w:tc>
                <w:tcPr>
                  <w:tcW w:w="1088" w:type="dxa"/>
                  <w:vAlign w:val="center"/>
                </w:tcPr>
                <w:p w14:paraId="1455A065">
                  <w:pPr>
                    <w:snapToGrid w:val="0"/>
                    <w:jc w:val="center"/>
                    <w:rPr>
                      <w:rFonts w:hint="eastAsia" w:ascii="Times New Roman" w:hAnsi="Times New Roman" w:eastAsia="宋体" w:cs="宋体"/>
                      <w:bCs/>
                      <w:color w:val="auto"/>
                      <w:szCs w:val="21"/>
                      <w:highlight w:val="none"/>
                      <w:lang w:val="en-US" w:eastAsia="zh-CN"/>
                    </w:rPr>
                  </w:pPr>
                  <w:r>
                    <w:rPr>
                      <w:rFonts w:hint="eastAsia" w:cs="宋体"/>
                      <w:color w:val="auto"/>
                      <w:kern w:val="0"/>
                      <w:szCs w:val="21"/>
                      <w:highlight w:val="none"/>
                      <w:lang w:val="en-US" w:eastAsia="zh-CN"/>
                    </w:rPr>
                    <w:t>0.018</w:t>
                  </w:r>
                </w:p>
              </w:tc>
              <w:tc>
                <w:tcPr>
                  <w:tcW w:w="943" w:type="pct"/>
                  <w:vMerge w:val="continue"/>
                  <w:vAlign w:val="center"/>
                </w:tcPr>
                <w:p w14:paraId="2C305A07">
                  <w:pPr>
                    <w:snapToGrid w:val="0"/>
                    <w:jc w:val="center"/>
                    <w:rPr>
                      <w:rFonts w:hint="eastAsia" w:ascii="Times New Roman" w:hAnsi="Times New Roman" w:eastAsia="宋体" w:cs="宋体"/>
                      <w:bCs/>
                      <w:color w:val="auto"/>
                      <w:szCs w:val="21"/>
                      <w:highlight w:val="none"/>
                    </w:rPr>
                  </w:pPr>
                </w:p>
              </w:tc>
            </w:tr>
            <w:tr w14:paraId="15819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continue"/>
                  <w:vAlign w:val="center"/>
                </w:tcPr>
                <w:p w14:paraId="7482DE77">
                  <w:pPr>
                    <w:snapToGrid w:val="0"/>
                    <w:jc w:val="center"/>
                    <w:rPr>
                      <w:rFonts w:hint="eastAsia" w:ascii="Times New Roman" w:hAnsi="Times New Roman" w:eastAsia="宋体" w:cs="宋体"/>
                      <w:color w:val="auto"/>
                      <w:kern w:val="0"/>
                      <w:szCs w:val="21"/>
                      <w:highlight w:val="none"/>
                    </w:rPr>
                  </w:pPr>
                </w:p>
              </w:tc>
              <w:tc>
                <w:tcPr>
                  <w:tcW w:w="1334" w:type="dxa"/>
                  <w:vAlign w:val="center"/>
                </w:tcPr>
                <w:p w14:paraId="644B59AB">
                  <w:pPr>
                    <w:tabs>
                      <w:tab w:val="left" w:pos="960"/>
                    </w:tabs>
                    <w:snapToGrid w:val="0"/>
                    <w:jc w:val="center"/>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氮氧化物</w:t>
                  </w:r>
                </w:p>
              </w:tc>
              <w:tc>
                <w:tcPr>
                  <w:tcW w:w="667" w:type="pct"/>
                  <w:vMerge w:val="continue"/>
                  <w:vAlign w:val="center"/>
                </w:tcPr>
                <w:p w14:paraId="4BE6294D">
                  <w:pPr>
                    <w:snapToGrid w:val="0"/>
                    <w:jc w:val="center"/>
                    <w:rPr>
                      <w:rFonts w:hint="eastAsia" w:ascii="Times New Roman" w:hAnsi="Times New Roman" w:eastAsia="宋体" w:cs="宋体"/>
                      <w:color w:val="auto"/>
                      <w:szCs w:val="21"/>
                      <w:highlight w:val="none"/>
                    </w:rPr>
                  </w:pPr>
                </w:p>
              </w:tc>
              <w:tc>
                <w:tcPr>
                  <w:tcW w:w="1088" w:type="dxa"/>
                  <w:vAlign w:val="center"/>
                </w:tcPr>
                <w:p w14:paraId="60AF8580">
                  <w:pPr>
                    <w:snapToGrid w:val="0"/>
                    <w:jc w:val="center"/>
                    <w:rPr>
                      <w:rFonts w:hint="eastAsia"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9.16</w:t>
                  </w:r>
                </w:p>
              </w:tc>
              <w:tc>
                <w:tcPr>
                  <w:tcW w:w="667" w:type="pct"/>
                  <w:vMerge w:val="continue"/>
                  <w:vAlign w:val="center"/>
                </w:tcPr>
                <w:p w14:paraId="5CE59A34">
                  <w:pPr>
                    <w:snapToGrid w:val="0"/>
                    <w:jc w:val="center"/>
                    <w:rPr>
                      <w:rFonts w:hint="eastAsia" w:ascii="Times New Roman" w:hAnsi="Times New Roman" w:eastAsia="宋体" w:cs="宋体"/>
                      <w:color w:val="auto"/>
                      <w:szCs w:val="21"/>
                      <w:highlight w:val="none"/>
                    </w:rPr>
                  </w:pPr>
                </w:p>
              </w:tc>
              <w:tc>
                <w:tcPr>
                  <w:tcW w:w="1088" w:type="dxa"/>
                  <w:vAlign w:val="center"/>
                </w:tcPr>
                <w:p w14:paraId="368C88FC">
                  <w:pPr>
                    <w:snapToGrid w:val="0"/>
                    <w:jc w:val="center"/>
                    <w:rPr>
                      <w:rFonts w:hint="eastAsia" w:ascii="Times New Roman" w:hAnsi="Times New Roman" w:eastAsia="宋体" w:cs="宋体"/>
                      <w:bCs/>
                      <w:color w:val="auto"/>
                      <w:szCs w:val="21"/>
                      <w:highlight w:val="none"/>
                      <w:lang w:val="en-US" w:eastAsia="zh-CN"/>
                    </w:rPr>
                  </w:pPr>
                  <w:r>
                    <w:rPr>
                      <w:rFonts w:hint="eastAsia" w:cs="宋体"/>
                      <w:color w:val="auto"/>
                      <w:kern w:val="0"/>
                      <w:szCs w:val="21"/>
                      <w:highlight w:val="none"/>
                      <w:lang w:val="en-US" w:eastAsia="zh-CN"/>
                    </w:rPr>
                    <w:t>0.172</w:t>
                  </w:r>
                </w:p>
              </w:tc>
              <w:tc>
                <w:tcPr>
                  <w:tcW w:w="943" w:type="pct"/>
                  <w:vMerge w:val="continue"/>
                  <w:vAlign w:val="center"/>
                </w:tcPr>
                <w:p w14:paraId="25492BF6">
                  <w:pPr>
                    <w:snapToGrid w:val="0"/>
                    <w:jc w:val="center"/>
                    <w:rPr>
                      <w:rFonts w:hint="eastAsia" w:ascii="Times New Roman" w:hAnsi="Times New Roman" w:eastAsia="宋体" w:cs="宋体"/>
                      <w:bCs/>
                      <w:color w:val="auto"/>
                      <w:szCs w:val="21"/>
                      <w:highlight w:val="none"/>
                    </w:rPr>
                  </w:pPr>
                </w:p>
              </w:tc>
            </w:tr>
            <w:tr w14:paraId="2B23A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Merge w:val="continue"/>
                  <w:vAlign w:val="center"/>
                </w:tcPr>
                <w:p w14:paraId="44FF0197">
                  <w:pPr>
                    <w:snapToGrid w:val="0"/>
                    <w:jc w:val="center"/>
                    <w:rPr>
                      <w:rFonts w:ascii="Times New Roman" w:hAnsi="Times New Roman" w:eastAsia="宋体" w:cs="宋体"/>
                      <w:color w:val="auto"/>
                      <w:kern w:val="0"/>
                      <w:szCs w:val="21"/>
                      <w:highlight w:val="none"/>
                    </w:rPr>
                  </w:pPr>
                </w:p>
              </w:tc>
              <w:tc>
                <w:tcPr>
                  <w:tcW w:w="818" w:type="pct"/>
                  <w:vAlign w:val="center"/>
                </w:tcPr>
                <w:p w14:paraId="5A573B48">
                  <w:pPr>
                    <w:tabs>
                      <w:tab w:val="left" w:pos="960"/>
                    </w:tabs>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非甲烷总烃</w:t>
                  </w:r>
                </w:p>
              </w:tc>
              <w:tc>
                <w:tcPr>
                  <w:tcW w:w="667" w:type="pct"/>
                  <w:vMerge w:val="continue"/>
                  <w:vAlign w:val="center"/>
                </w:tcPr>
                <w:p w14:paraId="4A8DBC18">
                  <w:pPr>
                    <w:snapToGrid w:val="0"/>
                    <w:jc w:val="center"/>
                    <w:rPr>
                      <w:rFonts w:ascii="Times New Roman" w:hAnsi="Times New Roman" w:eastAsia="宋体" w:cs="宋体"/>
                      <w:color w:val="auto"/>
                      <w:szCs w:val="21"/>
                      <w:highlight w:val="none"/>
                    </w:rPr>
                  </w:pPr>
                </w:p>
              </w:tc>
              <w:tc>
                <w:tcPr>
                  <w:tcW w:w="1088" w:type="dxa"/>
                  <w:vAlign w:val="center"/>
                </w:tcPr>
                <w:p w14:paraId="78D74D18">
                  <w:pPr>
                    <w:snapToGrid w:val="0"/>
                    <w:jc w:val="center"/>
                    <w:rPr>
                      <w:rFonts w:ascii="Times New Roman" w:hAnsi="Times New Roman" w:eastAsia="宋体" w:cs="宋体"/>
                      <w:color w:val="auto"/>
                      <w:szCs w:val="21"/>
                      <w:highlight w:val="none"/>
                    </w:rPr>
                  </w:pPr>
                  <w:r>
                    <w:rPr>
                      <w:rFonts w:hint="eastAsia" w:cs="宋体"/>
                      <w:color w:val="auto"/>
                      <w:kern w:val="0"/>
                      <w:szCs w:val="21"/>
                      <w:highlight w:val="none"/>
                      <w:lang w:val="en-US" w:eastAsia="zh-CN"/>
                    </w:rPr>
                    <w:t>60</w:t>
                  </w:r>
                </w:p>
              </w:tc>
              <w:tc>
                <w:tcPr>
                  <w:tcW w:w="667" w:type="pct"/>
                  <w:vMerge w:val="continue"/>
                  <w:vAlign w:val="center"/>
                </w:tcPr>
                <w:p w14:paraId="3F7E3176">
                  <w:pPr>
                    <w:snapToGrid w:val="0"/>
                    <w:jc w:val="center"/>
                    <w:rPr>
                      <w:rFonts w:ascii="Times New Roman" w:hAnsi="Times New Roman" w:eastAsia="宋体" w:cs="宋体"/>
                      <w:color w:val="auto"/>
                      <w:szCs w:val="21"/>
                      <w:highlight w:val="none"/>
                    </w:rPr>
                  </w:pPr>
                </w:p>
              </w:tc>
              <w:tc>
                <w:tcPr>
                  <w:tcW w:w="1088" w:type="dxa"/>
                  <w:vAlign w:val="center"/>
                </w:tcPr>
                <w:p w14:paraId="654FFA35">
                  <w:pPr>
                    <w:snapToGrid w:val="0"/>
                    <w:jc w:val="center"/>
                    <w:rPr>
                      <w:rFonts w:hint="default" w:ascii="Times New Roman" w:hAnsi="Times New Roman" w:eastAsia="宋体" w:cs="宋体"/>
                      <w:bCs/>
                      <w:color w:val="auto"/>
                      <w:szCs w:val="21"/>
                      <w:highlight w:val="none"/>
                      <w:lang w:val="en-US" w:eastAsia="zh-CN"/>
                    </w:rPr>
                  </w:pPr>
                  <w:r>
                    <w:rPr>
                      <w:rFonts w:hint="eastAsia" w:cs="宋体"/>
                      <w:color w:val="auto"/>
                      <w:kern w:val="0"/>
                      <w:szCs w:val="21"/>
                      <w:highlight w:val="none"/>
                      <w:lang w:val="en-US" w:eastAsia="zh-CN"/>
                    </w:rPr>
                    <w:t>1.13</w:t>
                  </w:r>
                </w:p>
              </w:tc>
              <w:tc>
                <w:tcPr>
                  <w:tcW w:w="943" w:type="pct"/>
                  <w:vMerge w:val="continue"/>
                  <w:vAlign w:val="center"/>
                </w:tcPr>
                <w:p w14:paraId="481C9779">
                  <w:pPr>
                    <w:snapToGrid w:val="0"/>
                    <w:jc w:val="center"/>
                    <w:rPr>
                      <w:rFonts w:ascii="Times New Roman" w:hAnsi="Times New Roman" w:eastAsia="宋体" w:cs="宋体"/>
                      <w:bCs/>
                      <w:color w:val="auto"/>
                      <w:szCs w:val="21"/>
                      <w:highlight w:val="none"/>
                    </w:rPr>
                  </w:pPr>
                </w:p>
              </w:tc>
            </w:tr>
            <w:tr w14:paraId="4A2D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70" w:type="pct"/>
                  <w:vAlign w:val="center"/>
                </w:tcPr>
                <w:p w14:paraId="2CC80726">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FQ-3</w:t>
                  </w:r>
                </w:p>
              </w:tc>
              <w:tc>
                <w:tcPr>
                  <w:tcW w:w="818" w:type="pct"/>
                  <w:vAlign w:val="center"/>
                </w:tcPr>
                <w:p w14:paraId="2E7BA6F3">
                  <w:pPr>
                    <w:tabs>
                      <w:tab w:val="left" w:pos="960"/>
                    </w:tabs>
                    <w:snapToGrid w:val="0"/>
                    <w:jc w:val="center"/>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667" w:type="pct"/>
                  <w:vAlign w:val="center"/>
                </w:tcPr>
                <w:p w14:paraId="5DE4F35B">
                  <w:pPr>
                    <w:snapToGrid w:val="0"/>
                    <w:jc w:val="center"/>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w:t>
                  </w:r>
                </w:p>
              </w:tc>
              <w:tc>
                <w:tcPr>
                  <w:tcW w:w="1088" w:type="dxa"/>
                  <w:vAlign w:val="center"/>
                </w:tcPr>
                <w:p w14:paraId="2F8FAF0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52</w:t>
                  </w:r>
                </w:p>
              </w:tc>
              <w:tc>
                <w:tcPr>
                  <w:tcW w:w="667" w:type="pct"/>
                  <w:vAlign w:val="center"/>
                </w:tcPr>
                <w:p w14:paraId="3DAD902C">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0.5</w:t>
                  </w:r>
                </w:p>
              </w:tc>
              <w:tc>
                <w:tcPr>
                  <w:tcW w:w="1088" w:type="dxa"/>
                  <w:vAlign w:val="center"/>
                </w:tcPr>
                <w:p w14:paraId="32A5D436">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0.26</w:t>
                  </w:r>
                </w:p>
              </w:tc>
              <w:tc>
                <w:tcPr>
                  <w:tcW w:w="943" w:type="pct"/>
                  <w:vAlign w:val="center"/>
                </w:tcPr>
                <w:p w14:paraId="300C7A75">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设备故障未修复之前不得生产</w:t>
                  </w:r>
                </w:p>
              </w:tc>
            </w:tr>
          </w:tbl>
          <w:p w14:paraId="192F5B5A">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7</w:t>
            </w:r>
            <w:r>
              <w:rPr>
                <w:rFonts w:ascii="Times New Roman" w:hAnsi="Times New Roman" w:eastAsia="宋体" w:cs="宋体"/>
                <w:color w:val="auto"/>
                <w:sz w:val="24"/>
                <w:highlight w:val="none"/>
              </w:rPr>
              <w:t>）大气防护距离及卫生防护距离</w:t>
            </w:r>
          </w:p>
          <w:p w14:paraId="1414457E">
            <w:pPr>
              <w:spacing w:line="360" w:lineRule="auto"/>
              <w:ind w:firstLine="480" w:firstLineChars="200"/>
              <w:rPr>
                <w:rFonts w:hint="default" w:ascii="Times New Roman" w:hAnsi="Times New Roman" w:eastAsia="宋体" w:cs="宋体"/>
                <w:color w:val="auto"/>
                <w:sz w:val="24"/>
                <w:szCs w:val="32"/>
                <w:highlight w:val="none"/>
                <w:lang w:val="en-US" w:eastAsia="zh-CN"/>
              </w:rPr>
            </w:pPr>
            <w:r>
              <w:rPr>
                <w:rFonts w:hint="default" w:ascii="Times New Roman" w:hAnsi="Times New Roman" w:eastAsia="宋体" w:cs="宋体"/>
                <w:color w:val="auto"/>
                <w:sz w:val="24"/>
                <w:szCs w:val="32"/>
                <w:highlight w:val="none"/>
              </w:rPr>
              <w:t>①</w:t>
            </w:r>
            <w:r>
              <w:rPr>
                <w:rFonts w:hint="eastAsia" w:ascii="Times New Roman" w:hAnsi="Times New Roman" w:eastAsia="宋体" w:cs="宋体"/>
                <w:color w:val="auto"/>
                <w:sz w:val="24"/>
                <w:szCs w:val="32"/>
                <w:highlight w:val="none"/>
                <w:lang w:val="en-US" w:eastAsia="zh-CN"/>
              </w:rPr>
              <w:t>大气防护距离</w:t>
            </w:r>
          </w:p>
          <w:p w14:paraId="4BFDDBD1">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项目厂界浓度满足大气污染物厂界浓度限值，且厂界外大气污染物短期贡献浓度低于环境质量浓度限值，因此无需设置大气环境防护距离。</w:t>
            </w:r>
          </w:p>
          <w:p w14:paraId="5589EC44">
            <w:pPr>
              <w:spacing w:line="360" w:lineRule="auto"/>
              <w:ind w:firstLine="480" w:firstLineChars="200"/>
              <w:rPr>
                <w:rFonts w:hint="default" w:ascii="Times New Roman" w:hAnsi="Times New Roman" w:eastAsia="宋体" w:cs="宋体"/>
                <w:color w:val="auto"/>
                <w:sz w:val="24"/>
                <w:highlight w:val="none"/>
                <w:lang w:val="en-US" w:eastAsia="zh-CN"/>
              </w:rPr>
            </w:pPr>
            <w:r>
              <w:rPr>
                <w:rFonts w:hint="default" w:ascii="Times New Roman" w:hAnsi="Times New Roman" w:eastAsia="宋体" w:cs="宋体"/>
                <w:color w:val="auto"/>
                <w:sz w:val="24"/>
                <w:szCs w:val="32"/>
                <w:highlight w:val="none"/>
              </w:rPr>
              <w:t>②</w:t>
            </w:r>
            <w:r>
              <w:rPr>
                <w:rFonts w:hint="eastAsia" w:ascii="Times New Roman" w:hAnsi="Times New Roman" w:eastAsia="宋体" w:cs="宋体"/>
                <w:color w:val="auto"/>
                <w:sz w:val="24"/>
                <w:szCs w:val="32"/>
                <w:highlight w:val="none"/>
                <w:lang w:val="en-US" w:eastAsia="zh-CN"/>
              </w:rPr>
              <w:t>卫生防护距离</w:t>
            </w:r>
          </w:p>
          <w:p w14:paraId="3CEA3FAA">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根据《</w:t>
            </w:r>
            <w:r>
              <w:rPr>
                <w:rFonts w:hint="eastAsia" w:ascii="Times New Roman" w:hAnsi="Times New Roman" w:eastAsia="宋体" w:cs="宋体"/>
                <w:color w:val="auto"/>
                <w:sz w:val="24"/>
                <w:highlight w:val="none"/>
              </w:rPr>
              <w:t>大气有害物质</w:t>
            </w:r>
            <w:r>
              <w:rPr>
                <w:rFonts w:ascii="Times New Roman" w:hAnsi="Times New Roman" w:eastAsia="宋体" w:cs="宋体"/>
                <w:color w:val="auto"/>
                <w:sz w:val="24"/>
                <w:highlight w:val="none"/>
              </w:rPr>
              <w:t>无组织排放卫生防护距离推导技术导则》（GB/T</w:t>
            </w:r>
            <w:r>
              <w:rPr>
                <w:rFonts w:hint="eastAsia" w:ascii="Times New Roman" w:hAnsi="Times New Roman" w:eastAsia="宋体" w:cs="宋体"/>
                <w:color w:val="auto"/>
                <w:sz w:val="24"/>
                <w:highlight w:val="none"/>
              </w:rPr>
              <w:t>39499-2020</w:t>
            </w:r>
            <w:r>
              <w:rPr>
                <w:rFonts w:ascii="Times New Roman" w:hAnsi="Times New Roman" w:eastAsia="宋体" w:cs="宋体"/>
                <w:color w:val="auto"/>
                <w:sz w:val="24"/>
                <w:highlight w:val="none"/>
              </w:rPr>
              <w:t>），各类工业企业卫生防护距离按下式计算：</w:t>
            </w:r>
          </w:p>
          <w:p w14:paraId="713797B5">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pict>
                <v:shape id="对象 3352" o:spid="_x0000_s1026" o:spt="75" type="#_x0000_t75" style="position:absolute;left:0pt;margin-left:93.1pt;margin-top:2.65pt;height:28.1pt;width:116.5pt;mso-wrap-distance-bottom:0pt;mso-wrap-distance-top:0pt;z-index:251661312;mso-width-relative:page;mso-height-relative:page;" o:ole="t" filled="f" o:preferrelative="t" stroked="f" coordsize="21600,21600">
                  <v:path/>
                  <v:fill on="f" focussize="0,0"/>
                  <v:stroke on="f"/>
                  <v:imagedata r:id="rId20" o:title=""/>
                  <o:lock v:ext="edit" aspectratio="t"/>
                  <w10:wrap type="topAndBottom"/>
                </v:shape>
                <o:OLEObject Type="Embed" ProgID="Equations" ShapeID="对象 3352" DrawAspect="Content" ObjectID="_1468075725" r:id="rId19">
                  <o:LockedField>false</o:LockedField>
                </o:OLEObject>
              </w:pict>
            </w:r>
            <w:r>
              <w:rPr>
                <w:rFonts w:ascii="Times New Roman" w:hAnsi="Times New Roman" w:eastAsia="宋体" w:cs="宋体"/>
                <w:color w:val="auto"/>
                <w:sz w:val="24"/>
                <w:highlight w:val="none"/>
              </w:rPr>
              <w:t>式中：</w:t>
            </w:r>
          </w:p>
          <w:p w14:paraId="663E725A">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Q</w:t>
            </w:r>
            <w:r>
              <w:rPr>
                <w:rFonts w:hint="eastAsia" w:ascii="Times New Roman" w:hAnsi="Times New Roman" w:eastAsia="宋体" w:cs="宋体"/>
                <w:color w:val="auto"/>
                <w:sz w:val="24"/>
                <w:highlight w:val="none"/>
                <w:vertAlign w:val="subscript"/>
              </w:rPr>
              <w:t>c</w:t>
            </w:r>
            <w:r>
              <w:rPr>
                <w:rFonts w:hint="eastAsia" w:ascii="Times New Roman" w:hAnsi="Times New Roman" w:eastAsia="宋体" w:cs="宋体"/>
                <w:color w:val="auto"/>
                <w:sz w:val="24"/>
                <w:highlight w:val="none"/>
              </w:rPr>
              <w:t>—大气有害物质的无组织排放量，kg/h；</w:t>
            </w:r>
          </w:p>
          <w:p w14:paraId="60DCCF58">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C</w:t>
            </w:r>
            <w:r>
              <w:rPr>
                <w:rFonts w:ascii="Times New Roman" w:hAnsi="Times New Roman" w:eastAsia="宋体" w:cs="宋体"/>
                <w:color w:val="auto"/>
                <w:sz w:val="24"/>
                <w:highlight w:val="none"/>
                <w:vertAlign w:val="subscript"/>
              </w:rPr>
              <w:t>m</w:t>
            </w:r>
            <w:r>
              <w:rPr>
                <w:rFonts w:hint="eastAsia" w:ascii="Times New Roman" w:hAnsi="Times New Roman" w:eastAsia="宋体" w:cs="宋体"/>
                <w:color w:val="auto"/>
                <w:sz w:val="24"/>
                <w:highlight w:val="none"/>
              </w:rPr>
              <w:t>—大气有害物质环境空气质量的标准限值，</w:t>
            </w:r>
            <w:r>
              <w:rPr>
                <w:rFonts w:ascii="Times New Roman" w:hAnsi="Times New Roman" w:eastAsia="宋体" w:cs="宋体"/>
                <w:color w:val="auto"/>
                <w:sz w:val="24"/>
                <w:highlight w:val="none"/>
              </w:rPr>
              <w:t>mg/m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w:t>
            </w:r>
          </w:p>
          <w:p w14:paraId="21B90AC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L</w:t>
            </w:r>
            <w:r>
              <w:rPr>
                <w:rFonts w:hint="eastAsia" w:ascii="Times New Roman" w:hAnsi="Times New Roman" w:eastAsia="宋体" w:cs="宋体"/>
                <w:color w:val="auto"/>
                <w:sz w:val="24"/>
                <w:highlight w:val="none"/>
              </w:rPr>
              <w:t>—大气有害物质卫生防护距离初值</w:t>
            </w:r>
            <w:r>
              <w:rPr>
                <w:rFonts w:ascii="Times New Roman" w:hAnsi="Times New Roman" w:eastAsia="宋体" w:cs="宋体"/>
                <w:color w:val="auto"/>
                <w:sz w:val="24"/>
                <w:highlight w:val="none"/>
              </w:rPr>
              <w:t>，m；</w:t>
            </w:r>
          </w:p>
          <w:p w14:paraId="52F9E45B">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r</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大气有害物质无组织排放源所在生产单元的等效半径，m</w:t>
            </w:r>
            <w:r>
              <w:rPr>
                <w:rFonts w:hint="eastAsia" w:ascii="Times New Roman" w:hAnsi="Times New Roman" w:eastAsia="宋体" w:cs="宋体"/>
                <w:color w:val="auto"/>
                <w:sz w:val="24"/>
                <w:highlight w:val="none"/>
              </w:rPr>
              <w:t>；</w:t>
            </w:r>
          </w:p>
          <w:p w14:paraId="262E2EF8">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A、B、C、D</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卫生防护距离初值计算系数</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无因次</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根据工业企业所在地区近</w:t>
            </w:r>
            <w:r>
              <w:rPr>
                <w:rFonts w:hint="eastAsia" w:ascii="Times New Roman" w:hAnsi="Times New Roman" w:eastAsia="宋体" w:cs="宋体"/>
                <w:color w:val="auto"/>
                <w:sz w:val="24"/>
                <w:highlight w:val="none"/>
              </w:rPr>
              <w:t>5年平均风速及大气污染源构成类别从表1查取。</w:t>
            </w:r>
          </w:p>
          <w:p w14:paraId="682D57A4">
            <w:pPr>
              <w:snapToGrid w:val="0"/>
              <w:spacing w:before="48" w:beforeLines="20" w:line="36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表1 卫生防护距离初值计算系数</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410"/>
              <w:gridCol w:w="664"/>
              <w:gridCol w:w="664"/>
              <w:gridCol w:w="666"/>
              <w:gridCol w:w="664"/>
              <w:gridCol w:w="664"/>
              <w:gridCol w:w="666"/>
              <w:gridCol w:w="664"/>
              <w:gridCol w:w="664"/>
              <w:gridCol w:w="672"/>
            </w:tblGrid>
            <w:tr w14:paraId="43066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987" w:type="dxa"/>
                  <w:vMerge w:val="restart"/>
                  <w:noWrap w:val="0"/>
                  <w:vAlign w:val="center"/>
                </w:tcPr>
                <w:p w14:paraId="6510E48F">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卫生防护距离初值计算系数</w:t>
                  </w:r>
                </w:p>
              </w:tc>
              <w:tc>
                <w:tcPr>
                  <w:tcW w:w="1337" w:type="dxa"/>
                  <w:vMerge w:val="restart"/>
                  <w:noWrap w:val="0"/>
                  <w:vAlign w:val="center"/>
                </w:tcPr>
                <w:p w14:paraId="48083F91">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工业企业所在地区近5年平均风速/（m/s）</w:t>
                  </w:r>
                </w:p>
              </w:tc>
              <w:tc>
                <w:tcPr>
                  <w:tcW w:w="5669" w:type="dxa"/>
                  <w:gridSpan w:val="9"/>
                  <w:noWrap w:val="0"/>
                  <w:vAlign w:val="center"/>
                </w:tcPr>
                <w:p w14:paraId="536D4A97">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卫生防护距离L/m</w:t>
                  </w:r>
                </w:p>
              </w:tc>
            </w:tr>
            <w:tr w14:paraId="4025E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987" w:type="dxa"/>
                  <w:vMerge w:val="continue"/>
                  <w:noWrap w:val="0"/>
                  <w:vAlign w:val="center"/>
                </w:tcPr>
                <w:p w14:paraId="48CB7FF7">
                  <w:pPr>
                    <w:snapToGrid w:val="0"/>
                    <w:spacing w:line="240" w:lineRule="atLeast"/>
                    <w:jc w:val="center"/>
                    <w:rPr>
                      <w:rFonts w:hint="default" w:ascii="Times New Roman" w:hAnsi="Times New Roman" w:eastAsia="宋体" w:cs="Times New Roman"/>
                      <w:color w:val="auto"/>
                      <w:sz w:val="18"/>
                      <w:szCs w:val="18"/>
                    </w:rPr>
                  </w:pPr>
                </w:p>
              </w:tc>
              <w:tc>
                <w:tcPr>
                  <w:tcW w:w="1337" w:type="dxa"/>
                  <w:vMerge w:val="continue"/>
                  <w:noWrap w:val="0"/>
                  <w:vAlign w:val="center"/>
                </w:tcPr>
                <w:p w14:paraId="4FBE2A87">
                  <w:pPr>
                    <w:snapToGrid w:val="0"/>
                    <w:spacing w:line="240" w:lineRule="atLeast"/>
                    <w:jc w:val="center"/>
                    <w:rPr>
                      <w:rFonts w:hint="default" w:ascii="Times New Roman" w:hAnsi="Times New Roman" w:eastAsia="宋体" w:cs="Times New Roman"/>
                      <w:color w:val="auto"/>
                      <w:sz w:val="18"/>
                      <w:szCs w:val="18"/>
                    </w:rPr>
                  </w:pPr>
                </w:p>
              </w:tc>
              <w:tc>
                <w:tcPr>
                  <w:tcW w:w="1889" w:type="dxa"/>
                  <w:gridSpan w:val="3"/>
                  <w:noWrap w:val="0"/>
                  <w:vAlign w:val="center"/>
                </w:tcPr>
                <w:p w14:paraId="716B6248">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L≤1000</w:t>
                  </w:r>
                </w:p>
              </w:tc>
              <w:tc>
                <w:tcPr>
                  <w:tcW w:w="1889" w:type="dxa"/>
                  <w:gridSpan w:val="3"/>
                  <w:noWrap w:val="0"/>
                  <w:vAlign w:val="center"/>
                </w:tcPr>
                <w:p w14:paraId="3F8B4075">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1000＜L≤2000</w:t>
                  </w:r>
                </w:p>
              </w:tc>
              <w:tc>
                <w:tcPr>
                  <w:tcW w:w="1891" w:type="dxa"/>
                  <w:gridSpan w:val="3"/>
                  <w:noWrap w:val="0"/>
                  <w:vAlign w:val="center"/>
                </w:tcPr>
                <w:p w14:paraId="7D7FE908">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L＞2000</w:t>
                  </w:r>
                </w:p>
              </w:tc>
            </w:tr>
            <w:tr w14:paraId="2F0F2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987" w:type="dxa"/>
                  <w:vMerge w:val="continue"/>
                  <w:noWrap w:val="0"/>
                  <w:vAlign w:val="center"/>
                </w:tcPr>
                <w:p w14:paraId="662DDB90">
                  <w:pPr>
                    <w:snapToGrid w:val="0"/>
                    <w:spacing w:line="240" w:lineRule="atLeast"/>
                    <w:jc w:val="center"/>
                    <w:rPr>
                      <w:rFonts w:hint="default" w:ascii="Times New Roman" w:hAnsi="Times New Roman" w:eastAsia="宋体" w:cs="Times New Roman"/>
                      <w:color w:val="auto"/>
                      <w:sz w:val="18"/>
                      <w:szCs w:val="18"/>
                    </w:rPr>
                  </w:pPr>
                </w:p>
              </w:tc>
              <w:tc>
                <w:tcPr>
                  <w:tcW w:w="1337" w:type="dxa"/>
                  <w:vMerge w:val="continue"/>
                  <w:noWrap w:val="0"/>
                  <w:vAlign w:val="center"/>
                </w:tcPr>
                <w:p w14:paraId="5EBDE2E7">
                  <w:pPr>
                    <w:snapToGrid w:val="0"/>
                    <w:spacing w:line="240" w:lineRule="atLeast"/>
                    <w:jc w:val="center"/>
                    <w:rPr>
                      <w:rFonts w:hint="default" w:ascii="Times New Roman" w:hAnsi="Times New Roman" w:eastAsia="宋体" w:cs="Times New Roman"/>
                      <w:color w:val="auto"/>
                      <w:sz w:val="18"/>
                      <w:szCs w:val="18"/>
                    </w:rPr>
                  </w:pPr>
                </w:p>
              </w:tc>
              <w:tc>
                <w:tcPr>
                  <w:tcW w:w="5669" w:type="dxa"/>
                  <w:gridSpan w:val="9"/>
                  <w:noWrap w:val="0"/>
                  <w:vAlign w:val="center"/>
                </w:tcPr>
                <w:p w14:paraId="32DE0F52">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工业企业大气污染源构成类型</w:t>
                  </w:r>
                </w:p>
              </w:tc>
            </w:tr>
            <w:tr w14:paraId="39149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7" w:type="dxa"/>
                  <w:vMerge w:val="continue"/>
                  <w:noWrap w:val="0"/>
                  <w:vAlign w:val="center"/>
                </w:tcPr>
                <w:p w14:paraId="622EB23B">
                  <w:pPr>
                    <w:snapToGrid w:val="0"/>
                    <w:spacing w:line="240" w:lineRule="atLeast"/>
                    <w:jc w:val="center"/>
                    <w:rPr>
                      <w:rFonts w:hint="default" w:ascii="Times New Roman" w:hAnsi="Times New Roman" w:eastAsia="宋体" w:cs="Times New Roman"/>
                      <w:color w:val="auto"/>
                      <w:sz w:val="18"/>
                      <w:szCs w:val="18"/>
                    </w:rPr>
                  </w:pPr>
                </w:p>
              </w:tc>
              <w:tc>
                <w:tcPr>
                  <w:tcW w:w="1337" w:type="dxa"/>
                  <w:vMerge w:val="continue"/>
                  <w:noWrap w:val="0"/>
                  <w:vAlign w:val="center"/>
                </w:tcPr>
                <w:p w14:paraId="3A12E7DD">
                  <w:pPr>
                    <w:snapToGrid w:val="0"/>
                    <w:spacing w:line="240" w:lineRule="atLeast"/>
                    <w:jc w:val="center"/>
                    <w:rPr>
                      <w:rFonts w:hint="default" w:ascii="Times New Roman" w:hAnsi="Times New Roman" w:eastAsia="宋体" w:cs="Times New Roman"/>
                      <w:color w:val="auto"/>
                      <w:sz w:val="18"/>
                      <w:szCs w:val="18"/>
                    </w:rPr>
                  </w:pPr>
                </w:p>
              </w:tc>
              <w:tc>
                <w:tcPr>
                  <w:tcW w:w="629" w:type="dxa"/>
                  <w:noWrap w:val="0"/>
                  <w:vAlign w:val="center"/>
                </w:tcPr>
                <w:p w14:paraId="200D54D7">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Ⅰ</w:t>
                  </w:r>
                </w:p>
              </w:tc>
              <w:tc>
                <w:tcPr>
                  <w:tcW w:w="629" w:type="dxa"/>
                  <w:noWrap w:val="0"/>
                  <w:vAlign w:val="center"/>
                </w:tcPr>
                <w:p w14:paraId="0C3666ED">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w:t>
                  </w:r>
                </w:p>
              </w:tc>
              <w:tc>
                <w:tcPr>
                  <w:tcW w:w="629" w:type="dxa"/>
                  <w:noWrap w:val="0"/>
                  <w:vAlign w:val="center"/>
                </w:tcPr>
                <w:p w14:paraId="1E4504A0">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Ⅲ</w:t>
                  </w:r>
                </w:p>
              </w:tc>
              <w:tc>
                <w:tcPr>
                  <w:tcW w:w="629" w:type="dxa"/>
                  <w:noWrap w:val="0"/>
                  <w:vAlign w:val="center"/>
                </w:tcPr>
                <w:p w14:paraId="60D1E0DB">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Ⅰ</w:t>
                  </w:r>
                </w:p>
              </w:tc>
              <w:tc>
                <w:tcPr>
                  <w:tcW w:w="629" w:type="dxa"/>
                  <w:noWrap w:val="0"/>
                  <w:vAlign w:val="center"/>
                </w:tcPr>
                <w:p w14:paraId="622D990A">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w:t>
                  </w:r>
                </w:p>
              </w:tc>
              <w:tc>
                <w:tcPr>
                  <w:tcW w:w="629" w:type="dxa"/>
                  <w:noWrap w:val="0"/>
                  <w:vAlign w:val="center"/>
                </w:tcPr>
                <w:p w14:paraId="7557FE49">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Ⅲ</w:t>
                  </w:r>
                </w:p>
              </w:tc>
              <w:tc>
                <w:tcPr>
                  <w:tcW w:w="629" w:type="dxa"/>
                  <w:noWrap w:val="0"/>
                  <w:vAlign w:val="center"/>
                </w:tcPr>
                <w:p w14:paraId="5FF0961A">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Ⅰ</w:t>
                  </w:r>
                </w:p>
              </w:tc>
              <w:tc>
                <w:tcPr>
                  <w:tcW w:w="629" w:type="dxa"/>
                  <w:noWrap w:val="0"/>
                  <w:vAlign w:val="center"/>
                </w:tcPr>
                <w:p w14:paraId="7E0B6235">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w:t>
                  </w:r>
                </w:p>
              </w:tc>
              <w:tc>
                <w:tcPr>
                  <w:tcW w:w="637" w:type="dxa"/>
                  <w:noWrap w:val="0"/>
                  <w:vAlign w:val="center"/>
                </w:tcPr>
                <w:p w14:paraId="38C88B75">
                  <w:pPr>
                    <w:snapToGrid w:val="0"/>
                    <w:spacing w:line="240" w:lineRule="atLeas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Ⅲ</w:t>
                  </w:r>
                </w:p>
              </w:tc>
            </w:tr>
            <w:tr w14:paraId="63D31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dxa"/>
                  <w:noWrap w:val="0"/>
                  <w:vAlign w:val="center"/>
                </w:tcPr>
                <w:p w14:paraId="3BE36F44">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w:t>
                  </w:r>
                </w:p>
              </w:tc>
              <w:tc>
                <w:tcPr>
                  <w:tcW w:w="1337" w:type="dxa"/>
                  <w:noWrap w:val="0"/>
                  <w:vAlign w:val="center"/>
                </w:tcPr>
                <w:p w14:paraId="26CBCC5D">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p w14:paraId="550923EE">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p w14:paraId="46580223">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629" w:type="dxa"/>
                  <w:noWrap w:val="0"/>
                  <w:vAlign w:val="center"/>
                </w:tcPr>
                <w:p w14:paraId="703925BC">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46343447">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700</w:t>
                  </w:r>
                </w:p>
                <w:p w14:paraId="3B520CB6">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530</w:t>
                  </w:r>
                </w:p>
              </w:tc>
              <w:tc>
                <w:tcPr>
                  <w:tcW w:w="629" w:type="dxa"/>
                  <w:noWrap w:val="0"/>
                  <w:vAlign w:val="center"/>
                </w:tcPr>
                <w:p w14:paraId="2663381C">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36BC128B">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470</w:t>
                  </w:r>
                </w:p>
                <w:p w14:paraId="63E05B41">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c>
                <w:tcPr>
                  <w:tcW w:w="629" w:type="dxa"/>
                  <w:noWrap w:val="0"/>
                  <w:vAlign w:val="center"/>
                </w:tcPr>
                <w:p w14:paraId="5B86217A">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20A221E3">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p w14:paraId="4EFBE241">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c>
                <w:tcPr>
                  <w:tcW w:w="629" w:type="dxa"/>
                  <w:noWrap w:val="0"/>
                  <w:vAlign w:val="center"/>
                </w:tcPr>
                <w:p w14:paraId="341FFEF9">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42E5F0DB">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700</w:t>
                  </w:r>
                </w:p>
                <w:p w14:paraId="5C4133A1">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530</w:t>
                  </w:r>
                </w:p>
              </w:tc>
              <w:tc>
                <w:tcPr>
                  <w:tcW w:w="629" w:type="dxa"/>
                  <w:noWrap w:val="0"/>
                  <w:vAlign w:val="center"/>
                </w:tcPr>
                <w:p w14:paraId="7DA0FA1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14BC6CD2">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470</w:t>
                  </w:r>
                </w:p>
                <w:p w14:paraId="268790D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c>
                <w:tcPr>
                  <w:tcW w:w="629" w:type="dxa"/>
                  <w:noWrap w:val="0"/>
                  <w:vAlign w:val="center"/>
                </w:tcPr>
                <w:p w14:paraId="55E8F1FD">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p w14:paraId="0862B28D">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p w14:paraId="15C7AA5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c>
                <w:tcPr>
                  <w:tcW w:w="629" w:type="dxa"/>
                  <w:noWrap w:val="0"/>
                  <w:vAlign w:val="center"/>
                </w:tcPr>
                <w:p w14:paraId="3A9978BB">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p w14:paraId="05E7FF2B">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380</w:t>
                  </w:r>
                </w:p>
                <w:p w14:paraId="54B3DFFE">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290</w:t>
                  </w:r>
                </w:p>
              </w:tc>
              <w:tc>
                <w:tcPr>
                  <w:tcW w:w="629" w:type="dxa"/>
                  <w:noWrap w:val="0"/>
                  <w:vAlign w:val="center"/>
                </w:tcPr>
                <w:p w14:paraId="7A93F96E">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p w14:paraId="56C26840">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w:t>
                  </w:r>
                </w:p>
                <w:p w14:paraId="5B3DB67A">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190</w:t>
                  </w:r>
                </w:p>
              </w:tc>
              <w:tc>
                <w:tcPr>
                  <w:tcW w:w="637" w:type="dxa"/>
                  <w:noWrap w:val="0"/>
                  <w:vAlign w:val="center"/>
                </w:tcPr>
                <w:p w14:paraId="06BBF16C">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p w14:paraId="5AA7B04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190</w:t>
                  </w:r>
                </w:p>
                <w:p w14:paraId="2D17F8D0">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110</w:t>
                  </w:r>
                </w:p>
              </w:tc>
            </w:tr>
            <w:tr w14:paraId="6F48E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dxa"/>
                  <w:noWrap w:val="0"/>
                  <w:vAlign w:val="center"/>
                </w:tcPr>
                <w:p w14:paraId="641AE46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B</w:t>
                  </w:r>
                </w:p>
              </w:tc>
              <w:tc>
                <w:tcPr>
                  <w:tcW w:w="1337" w:type="dxa"/>
                  <w:noWrap w:val="0"/>
                  <w:vAlign w:val="center"/>
                </w:tcPr>
                <w:p w14:paraId="781DB29C">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p w14:paraId="0CF7034B">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887" w:type="dxa"/>
                  <w:gridSpan w:val="3"/>
                  <w:noWrap w:val="0"/>
                  <w:vAlign w:val="center"/>
                </w:tcPr>
                <w:p w14:paraId="0B7870F7">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p w14:paraId="6255F80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0.021</w:t>
                  </w:r>
                </w:p>
              </w:tc>
              <w:tc>
                <w:tcPr>
                  <w:tcW w:w="1887" w:type="dxa"/>
                  <w:gridSpan w:val="3"/>
                  <w:noWrap w:val="0"/>
                  <w:vAlign w:val="center"/>
                </w:tcPr>
                <w:p w14:paraId="27C85767">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0.015</w:t>
                  </w:r>
                </w:p>
                <w:p w14:paraId="03095B0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0.036</w:t>
                  </w:r>
                </w:p>
              </w:tc>
              <w:tc>
                <w:tcPr>
                  <w:tcW w:w="1895" w:type="dxa"/>
                  <w:gridSpan w:val="3"/>
                  <w:noWrap w:val="0"/>
                  <w:vAlign w:val="center"/>
                </w:tcPr>
                <w:p w14:paraId="7F0F34F7">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0.015</w:t>
                  </w:r>
                </w:p>
                <w:p w14:paraId="71F8E63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0.036</w:t>
                  </w:r>
                </w:p>
              </w:tc>
            </w:tr>
            <w:tr w14:paraId="7D997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dxa"/>
                  <w:noWrap w:val="0"/>
                  <w:vAlign w:val="center"/>
                </w:tcPr>
                <w:p w14:paraId="2EEFE1F2">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w:t>
                  </w:r>
                </w:p>
              </w:tc>
              <w:tc>
                <w:tcPr>
                  <w:tcW w:w="1337" w:type="dxa"/>
                  <w:noWrap w:val="0"/>
                  <w:vAlign w:val="center"/>
                </w:tcPr>
                <w:p w14:paraId="3570352A">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p w14:paraId="1BA8B1FA">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887" w:type="dxa"/>
                  <w:gridSpan w:val="3"/>
                  <w:noWrap w:val="0"/>
                  <w:vAlign w:val="center"/>
                </w:tcPr>
                <w:p w14:paraId="2FDC6CF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1.85</w:t>
                  </w:r>
                </w:p>
                <w:p w14:paraId="13FA95C5">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1.85</w:t>
                  </w:r>
                </w:p>
              </w:tc>
              <w:tc>
                <w:tcPr>
                  <w:tcW w:w="1887" w:type="dxa"/>
                  <w:gridSpan w:val="3"/>
                  <w:noWrap w:val="0"/>
                  <w:vAlign w:val="center"/>
                </w:tcPr>
                <w:p w14:paraId="4F2EAEF3">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p w14:paraId="4604679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1.77</w:t>
                  </w:r>
                </w:p>
              </w:tc>
              <w:tc>
                <w:tcPr>
                  <w:tcW w:w="1895" w:type="dxa"/>
                  <w:gridSpan w:val="3"/>
                  <w:noWrap w:val="0"/>
                  <w:vAlign w:val="center"/>
                </w:tcPr>
                <w:p w14:paraId="6B65D84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w:t>
                  </w:r>
                </w:p>
                <w:p w14:paraId="37BABB61">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1.77</w:t>
                  </w:r>
                </w:p>
              </w:tc>
            </w:tr>
            <w:tr w14:paraId="5C57B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7" w:type="dxa"/>
                  <w:noWrap w:val="0"/>
                  <w:vAlign w:val="center"/>
                </w:tcPr>
                <w:p w14:paraId="01D9FFF8">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w:t>
                  </w:r>
                </w:p>
              </w:tc>
              <w:tc>
                <w:tcPr>
                  <w:tcW w:w="1337" w:type="dxa"/>
                  <w:noWrap w:val="0"/>
                  <w:vAlign w:val="center"/>
                </w:tcPr>
                <w:p w14:paraId="69AD8C5D">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p w14:paraId="50154BBF">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887" w:type="dxa"/>
                  <w:gridSpan w:val="3"/>
                  <w:noWrap w:val="0"/>
                  <w:vAlign w:val="center"/>
                </w:tcPr>
                <w:p w14:paraId="31A01D49">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0.78</w:t>
                  </w:r>
                </w:p>
                <w:p w14:paraId="18CA9603">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0.84</w:t>
                  </w:r>
                </w:p>
              </w:tc>
              <w:tc>
                <w:tcPr>
                  <w:tcW w:w="1887" w:type="dxa"/>
                  <w:gridSpan w:val="3"/>
                  <w:noWrap w:val="0"/>
                  <w:vAlign w:val="center"/>
                </w:tcPr>
                <w:p w14:paraId="30D00547">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0.78</w:t>
                  </w:r>
                </w:p>
                <w:p w14:paraId="278350F5">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0.84</w:t>
                  </w:r>
                </w:p>
              </w:tc>
              <w:tc>
                <w:tcPr>
                  <w:tcW w:w="1895" w:type="dxa"/>
                  <w:gridSpan w:val="3"/>
                  <w:noWrap w:val="0"/>
                  <w:vAlign w:val="center"/>
                </w:tcPr>
                <w:p w14:paraId="3174BC39">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0.57</w:t>
                  </w:r>
                </w:p>
                <w:p w14:paraId="4DD05140">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0.76</w:t>
                  </w:r>
                </w:p>
              </w:tc>
            </w:tr>
            <w:tr w14:paraId="75B5F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93" w:type="dxa"/>
                  <w:gridSpan w:val="11"/>
                  <w:noWrap w:val="0"/>
                  <w:vAlign w:val="center"/>
                </w:tcPr>
                <w:p w14:paraId="01784DCF">
                  <w:pPr>
                    <w:snapToGrid w:val="0"/>
                    <w:spacing w:line="240" w:lineRule="atLeas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注：I类</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与无组织排放源共存的排放同种有害气体的排气筒的排放量，大于或等于标准规定的允许排放量的1/3者。</w:t>
                  </w:r>
                </w:p>
                <w:p w14:paraId="271CE2AA">
                  <w:pPr>
                    <w:snapToGrid w:val="0"/>
                    <w:spacing w:line="240" w:lineRule="atLeas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eastAsia="zh-CN"/>
                    </w:rPr>
                    <w:t>Ⅱ类：</w:t>
                  </w:r>
                  <w:r>
                    <w:rPr>
                      <w:rFonts w:hint="default" w:ascii="Times New Roman" w:hAnsi="Times New Roman" w:eastAsia="宋体" w:cs="Times New Roman"/>
                      <w:color w:val="auto"/>
                      <w:sz w:val="18"/>
                      <w:szCs w:val="18"/>
                    </w:rPr>
                    <w:t>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62D18AD0">
                  <w:pPr>
                    <w:snapToGrid w:val="0"/>
                    <w:spacing w:line="240" w:lineRule="atLeas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   Ⅲ类</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无排放同种有害物质的</w:t>
                  </w:r>
                  <w:r>
                    <w:rPr>
                      <w:rFonts w:hint="default" w:ascii="Times New Roman" w:hAnsi="Times New Roman" w:eastAsia="宋体" w:cs="Times New Roman"/>
                      <w:color w:val="auto"/>
                      <w:sz w:val="18"/>
                      <w:szCs w:val="18"/>
                      <w:lang w:eastAsia="zh-CN"/>
                    </w:rPr>
                    <w:t>排气筒</w:t>
                  </w:r>
                  <w:r>
                    <w:rPr>
                      <w:rFonts w:hint="default" w:ascii="Times New Roman" w:hAnsi="Times New Roman" w:eastAsia="宋体" w:cs="Times New Roman"/>
                      <w:color w:val="auto"/>
                      <w:sz w:val="18"/>
                      <w:szCs w:val="18"/>
                    </w:rPr>
                    <w:t>与无组织排放源共存，但无组织排放的有害物质的容许浓度是按慢性反应指标确定者。</w:t>
                  </w:r>
                </w:p>
              </w:tc>
            </w:tr>
          </w:tbl>
          <w:p w14:paraId="47097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项目卫生防护距离所用参数和计算结果见</w:t>
            </w:r>
            <w:r>
              <w:rPr>
                <w:rFonts w:hint="eastAsia" w:ascii="Times New Roman" w:hAnsi="Times New Roman" w:eastAsia="宋体" w:cs="宋体"/>
                <w:color w:val="auto"/>
                <w:sz w:val="24"/>
                <w:highlight w:val="none"/>
              </w:rPr>
              <w:t>下表</w:t>
            </w:r>
            <w:r>
              <w:rPr>
                <w:rFonts w:ascii="Times New Roman" w:hAnsi="Times New Roman" w:eastAsia="宋体" w:cs="宋体"/>
                <w:color w:val="auto"/>
                <w:sz w:val="24"/>
                <w:highlight w:val="none"/>
              </w:rPr>
              <w:t>。</w:t>
            </w:r>
          </w:p>
          <w:p w14:paraId="09692FFC">
            <w:pPr>
              <w:keepNext w:val="0"/>
              <w:keepLines w:val="0"/>
              <w:pageBreakBefore w:val="0"/>
              <w:widowControl w:val="0"/>
              <w:tabs>
                <w:tab w:val="left" w:pos="960"/>
              </w:tabs>
              <w:kinsoku/>
              <w:wordWrap/>
              <w:overflowPunct/>
              <w:topLinePunct w:val="0"/>
              <w:autoSpaceDE/>
              <w:autoSpaceDN/>
              <w:bidi w:val="0"/>
              <w:adjustRightInd/>
              <w:snapToGrid/>
              <w:jc w:val="center"/>
              <w:textAlignment w:val="auto"/>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4.1-1</w:t>
            </w:r>
            <w:r>
              <w:rPr>
                <w:rFonts w:hint="eastAsia" w:ascii="Times New Roman" w:hAnsi="Times New Roman" w:eastAsia="宋体" w:cs="宋体"/>
                <w:b/>
                <w:bCs/>
                <w:color w:val="auto"/>
                <w:spacing w:val="-4"/>
                <w:szCs w:val="21"/>
                <w:highlight w:val="none"/>
                <w:lang w:val="en-US" w:eastAsia="zh-CN"/>
              </w:rPr>
              <w:t>7</w:t>
            </w:r>
            <w:r>
              <w:rPr>
                <w:rFonts w:ascii="Times New Roman" w:hAnsi="Times New Roman" w:eastAsia="宋体" w:cs="宋体"/>
                <w:b/>
                <w:bCs/>
                <w:color w:val="auto"/>
                <w:spacing w:val="-4"/>
                <w:szCs w:val="21"/>
                <w:highlight w:val="none"/>
              </w:rPr>
              <w:t xml:space="preserve">  卫生防护距离计算结果</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919"/>
              <w:gridCol w:w="1047"/>
              <w:gridCol w:w="808"/>
              <w:gridCol w:w="540"/>
              <w:gridCol w:w="553"/>
              <w:gridCol w:w="415"/>
              <w:gridCol w:w="547"/>
              <w:gridCol w:w="973"/>
              <w:gridCol w:w="671"/>
              <w:gridCol w:w="689"/>
              <w:gridCol w:w="692"/>
              <w:gridCol w:w="585"/>
            </w:tblGrid>
            <w:tr w14:paraId="03A36B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jc w:val="center"/>
              </w:trPr>
              <w:tc>
                <w:tcPr>
                  <w:tcW w:w="919" w:type="dxa"/>
                  <w:noWrap w:val="0"/>
                  <w:vAlign w:val="center"/>
                </w:tcPr>
                <w:p w14:paraId="7558458F">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面源</w:t>
                  </w:r>
                </w:p>
                <w:p w14:paraId="576BFA51">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名称</w:t>
                  </w:r>
                </w:p>
              </w:tc>
              <w:tc>
                <w:tcPr>
                  <w:tcW w:w="1047" w:type="dxa"/>
                  <w:noWrap w:val="0"/>
                  <w:vAlign w:val="center"/>
                </w:tcPr>
                <w:p w14:paraId="06381BEB">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污染物名称</w:t>
                  </w:r>
                </w:p>
              </w:tc>
              <w:tc>
                <w:tcPr>
                  <w:tcW w:w="808" w:type="dxa"/>
                  <w:noWrap w:val="0"/>
                  <w:vAlign w:val="center"/>
                </w:tcPr>
                <w:p w14:paraId="22340E98">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平均风速(m/s)</w:t>
                  </w:r>
                </w:p>
              </w:tc>
              <w:tc>
                <w:tcPr>
                  <w:tcW w:w="540" w:type="dxa"/>
                  <w:noWrap w:val="0"/>
                  <w:vAlign w:val="center"/>
                </w:tcPr>
                <w:p w14:paraId="1BA8FFAF">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A</w:t>
                  </w:r>
                </w:p>
              </w:tc>
              <w:tc>
                <w:tcPr>
                  <w:tcW w:w="553" w:type="dxa"/>
                  <w:noWrap w:val="0"/>
                  <w:vAlign w:val="center"/>
                </w:tcPr>
                <w:p w14:paraId="47A61558">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B</w:t>
                  </w:r>
                </w:p>
              </w:tc>
              <w:tc>
                <w:tcPr>
                  <w:tcW w:w="415" w:type="dxa"/>
                  <w:noWrap w:val="0"/>
                  <w:vAlign w:val="center"/>
                </w:tcPr>
                <w:p w14:paraId="67A340FF">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C</w:t>
                  </w:r>
                </w:p>
              </w:tc>
              <w:tc>
                <w:tcPr>
                  <w:tcW w:w="547" w:type="dxa"/>
                  <w:noWrap w:val="0"/>
                  <w:tcMar>
                    <w:top w:w="0" w:type="dxa"/>
                    <w:left w:w="15" w:type="dxa"/>
                    <w:bottom w:w="0" w:type="dxa"/>
                    <w:right w:w="15" w:type="dxa"/>
                  </w:tcMar>
                  <w:vAlign w:val="center"/>
                </w:tcPr>
                <w:p w14:paraId="207E7127">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D</w:t>
                  </w:r>
                </w:p>
              </w:tc>
              <w:tc>
                <w:tcPr>
                  <w:tcW w:w="973" w:type="dxa"/>
                  <w:noWrap w:val="0"/>
                  <w:tcMar>
                    <w:top w:w="15" w:type="dxa"/>
                    <w:left w:w="15" w:type="dxa"/>
                    <w:bottom w:w="0" w:type="dxa"/>
                    <w:right w:w="15" w:type="dxa"/>
                  </w:tcMar>
                  <w:vAlign w:val="center"/>
                </w:tcPr>
                <w:p w14:paraId="0D4316A1">
                  <w:pPr>
                    <w:spacing w:line="320" w:lineRule="exact"/>
                    <w:jc w:val="center"/>
                    <w:rPr>
                      <w:rFonts w:hint="default" w:ascii="Times New Roman" w:hAnsi="Times New Roman" w:eastAsia="宋体" w:cs="Times New Roman"/>
                      <w:b/>
                      <w:color w:val="auto"/>
                      <w:sz w:val="18"/>
                      <w:szCs w:val="18"/>
                      <w:vertAlign w:val="subscript"/>
                    </w:rPr>
                  </w:pPr>
                  <w:r>
                    <w:rPr>
                      <w:rFonts w:hint="default" w:ascii="Times New Roman" w:hAnsi="Times New Roman" w:eastAsia="宋体" w:cs="Times New Roman"/>
                      <w:b/>
                      <w:color w:val="auto"/>
                      <w:sz w:val="18"/>
                      <w:szCs w:val="18"/>
                    </w:rPr>
                    <w:t>C</w:t>
                  </w:r>
                  <w:r>
                    <w:rPr>
                      <w:rFonts w:hint="default" w:ascii="Times New Roman" w:hAnsi="Times New Roman" w:eastAsia="宋体" w:cs="Times New Roman"/>
                      <w:b/>
                      <w:color w:val="auto"/>
                      <w:sz w:val="18"/>
                      <w:szCs w:val="18"/>
                      <w:vertAlign w:val="subscript"/>
                    </w:rPr>
                    <w:t>m</w:t>
                  </w:r>
                </w:p>
                <w:p w14:paraId="2D1EBB58">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(mg/Nm</w:t>
                  </w:r>
                  <w:r>
                    <w:rPr>
                      <w:rFonts w:hint="default" w:ascii="Times New Roman" w:hAnsi="Times New Roman" w:eastAsia="宋体" w:cs="Times New Roman"/>
                      <w:b/>
                      <w:color w:val="auto"/>
                      <w:sz w:val="18"/>
                      <w:szCs w:val="18"/>
                      <w:vertAlign w:val="superscript"/>
                    </w:rPr>
                    <w:t>3</w:t>
                  </w:r>
                  <w:r>
                    <w:rPr>
                      <w:rFonts w:hint="default" w:ascii="Times New Roman" w:hAnsi="Times New Roman" w:eastAsia="宋体" w:cs="Times New Roman"/>
                      <w:b/>
                      <w:color w:val="auto"/>
                      <w:sz w:val="18"/>
                      <w:szCs w:val="18"/>
                    </w:rPr>
                    <w:t>)</w:t>
                  </w:r>
                </w:p>
              </w:tc>
              <w:tc>
                <w:tcPr>
                  <w:tcW w:w="671" w:type="dxa"/>
                  <w:noWrap w:val="0"/>
                  <w:tcMar>
                    <w:top w:w="0" w:type="dxa"/>
                    <w:left w:w="15" w:type="dxa"/>
                    <w:bottom w:w="0" w:type="dxa"/>
                    <w:right w:w="15" w:type="dxa"/>
                  </w:tcMar>
                  <w:vAlign w:val="center"/>
                </w:tcPr>
                <w:p w14:paraId="0698D585">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r</w:t>
                  </w:r>
                </w:p>
                <w:p w14:paraId="122416CB">
                  <w:pPr>
                    <w:pStyle w:val="71"/>
                    <w:widowControl w:val="0"/>
                    <w:pBdr>
                      <w:bottom w:val="none" w:color="auto" w:sz="0" w:space="0"/>
                    </w:pBdr>
                    <w:spacing w:before="0" w:after="0" w:line="320" w:lineRule="exact"/>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(m)</w:t>
                  </w:r>
                </w:p>
              </w:tc>
              <w:tc>
                <w:tcPr>
                  <w:tcW w:w="689" w:type="dxa"/>
                  <w:noWrap w:val="0"/>
                  <w:tcMar>
                    <w:top w:w="0" w:type="dxa"/>
                    <w:left w:w="15" w:type="dxa"/>
                    <w:bottom w:w="0" w:type="dxa"/>
                    <w:right w:w="15" w:type="dxa"/>
                  </w:tcMar>
                  <w:vAlign w:val="center"/>
                </w:tcPr>
                <w:p w14:paraId="4C4E69EA">
                  <w:pPr>
                    <w:spacing w:line="320" w:lineRule="exact"/>
                    <w:jc w:val="center"/>
                    <w:rPr>
                      <w:rFonts w:hint="default" w:ascii="Times New Roman" w:hAnsi="Times New Roman" w:eastAsia="宋体" w:cs="Times New Roman"/>
                      <w:b/>
                      <w:color w:val="auto"/>
                      <w:sz w:val="18"/>
                      <w:szCs w:val="18"/>
                      <w:vertAlign w:val="subscript"/>
                    </w:rPr>
                  </w:pPr>
                  <w:r>
                    <w:rPr>
                      <w:rFonts w:hint="default" w:ascii="Times New Roman" w:hAnsi="Times New Roman" w:eastAsia="宋体" w:cs="Times New Roman"/>
                      <w:b/>
                      <w:color w:val="auto"/>
                      <w:sz w:val="18"/>
                      <w:szCs w:val="18"/>
                    </w:rPr>
                    <w:t>Q</w:t>
                  </w:r>
                  <w:r>
                    <w:rPr>
                      <w:rFonts w:hint="default" w:ascii="Times New Roman" w:hAnsi="Times New Roman" w:eastAsia="宋体" w:cs="Times New Roman"/>
                      <w:b/>
                      <w:color w:val="auto"/>
                      <w:sz w:val="18"/>
                      <w:szCs w:val="18"/>
                      <w:vertAlign w:val="subscript"/>
                    </w:rPr>
                    <w:t>c</w:t>
                  </w:r>
                </w:p>
                <w:p w14:paraId="05CC2620">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(kg/h)</w:t>
                  </w:r>
                </w:p>
              </w:tc>
              <w:tc>
                <w:tcPr>
                  <w:tcW w:w="1277" w:type="dxa"/>
                  <w:gridSpan w:val="2"/>
                  <w:noWrap w:val="0"/>
                  <w:tcMar>
                    <w:top w:w="0" w:type="dxa"/>
                    <w:left w:w="15" w:type="dxa"/>
                    <w:bottom w:w="0" w:type="dxa"/>
                    <w:right w:w="15" w:type="dxa"/>
                  </w:tcMar>
                  <w:vAlign w:val="center"/>
                </w:tcPr>
                <w:p w14:paraId="3E758253">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L(m)</w:t>
                  </w:r>
                </w:p>
              </w:tc>
            </w:tr>
            <w:tr w14:paraId="025B33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jc w:val="center"/>
              </w:trPr>
              <w:tc>
                <w:tcPr>
                  <w:tcW w:w="919" w:type="dxa"/>
                  <w:vMerge w:val="restart"/>
                  <w:noWrap w:val="0"/>
                  <w:vAlign w:val="center"/>
                </w:tcPr>
                <w:p w14:paraId="795DB34C">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车间</w:t>
                  </w:r>
                </w:p>
              </w:tc>
              <w:tc>
                <w:tcPr>
                  <w:tcW w:w="1047" w:type="dxa"/>
                  <w:shd w:val="clear" w:color="auto" w:fill="auto"/>
                  <w:noWrap w:val="0"/>
                  <w:vAlign w:val="center"/>
                </w:tcPr>
                <w:p w14:paraId="79A59E7A">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颗粒物</w:t>
                  </w:r>
                </w:p>
              </w:tc>
              <w:tc>
                <w:tcPr>
                  <w:tcW w:w="808" w:type="dxa"/>
                  <w:shd w:val="clear" w:color="auto" w:fill="auto"/>
                  <w:noWrap w:val="0"/>
                  <w:vAlign w:val="center"/>
                </w:tcPr>
                <w:p w14:paraId="00993EDD">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2~4</w:t>
                  </w:r>
                </w:p>
              </w:tc>
              <w:tc>
                <w:tcPr>
                  <w:tcW w:w="540" w:type="dxa"/>
                  <w:shd w:val="clear" w:color="auto" w:fill="auto"/>
                  <w:noWrap w:val="0"/>
                  <w:vAlign w:val="center"/>
                </w:tcPr>
                <w:p w14:paraId="2C7885C5">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470</w:t>
                  </w:r>
                </w:p>
              </w:tc>
              <w:tc>
                <w:tcPr>
                  <w:tcW w:w="553" w:type="dxa"/>
                  <w:shd w:val="clear" w:color="auto" w:fill="auto"/>
                  <w:noWrap w:val="0"/>
                  <w:vAlign w:val="center"/>
                </w:tcPr>
                <w:p w14:paraId="454C3654">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0.021</w:t>
                  </w:r>
                </w:p>
              </w:tc>
              <w:tc>
                <w:tcPr>
                  <w:tcW w:w="415" w:type="dxa"/>
                  <w:shd w:val="clear" w:color="auto" w:fill="auto"/>
                  <w:noWrap w:val="0"/>
                  <w:vAlign w:val="center"/>
                </w:tcPr>
                <w:p w14:paraId="487F27B4">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1.85</w:t>
                  </w:r>
                </w:p>
              </w:tc>
              <w:tc>
                <w:tcPr>
                  <w:tcW w:w="547" w:type="dxa"/>
                  <w:shd w:val="clear" w:color="auto" w:fill="auto"/>
                  <w:noWrap w:val="0"/>
                  <w:tcMar>
                    <w:top w:w="0" w:type="dxa"/>
                    <w:left w:w="15" w:type="dxa"/>
                    <w:bottom w:w="0" w:type="dxa"/>
                    <w:right w:w="15" w:type="dxa"/>
                  </w:tcMar>
                  <w:vAlign w:val="center"/>
                </w:tcPr>
                <w:p w14:paraId="4251581B">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0.84</w:t>
                  </w:r>
                </w:p>
              </w:tc>
              <w:tc>
                <w:tcPr>
                  <w:tcW w:w="973" w:type="dxa"/>
                  <w:shd w:val="clear" w:color="auto" w:fill="auto"/>
                  <w:noWrap w:val="0"/>
                  <w:tcMar>
                    <w:top w:w="15" w:type="dxa"/>
                    <w:left w:w="15" w:type="dxa"/>
                    <w:bottom w:w="0" w:type="dxa"/>
                    <w:right w:w="15" w:type="dxa"/>
                  </w:tcMar>
                  <w:vAlign w:val="center"/>
                </w:tcPr>
                <w:p w14:paraId="42CFFF83">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0.9</w:t>
                  </w:r>
                </w:p>
              </w:tc>
              <w:tc>
                <w:tcPr>
                  <w:tcW w:w="671" w:type="dxa"/>
                  <w:vMerge w:val="restart"/>
                  <w:noWrap w:val="0"/>
                  <w:tcMar>
                    <w:top w:w="0" w:type="dxa"/>
                    <w:left w:w="15" w:type="dxa"/>
                    <w:bottom w:w="0" w:type="dxa"/>
                    <w:right w:w="15" w:type="dxa"/>
                  </w:tcMar>
                  <w:vAlign w:val="center"/>
                </w:tcPr>
                <w:p w14:paraId="0F1453D7">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44.3</w:t>
                  </w:r>
                </w:p>
              </w:tc>
              <w:tc>
                <w:tcPr>
                  <w:tcW w:w="689" w:type="dxa"/>
                  <w:noWrap w:val="0"/>
                  <w:tcMar>
                    <w:top w:w="0" w:type="dxa"/>
                    <w:left w:w="15" w:type="dxa"/>
                    <w:bottom w:w="0" w:type="dxa"/>
                    <w:right w:w="15" w:type="dxa"/>
                  </w:tcMar>
                  <w:vAlign w:val="center"/>
                </w:tcPr>
                <w:p w14:paraId="3E122715">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0.06</w:t>
                  </w:r>
                </w:p>
              </w:tc>
              <w:tc>
                <w:tcPr>
                  <w:tcW w:w="692" w:type="dxa"/>
                  <w:tcBorders>
                    <w:right w:val="single" w:color="auto" w:sz="4" w:space="0"/>
                  </w:tcBorders>
                  <w:noWrap w:val="0"/>
                  <w:tcMar>
                    <w:top w:w="0" w:type="dxa"/>
                    <w:left w:w="15" w:type="dxa"/>
                    <w:bottom w:w="0" w:type="dxa"/>
                    <w:right w:w="15" w:type="dxa"/>
                  </w:tcMar>
                  <w:vAlign w:val="center"/>
                </w:tcPr>
                <w:p w14:paraId="468B5FED">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1.515</w:t>
                  </w:r>
                </w:p>
              </w:tc>
              <w:tc>
                <w:tcPr>
                  <w:tcW w:w="585" w:type="dxa"/>
                  <w:vMerge w:val="restart"/>
                  <w:tcBorders>
                    <w:left w:val="single" w:color="auto" w:sz="4" w:space="0"/>
                  </w:tcBorders>
                  <w:noWrap w:val="0"/>
                  <w:tcMar>
                    <w:top w:w="0" w:type="dxa"/>
                    <w:left w:w="15" w:type="dxa"/>
                    <w:bottom w:w="0" w:type="dxa"/>
                    <w:right w:w="15" w:type="dxa"/>
                  </w:tcMar>
                  <w:vAlign w:val="center"/>
                </w:tcPr>
                <w:p w14:paraId="0B1A5992">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r>
            <w:tr w14:paraId="37D211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jc w:val="center"/>
              </w:trPr>
              <w:tc>
                <w:tcPr>
                  <w:tcW w:w="919" w:type="dxa"/>
                  <w:vMerge w:val="continue"/>
                  <w:noWrap w:val="0"/>
                  <w:vAlign w:val="center"/>
                </w:tcPr>
                <w:p w14:paraId="01D5AFA5">
                  <w:pPr>
                    <w:spacing w:line="320" w:lineRule="exact"/>
                    <w:jc w:val="center"/>
                    <w:rPr>
                      <w:rFonts w:hint="default" w:ascii="Times New Roman" w:hAnsi="Times New Roman" w:eastAsia="宋体" w:cs="Times New Roman"/>
                      <w:color w:val="auto"/>
                      <w:sz w:val="18"/>
                      <w:szCs w:val="18"/>
                      <w:lang w:val="en-US" w:eastAsia="zh-CN"/>
                    </w:rPr>
                  </w:pPr>
                </w:p>
              </w:tc>
              <w:tc>
                <w:tcPr>
                  <w:tcW w:w="1047" w:type="dxa"/>
                  <w:shd w:val="clear" w:color="auto" w:fill="auto"/>
                  <w:noWrap w:val="0"/>
                  <w:vAlign w:val="center"/>
                </w:tcPr>
                <w:p w14:paraId="07139B66">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非甲烷总烃</w:t>
                  </w:r>
                </w:p>
              </w:tc>
              <w:tc>
                <w:tcPr>
                  <w:tcW w:w="808" w:type="dxa"/>
                  <w:shd w:val="clear" w:color="auto" w:fill="auto"/>
                  <w:noWrap w:val="0"/>
                  <w:vAlign w:val="center"/>
                </w:tcPr>
                <w:p w14:paraId="1157AF5E">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2~4</w:t>
                  </w:r>
                </w:p>
              </w:tc>
              <w:tc>
                <w:tcPr>
                  <w:tcW w:w="540" w:type="dxa"/>
                  <w:shd w:val="clear" w:color="auto" w:fill="auto"/>
                  <w:noWrap w:val="0"/>
                  <w:vAlign w:val="center"/>
                </w:tcPr>
                <w:p w14:paraId="76491FD8">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470</w:t>
                  </w:r>
                </w:p>
              </w:tc>
              <w:tc>
                <w:tcPr>
                  <w:tcW w:w="553" w:type="dxa"/>
                  <w:shd w:val="clear" w:color="auto" w:fill="auto"/>
                  <w:noWrap w:val="0"/>
                  <w:vAlign w:val="center"/>
                </w:tcPr>
                <w:p w14:paraId="53ED95D6">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0.021</w:t>
                  </w:r>
                </w:p>
              </w:tc>
              <w:tc>
                <w:tcPr>
                  <w:tcW w:w="415" w:type="dxa"/>
                  <w:shd w:val="clear" w:color="auto" w:fill="auto"/>
                  <w:noWrap w:val="0"/>
                  <w:vAlign w:val="center"/>
                </w:tcPr>
                <w:p w14:paraId="25D8EA4E">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1.85</w:t>
                  </w:r>
                </w:p>
              </w:tc>
              <w:tc>
                <w:tcPr>
                  <w:tcW w:w="547" w:type="dxa"/>
                  <w:shd w:val="clear" w:color="auto" w:fill="auto"/>
                  <w:noWrap w:val="0"/>
                  <w:tcMar>
                    <w:top w:w="0" w:type="dxa"/>
                    <w:left w:w="15" w:type="dxa"/>
                    <w:bottom w:w="0" w:type="dxa"/>
                    <w:right w:w="15" w:type="dxa"/>
                  </w:tcMar>
                  <w:vAlign w:val="center"/>
                </w:tcPr>
                <w:p w14:paraId="00DE5CF4">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0.84</w:t>
                  </w:r>
                </w:p>
              </w:tc>
              <w:tc>
                <w:tcPr>
                  <w:tcW w:w="973" w:type="dxa"/>
                  <w:shd w:val="clear" w:color="auto" w:fill="auto"/>
                  <w:noWrap w:val="0"/>
                  <w:tcMar>
                    <w:top w:w="15" w:type="dxa"/>
                    <w:left w:w="15" w:type="dxa"/>
                    <w:bottom w:w="0" w:type="dxa"/>
                    <w:right w:w="15" w:type="dxa"/>
                  </w:tcMar>
                  <w:vAlign w:val="center"/>
                </w:tcPr>
                <w:p w14:paraId="2A6E7975">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2.0</w:t>
                  </w:r>
                </w:p>
              </w:tc>
              <w:tc>
                <w:tcPr>
                  <w:tcW w:w="671" w:type="dxa"/>
                  <w:vMerge w:val="continue"/>
                  <w:noWrap w:val="0"/>
                  <w:tcMar>
                    <w:top w:w="0" w:type="dxa"/>
                    <w:left w:w="15" w:type="dxa"/>
                    <w:bottom w:w="0" w:type="dxa"/>
                    <w:right w:w="15" w:type="dxa"/>
                  </w:tcMar>
                  <w:vAlign w:val="center"/>
                </w:tcPr>
                <w:p w14:paraId="7C4C159B">
                  <w:pPr>
                    <w:spacing w:line="320" w:lineRule="exact"/>
                    <w:jc w:val="center"/>
                    <w:rPr>
                      <w:rFonts w:hint="default" w:ascii="Times New Roman" w:hAnsi="Times New Roman" w:eastAsia="宋体" w:cs="Times New Roman"/>
                      <w:color w:val="auto"/>
                      <w:sz w:val="18"/>
                      <w:szCs w:val="18"/>
                      <w:lang w:val="en-US" w:eastAsia="zh-CN"/>
                    </w:rPr>
                  </w:pPr>
                </w:p>
              </w:tc>
              <w:tc>
                <w:tcPr>
                  <w:tcW w:w="689" w:type="dxa"/>
                  <w:noWrap w:val="0"/>
                  <w:tcMar>
                    <w:top w:w="0" w:type="dxa"/>
                    <w:left w:w="15" w:type="dxa"/>
                    <w:bottom w:w="0" w:type="dxa"/>
                    <w:right w:w="15" w:type="dxa"/>
                  </w:tcMar>
                  <w:vAlign w:val="center"/>
                </w:tcPr>
                <w:p w14:paraId="00FF42D8">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0.125</w:t>
                  </w:r>
                </w:p>
              </w:tc>
              <w:tc>
                <w:tcPr>
                  <w:tcW w:w="692" w:type="dxa"/>
                  <w:tcBorders>
                    <w:right w:val="single" w:color="auto" w:sz="4" w:space="0"/>
                  </w:tcBorders>
                  <w:noWrap w:val="0"/>
                  <w:tcMar>
                    <w:top w:w="0" w:type="dxa"/>
                    <w:left w:w="15" w:type="dxa"/>
                    <w:bottom w:w="0" w:type="dxa"/>
                    <w:right w:w="15" w:type="dxa"/>
                  </w:tcMar>
                  <w:vAlign w:val="center"/>
                </w:tcPr>
                <w:p w14:paraId="1355635A">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1.403</w:t>
                  </w:r>
                </w:p>
              </w:tc>
              <w:tc>
                <w:tcPr>
                  <w:tcW w:w="585" w:type="dxa"/>
                  <w:vMerge w:val="continue"/>
                  <w:tcBorders>
                    <w:left w:val="single" w:color="auto" w:sz="4" w:space="0"/>
                  </w:tcBorders>
                  <w:noWrap w:val="0"/>
                  <w:tcMar>
                    <w:top w:w="0" w:type="dxa"/>
                    <w:left w:w="15" w:type="dxa"/>
                    <w:bottom w:w="0" w:type="dxa"/>
                    <w:right w:w="15" w:type="dxa"/>
                  </w:tcMar>
                  <w:vAlign w:val="center"/>
                </w:tcPr>
                <w:p w14:paraId="5FF4889F">
                  <w:pPr>
                    <w:spacing w:line="320" w:lineRule="exact"/>
                    <w:jc w:val="center"/>
                    <w:rPr>
                      <w:rFonts w:hint="default" w:ascii="Times New Roman" w:hAnsi="Times New Roman" w:eastAsia="宋体" w:cs="Times New Roman"/>
                      <w:color w:val="auto"/>
                      <w:sz w:val="18"/>
                      <w:szCs w:val="18"/>
                      <w:lang w:val="en-US" w:eastAsia="zh-CN"/>
                    </w:rPr>
                  </w:pPr>
                </w:p>
              </w:tc>
            </w:tr>
            <w:tr w14:paraId="27493B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jc w:val="center"/>
              </w:trPr>
              <w:tc>
                <w:tcPr>
                  <w:tcW w:w="919" w:type="dxa"/>
                  <w:noWrap w:val="0"/>
                  <w:vAlign w:val="center"/>
                </w:tcPr>
                <w:p w14:paraId="0E5144D4">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1#车间</w:t>
                  </w:r>
                </w:p>
              </w:tc>
              <w:tc>
                <w:tcPr>
                  <w:tcW w:w="1047" w:type="dxa"/>
                  <w:noWrap w:val="0"/>
                  <w:vAlign w:val="center"/>
                </w:tcPr>
                <w:p w14:paraId="33838092">
                  <w:pPr>
                    <w:spacing w:line="32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颗粒物</w:t>
                  </w:r>
                </w:p>
              </w:tc>
              <w:tc>
                <w:tcPr>
                  <w:tcW w:w="808" w:type="dxa"/>
                  <w:shd w:val="clear" w:color="auto" w:fill="auto"/>
                  <w:noWrap w:val="0"/>
                  <w:vAlign w:val="center"/>
                </w:tcPr>
                <w:p w14:paraId="512C2EBD">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2~4</w:t>
                  </w:r>
                </w:p>
              </w:tc>
              <w:tc>
                <w:tcPr>
                  <w:tcW w:w="540" w:type="dxa"/>
                  <w:shd w:val="clear" w:color="auto" w:fill="auto"/>
                  <w:noWrap w:val="0"/>
                  <w:vAlign w:val="center"/>
                </w:tcPr>
                <w:p w14:paraId="68158685">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470</w:t>
                  </w:r>
                </w:p>
              </w:tc>
              <w:tc>
                <w:tcPr>
                  <w:tcW w:w="553" w:type="dxa"/>
                  <w:shd w:val="clear" w:color="auto" w:fill="auto"/>
                  <w:noWrap w:val="0"/>
                  <w:vAlign w:val="center"/>
                </w:tcPr>
                <w:p w14:paraId="1E4FBD28">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0.021</w:t>
                  </w:r>
                </w:p>
              </w:tc>
              <w:tc>
                <w:tcPr>
                  <w:tcW w:w="415" w:type="dxa"/>
                  <w:shd w:val="clear" w:color="auto" w:fill="auto"/>
                  <w:noWrap w:val="0"/>
                  <w:vAlign w:val="center"/>
                </w:tcPr>
                <w:p w14:paraId="72116AC5">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1.85</w:t>
                  </w:r>
                </w:p>
              </w:tc>
              <w:tc>
                <w:tcPr>
                  <w:tcW w:w="547" w:type="dxa"/>
                  <w:shd w:val="clear" w:color="auto" w:fill="auto"/>
                  <w:noWrap w:val="0"/>
                  <w:tcMar>
                    <w:top w:w="0" w:type="dxa"/>
                    <w:left w:w="15" w:type="dxa"/>
                    <w:bottom w:w="0" w:type="dxa"/>
                    <w:right w:w="15" w:type="dxa"/>
                  </w:tcMar>
                  <w:vAlign w:val="center"/>
                </w:tcPr>
                <w:p w14:paraId="2659B75A">
                  <w:pPr>
                    <w:spacing w:line="32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0.84</w:t>
                  </w:r>
                </w:p>
              </w:tc>
              <w:tc>
                <w:tcPr>
                  <w:tcW w:w="973" w:type="dxa"/>
                  <w:noWrap w:val="0"/>
                  <w:tcMar>
                    <w:top w:w="15" w:type="dxa"/>
                    <w:left w:w="15" w:type="dxa"/>
                    <w:bottom w:w="0" w:type="dxa"/>
                    <w:right w:w="15" w:type="dxa"/>
                  </w:tcMar>
                  <w:vAlign w:val="center"/>
                </w:tcPr>
                <w:p w14:paraId="15B3901A">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0.9</w:t>
                  </w:r>
                </w:p>
              </w:tc>
              <w:tc>
                <w:tcPr>
                  <w:tcW w:w="671" w:type="dxa"/>
                  <w:noWrap w:val="0"/>
                  <w:tcMar>
                    <w:top w:w="0" w:type="dxa"/>
                    <w:left w:w="15" w:type="dxa"/>
                    <w:bottom w:w="0" w:type="dxa"/>
                    <w:right w:w="15" w:type="dxa"/>
                  </w:tcMar>
                  <w:vAlign w:val="center"/>
                </w:tcPr>
                <w:p w14:paraId="27A2A229">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26.5</w:t>
                  </w:r>
                </w:p>
              </w:tc>
              <w:tc>
                <w:tcPr>
                  <w:tcW w:w="689" w:type="dxa"/>
                  <w:noWrap w:val="0"/>
                  <w:tcMar>
                    <w:top w:w="0" w:type="dxa"/>
                    <w:left w:w="15" w:type="dxa"/>
                    <w:bottom w:w="0" w:type="dxa"/>
                    <w:right w:w="15" w:type="dxa"/>
                  </w:tcMar>
                  <w:vAlign w:val="center"/>
                </w:tcPr>
                <w:p w14:paraId="0DD84A07">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0.288</w:t>
                  </w:r>
                </w:p>
              </w:tc>
              <w:tc>
                <w:tcPr>
                  <w:tcW w:w="692" w:type="dxa"/>
                  <w:tcBorders>
                    <w:right w:val="single" w:color="auto" w:sz="4" w:space="0"/>
                  </w:tcBorders>
                  <w:noWrap w:val="0"/>
                  <w:tcMar>
                    <w:top w:w="0" w:type="dxa"/>
                    <w:left w:w="15" w:type="dxa"/>
                    <w:bottom w:w="0" w:type="dxa"/>
                    <w:right w:w="15" w:type="dxa"/>
                  </w:tcMar>
                  <w:vAlign w:val="center"/>
                </w:tcPr>
                <w:p w14:paraId="72FE2F9C">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17.78</w:t>
                  </w:r>
                </w:p>
              </w:tc>
              <w:tc>
                <w:tcPr>
                  <w:tcW w:w="585" w:type="dxa"/>
                  <w:tcBorders>
                    <w:left w:val="single" w:color="auto" w:sz="4" w:space="0"/>
                  </w:tcBorders>
                  <w:noWrap w:val="0"/>
                  <w:tcMar>
                    <w:top w:w="0" w:type="dxa"/>
                    <w:left w:w="15" w:type="dxa"/>
                    <w:bottom w:w="0" w:type="dxa"/>
                    <w:right w:w="15" w:type="dxa"/>
                  </w:tcMar>
                  <w:vAlign w:val="center"/>
                </w:tcPr>
                <w:p w14:paraId="19ACC1B7">
                  <w:pPr>
                    <w:spacing w:line="3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r>
          </w:tbl>
          <w:p w14:paraId="653F2A76">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卫生防护距离终值的确定</w:t>
            </w:r>
          </w:p>
          <w:p w14:paraId="54707D5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单一特征大气有害物质终值的确定</w:t>
            </w:r>
          </w:p>
          <w:p w14:paraId="3F22267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卫生防护距离初值小于50m时，级差为50m；</w:t>
            </w:r>
          </w:p>
          <w:p w14:paraId="1F54742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卫生防护距离初值大于或等于50m，但小于100m时，级差为50m；</w:t>
            </w:r>
          </w:p>
          <w:p w14:paraId="29D9BCB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卫生防护距离初值大于或等于100m，但小于1000m时，级差为100m；</w:t>
            </w:r>
          </w:p>
          <w:p w14:paraId="2CA7DCD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卫生防护距离初值大于或等于1000m，级差为200m；</w:t>
            </w:r>
          </w:p>
          <w:p w14:paraId="5F24049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卫生防护距离终值差见表2。</w:t>
            </w:r>
          </w:p>
          <w:p w14:paraId="77A0087C">
            <w:pPr>
              <w:snapToGrid w:val="0"/>
              <w:spacing w:before="48" w:beforeLines="20" w:line="360" w:lineRule="exac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表2 卫生防护距离终值差范围表</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8"/>
              <w:gridCol w:w="4031"/>
            </w:tblGrid>
            <w:tr w14:paraId="0A6F0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6" w:type="dxa"/>
                  <w:noWrap w:val="0"/>
                  <w:vAlign w:val="center"/>
                </w:tcPr>
                <w:p w14:paraId="32E9BA62">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卫生防护距离计算初值L/m</w:t>
                  </w:r>
                </w:p>
              </w:tc>
              <w:tc>
                <w:tcPr>
                  <w:tcW w:w="3800" w:type="dxa"/>
                  <w:noWrap w:val="0"/>
                  <w:vAlign w:val="center"/>
                </w:tcPr>
                <w:p w14:paraId="023985A4">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级差/m</w:t>
                  </w:r>
                </w:p>
              </w:tc>
            </w:tr>
            <w:tr w14:paraId="19B15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6" w:type="dxa"/>
                  <w:noWrap w:val="0"/>
                  <w:vAlign w:val="center"/>
                </w:tcPr>
                <w:p w14:paraId="6F726102">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0≤L＜50</w:t>
                  </w:r>
                </w:p>
              </w:tc>
              <w:tc>
                <w:tcPr>
                  <w:tcW w:w="3800" w:type="dxa"/>
                  <w:noWrap w:val="0"/>
                  <w:vAlign w:val="center"/>
                </w:tcPr>
                <w:p w14:paraId="220482BE">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r>
            <w:tr w14:paraId="2A48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6" w:type="dxa"/>
                  <w:noWrap w:val="0"/>
                  <w:vAlign w:val="center"/>
                </w:tcPr>
                <w:p w14:paraId="1F1E2EC0">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50≤L＜100</w:t>
                  </w:r>
                </w:p>
              </w:tc>
              <w:tc>
                <w:tcPr>
                  <w:tcW w:w="3800" w:type="dxa"/>
                  <w:noWrap w:val="0"/>
                  <w:vAlign w:val="center"/>
                </w:tcPr>
                <w:p w14:paraId="05630F45">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r>
            <w:tr w14:paraId="57C32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6" w:type="dxa"/>
                  <w:noWrap w:val="0"/>
                  <w:vAlign w:val="center"/>
                </w:tcPr>
                <w:p w14:paraId="540EA10A">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10≤L＜1000</w:t>
                  </w:r>
                </w:p>
              </w:tc>
              <w:tc>
                <w:tcPr>
                  <w:tcW w:w="3800" w:type="dxa"/>
                  <w:noWrap w:val="0"/>
                  <w:vAlign w:val="center"/>
                </w:tcPr>
                <w:p w14:paraId="413D6966">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r w14:paraId="5FAF79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56" w:type="dxa"/>
                  <w:noWrap w:val="0"/>
                  <w:vAlign w:val="center"/>
                </w:tcPr>
                <w:p w14:paraId="63F1F0A0">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L≥1000</w:t>
                  </w:r>
                </w:p>
              </w:tc>
              <w:tc>
                <w:tcPr>
                  <w:tcW w:w="3800" w:type="dxa"/>
                  <w:noWrap w:val="0"/>
                  <w:vAlign w:val="center"/>
                </w:tcPr>
                <w:p w14:paraId="65A11AA4">
                  <w:pPr>
                    <w:snapToGrid w:val="0"/>
                    <w:spacing w:line="30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r>
          </w:tbl>
          <w:p w14:paraId="019C8E6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多种特征大气有害物质终值的确定</w:t>
            </w:r>
          </w:p>
          <w:p w14:paraId="0879FB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企业某生产单元的无组织排放存在多种特征大气有害物质时，如果分别推导出的卫生防护距离初值在同一级别时，则该企业的卫生防护距离终值应提高一级；卫生防护距离初值不在同一级别时，以卫生防护距离终值较大者为准。</w:t>
            </w:r>
          </w:p>
          <w:p w14:paraId="4A3D135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综上，本项目建成后以</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sz w:val="24"/>
                <w:szCs w:val="24"/>
              </w:rPr>
              <w:t>为界外扩</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m</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sz w:val="24"/>
                <w:szCs w:val="24"/>
              </w:rPr>
              <w:t>为界外扩</w:t>
            </w:r>
            <w:r>
              <w:rPr>
                <w:rFonts w:hint="eastAsia" w:ascii="Times New Roman" w:hAnsi="Times New Roman" w:eastAsia="宋体" w:cs="Times New Roman"/>
                <w:color w:val="auto"/>
                <w:sz w:val="24"/>
                <w:szCs w:val="24"/>
                <w:lang w:val="en-US" w:eastAsia="zh-CN"/>
              </w:rPr>
              <w:t>100</w:t>
            </w:r>
            <w:r>
              <w:rPr>
                <w:rFonts w:hint="default" w:ascii="Times New Roman" w:hAnsi="Times New Roman" w:eastAsia="宋体" w:cs="Times New Roman"/>
                <w:color w:val="auto"/>
                <w:sz w:val="24"/>
                <w:szCs w:val="24"/>
              </w:rPr>
              <w:t>m设置卫生防护距离。</w:t>
            </w:r>
          </w:p>
          <w:p w14:paraId="2BF77C8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经现场核实，本项目卫生防护距离内目前无居民点、医院、学校等环境敏感点，将来也不得建设环境敏感点。</w:t>
            </w:r>
          </w:p>
          <w:p w14:paraId="2EB9799A">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w:t>
            </w:r>
            <w:r>
              <w:rPr>
                <w:rFonts w:hint="eastAsia" w:cs="宋体"/>
                <w:color w:val="auto"/>
                <w:sz w:val="24"/>
                <w:highlight w:val="none"/>
                <w:lang w:val="en-US" w:eastAsia="zh-CN"/>
              </w:rPr>
              <w:t>8</w:t>
            </w:r>
            <w:r>
              <w:rPr>
                <w:rFonts w:ascii="Times New Roman" w:hAnsi="Times New Roman" w:eastAsia="宋体" w:cs="宋体"/>
                <w:color w:val="auto"/>
                <w:sz w:val="24"/>
                <w:highlight w:val="none"/>
              </w:rPr>
              <w:t>）废气排放环境影响分析</w:t>
            </w:r>
          </w:p>
          <w:p w14:paraId="17858ED8">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常州市目前属于环境空气质量不达标区，为改善大气环境质量，常州市印发、实施了多项改善大气环境质量、强化废气排放管控的方案和措施，在积极采取管控措施后，常州市环境空气质量将得到持续改善。本项目厂界外500米范围内环境敏感目标见表3.2-1。本项目排放的大气污染物为颗粒物、非甲烷总烃</w:t>
            </w:r>
            <w:r>
              <w:rPr>
                <w:rFonts w:hint="eastAsia" w:ascii="Times New Roman" w:hAnsi="Times New Roman" w:eastAsia="宋体" w:cs="宋体"/>
                <w:color w:val="auto"/>
                <w:sz w:val="24"/>
                <w:highlight w:val="none"/>
                <w:lang w:eastAsia="zh-CN"/>
              </w:rPr>
              <w:t>、</w:t>
            </w:r>
            <w:r>
              <w:rPr>
                <w:rFonts w:hint="eastAsia" w:ascii="Times New Roman" w:hAnsi="Times New Roman" w:eastAsia="宋体" w:cs="宋体"/>
                <w:color w:val="auto"/>
                <w:sz w:val="24"/>
                <w:highlight w:val="none"/>
                <w:lang w:val="en-US" w:eastAsia="zh-CN"/>
              </w:rPr>
              <w:t>二氧化硫、氮氧化物</w:t>
            </w:r>
            <w:r>
              <w:rPr>
                <w:rFonts w:hint="eastAsia" w:ascii="Times New Roman" w:hAnsi="Times New Roman" w:eastAsia="宋体" w:cs="宋体"/>
                <w:color w:val="auto"/>
                <w:sz w:val="24"/>
                <w:highlight w:val="none"/>
              </w:rPr>
              <w:t>，针对各产污环节，均采取了合适可行的污染治理措施，经处理后的污染物排放强度较低。故本项目废气排放的环境影响较小。</w:t>
            </w:r>
          </w:p>
          <w:p w14:paraId="2D19534D">
            <w:pPr>
              <w:spacing w:line="360" w:lineRule="auto"/>
              <w:ind w:firstLine="482" w:firstLineChars="200"/>
              <w:rPr>
                <w:rFonts w:ascii="Times New Roman" w:hAnsi="Times New Roman" w:eastAsia="宋体" w:cs="宋体"/>
                <w:b/>
                <w:color w:val="auto"/>
                <w:sz w:val="24"/>
                <w:szCs w:val="32"/>
                <w:highlight w:val="none"/>
              </w:rPr>
            </w:pPr>
            <w:r>
              <w:rPr>
                <w:rFonts w:hint="eastAsia" w:ascii="Times New Roman" w:hAnsi="Times New Roman" w:eastAsia="宋体" w:cs="宋体"/>
                <w:b/>
                <w:color w:val="auto"/>
                <w:sz w:val="24"/>
                <w:szCs w:val="32"/>
                <w:highlight w:val="none"/>
              </w:rPr>
              <w:t>2、</w:t>
            </w:r>
            <w:r>
              <w:rPr>
                <w:rFonts w:ascii="Times New Roman" w:hAnsi="Times New Roman" w:eastAsia="宋体" w:cs="宋体"/>
                <w:b/>
                <w:color w:val="auto"/>
                <w:sz w:val="24"/>
                <w:szCs w:val="32"/>
                <w:highlight w:val="none"/>
              </w:rPr>
              <w:t>废水</w:t>
            </w:r>
          </w:p>
          <w:p w14:paraId="323A234B">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（1）产生情况</w:t>
            </w:r>
          </w:p>
          <w:p w14:paraId="063A5539">
            <w:pPr>
              <w:tabs>
                <w:tab w:val="left" w:pos="3435"/>
              </w:tabs>
              <w:autoSpaceDE w:val="0"/>
              <w:autoSpaceDN w:val="0"/>
              <w:spacing w:line="360" w:lineRule="auto"/>
              <w:ind w:firstLine="480" w:firstLineChars="200"/>
              <w:rPr>
                <w:rFonts w:ascii="Times New Roman" w:hAnsi="Times New Roman" w:eastAsia="宋体" w:cs="宋体"/>
                <w:color w:val="auto"/>
                <w:sz w:val="24"/>
                <w:szCs w:val="32"/>
                <w:highlight w:val="none"/>
              </w:rPr>
            </w:pPr>
            <w:r>
              <w:rPr>
                <w:rFonts w:hint="eastAsia" w:cs="宋体"/>
                <w:color w:val="auto"/>
                <w:sz w:val="24"/>
                <w:szCs w:val="32"/>
                <w:highlight w:val="none"/>
                <w:lang w:val="en-US" w:eastAsia="zh-CN"/>
              </w:rPr>
              <w:t>1）</w:t>
            </w:r>
            <w:r>
              <w:rPr>
                <w:rFonts w:hint="eastAsia" w:ascii="Times New Roman" w:hAnsi="Times New Roman" w:eastAsia="宋体" w:cs="宋体"/>
                <w:color w:val="auto"/>
                <w:sz w:val="24"/>
                <w:szCs w:val="32"/>
                <w:highlight w:val="none"/>
              </w:rPr>
              <w:t>生活污水：</w:t>
            </w:r>
            <w:r>
              <w:rPr>
                <w:rFonts w:ascii="Times New Roman" w:hAnsi="Times New Roman" w:eastAsia="宋体"/>
                <w:smallCaps w:val="0"/>
                <w:color w:val="auto"/>
                <w:sz w:val="24"/>
                <w:szCs w:val="32"/>
                <w:highlight w:val="none"/>
              </w:rPr>
              <w:t>本项目</w:t>
            </w:r>
            <w:r>
              <w:rPr>
                <w:rFonts w:hint="eastAsia"/>
                <w:smallCaps w:val="0"/>
                <w:color w:val="auto"/>
                <w:sz w:val="24"/>
                <w:szCs w:val="32"/>
                <w:highlight w:val="none"/>
                <w:lang w:val="en-US" w:eastAsia="zh-CN"/>
              </w:rPr>
              <w:t>不新增员工人数，技改项目员工从原有项目中调剂。</w:t>
            </w:r>
            <w:r>
              <w:rPr>
                <w:rFonts w:hint="eastAsia" w:cs="宋体"/>
                <w:color w:val="auto"/>
                <w:kern w:val="0"/>
                <w:sz w:val="24"/>
                <w:szCs w:val="32"/>
                <w:highlight w:val="none"/>
                <w:lang w:val="en-US" w:eastAsia="zh-CN"/>
              </w:rPr>
              <w:t>生活污水</w:t>
            </w:r>
            <w:r>
              <w:rPr>
                <w:rFonts w:ascii="Times New Roman" w:hAnsi="Times New Roman" w:eastAsia="宋体" w:cs="宋体"/>
                <w:color w:val="auto"/>
                <w:sz w:val="24"/>
                <w:szCs w:val="32"/>
                <w:highlight w:val="none"/>
              </w:rPr>
              <w:t>接管至</w:t>
            </w:r>
            <w:r>
              <w:rPr>
                <w:rFonts w:hint="eastAsia" w:cs="宋体"/>
                <w:color w:val="auto"/>
                <w:sz w:val="24"/>
                <w:szCs w:val="32"/>
                <w:highlight w:val="none"/>
                <w:lang w:eastAsia="zh-CN"/>
              </w:rPr>
              <w:t>金坛第二污水处理厂</w:t>
            </w:r>
            <w:r>
              <w:rPr>
                <w:rFonts w:ascii="Times New Roman" w:hAnsi="Times New Roman" w:eastAsia="宋体" w:cs="宋体"/>
                <w:color w:val="auto"/>
                <w:sz w:val="24"/>
                <w:szCs w:val="32"/>
                <w:highlight w:val="none"/>
              </w:rPr>
              <w:t>集中处理，尾水排入</w:t>
            </w:r>
            <w:r>
              <w:rPr>
                <w:rFonts w:hint="eastAsia" w:cs="宋体"/>
                <w:color w:val="auto"/>
                <w:sz w:val="24"/>
                <w:szCs w:val="32"/>
                <w:highlight w:val="none"/>
                <w:lang w:eastAsia="zh-CN"/>
              </w:rPr>
              <w:t>尧塘河</w:t>
            </w:r>
            <w:r>
              <w:rPr>
                <w:rFonts w:ascii="Times New Roman" w:hAnsi="Times New Roman" w:eastAsia="宋体" w:cs="宋体"/>
                <w:color w:val="auto"/>
                <w:sz w:val="24"/>
                <w:szCs w:val="32"/>
                <w:highlight w:val="none"/>
              </w:rPr>
              <w:t>。</w:t>
            </w:r>
          </w:p>
          <w:p w14:paraId="41B020D9">
            <w:pPr>
              <w:spacing w:line="360" w:lineRule="auto"/>
              <w:ind w:firstLine="480" w:firstLineChars="200"/>
              <w:rPr>
                <w:rFonts w:hint="default" w:cs="宋体"/>
                <w:b w:val="0"/>
                <w:bCs/>
                <w:color w:val="auto"/>
                <w:sz w:val="24"/>
                <w:highlight w:val="none"/>
                <w:lang w:val="en-US" w:eastAsia="zh-CN"/>
              </w:rPr>
            </w:pPr>
            <w:r>
              <w:rPr>
                <w:rFonts w:hint="eastAsia" w:cs="宋体"/>
                <w:b w:val="0"/>
                <w:bCs/>
                <w:color w:val="auto"/>
                <w:sz w:val="24"/>
                <w:highlight w:val="none"/>
                <w:lang w:val="en-US" w:eastAsia="zh-CN"/>
              </w:rPr>
              <w:t>2）生产废水</w:t>
            </w:r>
          </w:p>
          <w:p w14:paraId="60D097C9">
            <w:pPr>
              <w:spacing w:line="360" w:lineRule="auto"/>
              <w:ind w:firstLine="480" w:firstLineChars="200"/>
              <w:rPr>
                <w:rFonts w:hint="default" w:cs="宋体"/>
                <w:b w:val="0"/>
                <w:bCs/>
                <w:color w:val="auto"/>
                <w:sz w:val="24"/>
                <w:highlight w:val="none"/>
                <w:lang w:val="en-US" w:eastAsia="zh-CN"/>
              </w:rPr>
            </w:pPr>
            <w:r>
              <w:rPr>
                <w:rFonts w:hint="eastAsia" w:cs="宋体"/>
                <w:b w:val="0"/>
                <w:bCs/>
                <w:color w:val="auto"/>
                <w:sz w:val="24"/>
                <w:highlight w:val="none"/>
                <w:lang w:val="en-US" w:eastAsia="zh-CN"/>
              </w:rPr>
              <w:t>①振光废水：</w:t>
            </w:r>
            <w:r>
              <w:rPr>
                <w:rFonts w:hint="eastAsia" w:cs="宋体"/>
                <w:color w:val="auto"/>
                <w:sz w:val="24"/>
                <w:highlight w:val="none"/>
                <w:lang w:val="en-US" w:eastAsia="zh-CN"/>
              </w:rPr>
              <w:t>本项目振光机容积为300L，每周</w:t>
            </w:r>
            <w:r>
              <w:rPr>
                <w:rFonts w:hint="eastAsia" w:ascii="Times New Roman" w:hAnsi="Times New Roman" w:eastAsia="宋体" w:cs="宋体"/>
                <w:color w:val="auto"/>
                <w:sz w:val="24"/>
                <w:highlight w:val="none"/>
                <w:lang w:val="en-US" w:eastAsia="zh-CN"/>
              </w:rPr>
              <w:t>倒槽1次，</w:t>
            </w:r>
            <w:r>
              <w:rPr>
                <w:rFonts w:hint="eastAsia" w:cs="宋体"/>
                <w:color w:val="auto"/>
                <w:sz w:val="24"/>
                <w:highlight w:val="none"/>
                <w:lang w:val="en-US" w:eastAsia="zh-CN"/>
              </w:rPr>
              <w:t>产污系数按80%计，</w:t>
            </w:r>
            <w:r>
              <w:rPr>
                <w:rFonts w:hint="eastAsia" w:ascii="Times New Roman" w:hAnsi="Times New Roman" w:eastAsia="宋体" w:cs="宋体"/>
                <w:color w:val="auto"/>
                <w:sz w:val="24"/>
                <w:highlight w:val="none"/>
                <w:lang w:val="en-US" w:eastAsia="zh-CN"/>
              </w:rPr>
              <w:t>则</w:t>
            </w:r>
            <w:r>
              <w:rPr>
                <w:rFonts w:hint="eastAsia" w:cs="宋体"/>
                <w:color w:val="auto"/>
                <w:sz w:val="24"/>
                <w:highlight w:val="none"/>
                <w:lang w:val="en-US" w:eastAsia="zh-CN"/>
              </w:rPr>
              <w:t>振光废水</w:t>
            </w:r>
            <w:r>
              <w:rPr>
                <w:rFonts w:hint="eastAsia" w:ascii="Times New Roman" w:hAnsi="Times New Roman" w:eastAsia="宋体" w:cs="宋体"/>
                <w:color w:val="auto"/>
                <w:sz w:val="24"/>
                <w:highlight w:val="none"/>
                <w:lang w:val="en-US" w:eastAsia="zh-CN"/>
              </w:rPr>
              <w:t>产生量约</w:t>
            </w:r>
            <w:r>
              <w:rPr>
                <w:rFonts w:hint="eastAsia" w:cs="宋体"/>
                <w:color w:val="auto"/>
                <w:sz w:val="24"/>
                <w:highlight w:val="none"/>
                <w:lang w:val="en-US" w:eastAsia="zh-CN"/>
              </w:rPr>
              <w:t>11.52</w:t>
            </w:r>
            <w:r>
              <w:rPr>
                <w:rFonts w:hint="eastAsia" w:ascii="Times New Roman" w:hAnsi="Times New Roman" w:eastAsia="宋体" w:cs="宋体"/>
                <w:color w:val="auto"/>
                <w:sz w:val="24"/>
                <w:highlight w:val="none"/>
                <w:lang w:val="en-US" w:eastAsia="zh-CN"/>
              </w:rPr>
              <w:t>t/a</w:t>
            </w:r>
            <w:r>
              <w:rPr>
                <w:rFonts w:hint="eastAsia" w:cs="宋体"/>
                <w:color w:val="auto"/>
                <w:kern w:val="0"/>
                <w:sz w:val="24"/>
                <w:highlight w:val="none"/>
                <w:lang w:eastAsia="zh-CN"/>
              </w:rPr>
              <w:t>，</w:t>
            </w:r>
            <w:r>
              <w:rPr>
                <w:rFonts w:hint="eastAsia"/>
                <w:b w:val="0"/>
                <w:bCs w:val="0"/>
                <w:color w:val="auto"/>
                <w:sz w:val="24"/>
                <w:szCs w:val="24"/>
                <w:lang w:val="en-US" w:eastAsia="zh-CN"/>
              </w:rPr>
              <w:t>参照</w:t>
            </w:r>
            <w:r>
              <w:rPr>
                <w:rFonts w:hint="default" w:eastAsia="宋体"/>
                <w:b w:val="0"/>
                <w:bCs w:val="0"/>
                <w:color w:val="auto"/>
                <w:sz w:val="24"/>
                <w:szCs w:val="24"/>
                <w:lang w:val="en-US" w:eastAsia="zh-CN"/>
              </w:rPr>
              <w:t>《33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w:t>
            </w:r>
            <w:r>
              <w:rPr>
                <w:rFonts w:hint="eastAsia"/>
                <w:b w:val="0"/>
                <w:bCs w:val="0"/>
                <w:color w:val="auto"/>
                <w:sz w:val="24"/>
                <w:szCs w:val="24"/>
                <w:lang w:val="en-US" w:eastAsia="zh-CN"/>
              </w:rPr>
              <w:t>中06预处理中脱脂产污系数，即COD产生量为714kg/t-原料，石油类产生量为5.1kg/t-原料，SS产生浓度为400mg/L，LAS产生浓度为100mg/L，振光废水收集至废水收集池，经厂区废水处理设施“精密过滤+炭滤+砂滤+RO”处理后清水回用于生产，RO浓液作为危废委托有资质单位回收处置。</w:t>
            </w:r>
          </w:p>
          <w:p w14:paraId="2D154940">
            <w:pPr>
              <w:spacing w:line="360" w:lineRule="auto"/>
              <w:ind w:firstLine="480" w:firstLineChars="200"/>
              <w:rPr>
                <w:rFonts w:hint="eastAsia"/>
                <w:b w:val="0"/>
                <w:bCs w:val="0"/>
                <w:color w:val="auto"/>
                <w:sz w:val="24"/>
                <w:szCs w:val="24"/>
                <w:lang w:val="en-US" w:eastAsia="zh-CN"/>
              </w:rPr>
            </w:pPr>
            <w:r>
              <w:rPr>
                <w:rFonts w:hint="eastAsia" w:cs="宋体"/>
                <w:b w:val="0"/>
                <w:bCs/>
                <w:color w:val="auto"/>
                <w:sz w:val="24"/>
                <w:highlight w:val="none"/>
                <w:lang w:val="en-US" w:eastAsia="zh-CN"/>
              </w:rPr>
              <w:t>②清洗废水：本项目人工清洗采用溢流清洗的方式，清洗水设计流量为1L/min，人工清洗年工作时长为2400h，则清洗用水量为144t/a，产污系数按0.9计，则清洗废水产生量为129.6t/a，</w:t>
            </w:r>
            <w:r>
              <w:rPr>
                <w:rFonts w:hint="eastAsia"/>
                <w:b w:val="0"/>
                <w:bCs w:val="0"/>
                <w:color w:val="auto"/>
                <w:sz w:val="24"/>
                <w:szCs w:val="24"/>
                <w:lang w:val="en-US" w:eastAsia="zh-CN"/>
              </w:rPr>
              <w:t>参照</w:t>
            </w:r>
            <w:r>
              <w:rPr>
                <w:rFonts w:hint="default" w:eastAsia="宋体"/>
                <w:b w:val="0"/>
                <w:bCs w:val="0"/>
                <w:color w:val="auto"/>
                <w:sz w:val="24"/>
                <w:szCs w:val="24"/>
                <w:lang w:val="en-US" w:eastAsia="zh-CN"/>
              </w:rPr>
              <w:t>《33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铁路、船舶、航空航天等运输设备修理（不包括电镀工艺）行业系数手册》</w:t>
            </w:r>
            <w:r>
              <w:rPr>
                <w:rFonts w:hint="eastAsia"/>
                <w:b w:val="0"/>
                <w:bCs w:val="0"/>
                <w:color w:val="auto"/>
                <w:sz w:val="24"/>
                <w:szCs w:val="24"/>
                <w:lang w:val="en-US" w:eastAsia="zh-CN"/>
              </w:rPr>
              <w:t>中07机械加工中清洗件产污系数，即COD产生量为58.5kg/t-原料，石油类产生量为19.5kg/t-原料，SS产生浓度为100mg/L，LAS产生浓度为20mg/L，清洗废水收集至废水收集池，经厂区废水处理设施“精密过滤+炭滤+砂滤+RO”处理后清液回用于生产，RO浓液作为危废委托有资质单位回收处置。</w:t>
            </w:r>
          </w:p>
          <w:p w14:paraId="3DEECCDA">
            <w:pPr>
              <w:spacing w:line="360" w:lineRule="auto"/>
              <w:ind w:firstLine="480" w:firstLineChars="200"/>
              <w:rPr>
                <w:rFonts w:hint="default" w:cs="宋体"/>
                <w:b w:val="0"/>
                <w:bCs/>
                <w:color w:val="auto"/>
                <w:sz w:val="24"/>
                <w:highlight w:val="none"/>
                <w:lang w:val="en-US" w:eastAsia="zh-CN"/>
              </w:rPr>
            </w:pPr>
            <w:r>
              <w:rPr>
                <w:rFonts w:hint="default" w:cs="宋体"/>
                <w:b w:val="0"/>
                <w:bCs/>
                <w:color w:val="auto"/>
                <w:sz w:val="24"/>
                <w:highlight w:val="none"/>
                <w:lang w:val="en-US" w:eastAsia="zh-CN"/>
              </w:rPr>
              <w:t>③</w:t>
            </w:r>
            <w:r>
              <w:rPr>
                <w:rFonts w:hint="eastAsia" w:cs="宋体"/>
                <w:b w:val="0"/>
                <w:bCs/>
                <w:color w:val="auto"/>
                <w:sz w:val="24"/>
                <w:highlight w:val="none"/>
                <w:lang w:val="en-US" w:eastAsia="zh-CN"/>
              </w:rPr>
              <w:t>水喷淋用水</w:t>
            </w:r>
          </w:p>
          <w:p w14:paraId="50A35165">
            <w:pPr>
              <w:spacing w:line="360" w:lineRule="auto"/>
              <w:ind w:firstLine="480" w:firstLineChars="200"/>
              <w:rPr>
                <w:rFonts w:hint="default" w:cs="宋体"/>
                <w:b w:val="0"/>
                <w:bCs/>
                <w:color w:val="auto"/>
                <w:sz w:val="24"/>
                <w:highlight w:val="none"/>
                <w:lang w:val="en-US" w:eastAsia="zh-CN"/>
              </w:rPr>
            </w:pPr>
            <w:r>
              <w:rPr>
                <w:rFonts w:hint="eastAsia" w:cs="宋体"/>
                <w:b w:val="0"/>
                <w:bCs/>
                <w:color w:val="auto"/>
                <w:sz w:val="24"/>
                <w:highlight w:val="none"/>
                <w:lang w:val="en-US" w:eastAsia="zh-CN"/>
              </w:rPr>
              <w:t>本项目</w:t>
            </w:r>
            <w:r>
              <w:rPr>
                <w:rFonts w:hint="default" w:cs="宋体"/>
                <w:b w:val="0"/>
                <w:bCs/>
                <w:color w:val="auto"/>
                <w:sz w:val="24"/>
                <w:highlight w:val="none"/>
                <w:lang w:val="en-US" w:eastAsia="zh-CN"/>
              </w:rPr>
              <w:t>脱模废气、压铸烟尘</w:t>
            </w:r>
            <w:r>
              <w:rPr>
                <w:rFonts w:hint="eastAsia" w:cs="宋体"/>
                <w:b w:val="0"/>
                <w:bCs/>
                <w:color w:val="auto"/>
                <w:sz w:val="24"/>
                <w:highlight w:val="none"/>
                <w:lang w:val="en-US" w:eastAsia="zh-CN"/>
              </w:rPr>
              <w:t>由静电除尘+</w:t>
            </w:r>
            <w:r>
              <w:rPr>
                <w:rFonts w:hint="default" w:cs="宋体"/>
                <w:b w:val="0"/>
                <w:bCs/>
                <w:color w:val="auto"/>
                <w:sz w:val="24"/>
                <w:highlight w:val="none"/>
                <w:lang w:val="en-US" w:eastAsia="zh-CN"/>
              </w:rPr>
              <w:t>二级活性炭</w:t>
            </w:r>
            <w:r>
              <w:rPr>
                <w:rFonts w:hint="eastAsia" w:cs="宋体"/>
                <w:b w:val="0"/>
                <w:bCs/>
                <w:color w:val="auto"/>
                <w:sz w:val="24"/>
                <w:highlight w:val="none"/>
                <w:lang w:val="en-US" w:eastAsia="zh-CN"/>
              </w:rPr>
              <w:t>吸附装置提升为</w:t>
            </w:r>
            <w:r>
              <w:rPr>
                <w:rFonts w:hint="default" w:cs="宋体"/>
                <w:b w:val="0"/>
                <w:bCs/>
                <w:color w:val="auto"/>
                <w:sz w:val="24"/>
                <w:highlight w:val="none"/>
                <w:lang w:val="en-US" w:eastAsia="zh-CN"/>
              </w:rPr>
              <w:t>静电除油+水喷淋+除湿+二级活性炭</w:t>
            </w:r>
            <w:r>
              <w:rPr>
                <w:rFonts w:hint="eastAsia" w:cs="宋体"/>
                <w:b w:val="0"/>
                <w:bCs/>
                <w:color w:val="auto"/>
                <w:sz w:val="24"/>
                <w:highlight w:val="none"/>
                <w:lang w:val="en-US" w:eastAsia="zh-CN"/>
              </w:rPr>
              <w:t>吸附装置进行处理，新增一套水喷淋装置，水喷淋用水循环使用、定期添加，年用水量为12m</w:t>
            </w:r>
            <w:r>
              <w:rPr>
                <w:rFonts w:hint="eastAsia" w:cs="宋体"/>
                <w:b w:val="0"/>
                <w:bCs/>
                <w:color w:val="auto"/>
                <w:sz w:val="24"/>
                <w:highlight w:val="none"/>
                <w:vertAlign w:val="superscript"/>
                <w:lang w:val="en-US" w:eastAsia="zh-CN"/>
              </w:rPr>
              <w:t>3</w:t>
            </w:r>
            <w:r>
              <w:rPr>
                <w:rFonts w:hint="eastAsia" w:cs="宋体"/>
                <w:b w:val="0"/>
                <w:bCs/>
                <w:color w:val="auto"/>
                <w:sz w:val="24"/>
                <w:highlight w:val="none"/>
                <w:lang w:val="en-US" w:eastAsia="zh-CN"/>
              </w:rPr>
              <w:t>/a。</w:t>
            </w:r>
          </w:p>
          <w:p w14:paraId="74E3A3BA">
            <w:pPr>
              <w:spacing w:line="360" w:lineRule="auto"/>
              <w:ind w:firstLine="480" w:firstLineChars="200"/>
              <w:rPr>
                <w:rFonts w:hint="default" w:cs="宋体"/>
                <w:b w:val="0"/>
                <w:bCs/>
                <w:color w:val="auto"/>
                <w:sz w:val="24"/>
                <w:highlight w:val="none"/>
                <w:lang w:val="en-US" w:eastAsia="zh-CN"/>
              </w:rPr>
            </w:pPr>
            <w:r>
              <w:rPr>
                <w:rFonts w:hint="default" w:cs="宋体"/>
                <w:b w:val="0"/>
                <w:bCs/>
                <w:color w:val="auto"/>
                <w:sz w:val="24"/>
                <w:highlight w:val="none"/>
                <w:lang w:val="en-US" w:eastAsia="zh-CN"/>
              </w:rPr>
              <w:t>④</w:t>
            </w:r>
            <w:r>
              <w:rPr>
                <w:rFonts w:hint="eastAsia" w:cs="宋体"/>
                <w:b w:val="0"/>
                <w:bCs/>
                <w:color w:val="auto"/>
                <w:sz w:val="24"/>
                <w:highlight w:val="none"/>
                <w:lang w:val="en-US" w:eastAsia="zh-CN"/>
              </w:rPr>
              <w:t>湿式除尘器用水</w:t>
            </w:r>
          </w:p>
          <w:p w14:paraId="63E53011">
            <w:pPr>
              <w:spacing w:line="360" w:lineRule="auto"/>
              <w:ind w:firstLine="480" w:firstLineChars="200"/>
              <w:rPr>
                <w:rFonts w:hint="default" w:cs="宋体"/>
                <w:b w:val="0"/>
                <w:bCs/>
                <w:color w:val="auto"/>
                <w:sz w:val="24"/>
                <w:highlight w:val="none"/>
                <w:lang w:val="en-US" w:eastAsia="zh-CN"/>
              </w:rPr>
            </w:pPr>
            <w:r>
              <w:rPr>
                <w:rFonts w:hint="eastAsia" w:cs="宋体"/>
                <w:b w:val="0"/>
                <w:bCs/>
                <w:color w:val="auto"/>
                <w:sz w:val="24"/>
                <w:highlight w:val="none"/>
                <w:lang w:val="en-US" w:eastAsia="zh-CN"/>
              </w:rPr>
              <w:t>本项目抛丸粉尘经湿式除尘器进行处理，湿式除尘器用水循环使用、定期添加、定期捞渣，年用水量为12m</w:t>
            </w:r>
            <w:r>
              <w:rPr>
                <w:rFonts w:hint="eastAsia" w:cs="宋体"/>
                <w:b w:val="0"/>
                <w:bCs/>
                <w:color w:val="auto"/>
                <w:sz w:val="24"/>
                <w:highlight w:val="none"/>
                <w:vertAlign w:val="superscript"/>
                <w:lang w:val="en-US" w:eastAsia="zh-CN"/>
              </w:rPr>
              <w:t>3</w:t>
            </w:r>
            <w:r>
              <w:rPr>
                <w:rFonts w:hint="eastAsia" w:cs="宋体"/>
                <w:b w:val="0"/>
                <w:bCs/>
                <w:color w:val="auto"/>
                <w:sz w:val="24"/>
                <w:highlight w:val="none"/>
                <w:lang w:val="en-US" w:eastAsia="zh-CN"/>
              </w:rPr>
              <w:t>/a。</w:t>
            </w:r>
          </w:p>
          <w:p w14:paraId="2AA662A4">
            <w:pPr>
              <w:spacing w:line="360" w:lineRule="auto"/>
              <w:ind w:firstLine="480" w:firstLineChars="200"/>
              <w:rPr>
                <w:rFonts w:hint="default" w:cs="宋体"/>
                <w:b w:val="0"/>
                <w:bCs/>
                <w:color w:val="auto"/>
                <w:sz w:val="24"/>
                <w:highlight w:val="none"/>
                <w:lang w:val="en-US" w:eastAsia="zh-CN"/>
              </w:rPr>
            </w:pPr>
            <w:r>
              <w:rPr>
                <w:rFonts w:hint="default" w:cs="宋体"/>
                <w:b w:val="0"/>
                <w:bCs/>
                <w:color w:val="auto"/>
                <w:sz w:val="24"/>
                <w:highlight w:val="none"/>
                <w:lang w:val="en-US" w:eastAsia="zh-CN"/>
              </w:rPr>
              <w:t>⑤</w:t>
            </w:r>
            <w:r>
              <w:rPr>
                <w:rFonts w:hint="eastAsia" w:cs="宋体"/>
                <w:b w:val="0"/>
                <w:bCs/>
                <w:color w:val="auto"/>
                <w:sz w:val="24"/>
                <w:highlight w:val="none"/>
                <w:lang w:val="en-US" w:eastAsia="zh-CN"/>
              </w:rPr>
              <w:t>打磨用水</w:t>
            </w:r>
          </w:p>
          <w:p w14:paraId="0CD0BA7E">
            <w:pPr>
              <w:spacing w:line="360" w:lineRule="auto"/>
              <w:ind w:firstLine="480" w:firstLineChars="200"/>
              <w:rPr>
                <w:rFonts w:hint="default"/>
                <w:b w:val="0"/>
                <w:bCs w:val="0"/>
                <w:color w:val="auto"/>
                <w:sz w:val="24"/>
                <w:szCs w:val="24"/>
                <w:lang w:val="en-US" w:eastAsia="zh-CN"/>
              </w:rPr>
            </w:pPr>
            <w:r>
              <w:rPr>
                <w:rFonts w:hint="eastAsia"/>
                <w:b w:val="0"/>
                <w:bCs w:val="0"/>
                <w:color w:val="auto"/>
                <w:sz w:val="24"/>
                <w:szCs w:val="24"/>
                <w:lang w:val="en-US" w:eastAsia="zh-CN"/>
              </w:rPr>
              <w:t>本项目打磨粉尘经湿式打磨台、设备自带的水膜除尘器进行处理，湿式打磨台及水膜除尘器用水循环使用、定期捞渣、定期添加，其中湿式打磨台</w:t>
            </w:r>
            <w:r>
              <w:rPr>
                <w:rFonts w:hint="eastAsia" w:cs="宋体"/>
                <w:b w:val="0"/>
                <w:bCs/>
                <w:color w:val="auto"/>
                <w:sz w:val="24"/>
                <w:highlight w:val="none"/>
                <w:lang w:val="en-US" w:eastAsia="zh-CN"/>
              </w:rPr>
              <w:t>年用水量为6m</w:t>
            </w:r>
            <w:r>
              <w:rPr>
                <w:rFonts w:hint="eastAsia" w:cs="宋体"/>
                <w:b w:val="0"/>
                <w:bCs/>
                <w:color w:val="auto"/>
                <w:sz w:val="24"/>
                <w:highlight w:val="none"/>
                <w:vertAlign w:val="superscript"/>
                <w:lang w:val="en-US" w:eastAsia="zh-CN"/>
              </w:rPr>
              <w:t>3</w:t>
            </w:r>
            <w:r>
              <w:rPr>
                <w:rFonts w:hint="eastAsia" w:cs="宋体"/>
                <w:b w:val="0"/>
                <w:bCs/>
                <w:color w:val="auto"/>
                <w:sz w:val="24"/>
                <w:highlight w:val="none"/>
                <w:lang w:val="en-US" w:eastAsia="zh-CN"/>
              </w:rPr>
              <w:t>/a，</w:t>
            </w:r>
            <w:r>
              <w:rPr>
                <w:rFonts w:hint="eastAsia"/>
                <w:b w:val="0"/>
                <w:bCs w:val="0"/>
                <w:color w:val="auto"/>
                <w:sz w:val="24"/>
                <w:szCs w:val="24"/>
                <w:lang w:val="en-US" w:eastAsia="zh-CN"/>
              </w:rPr>
              <w:t>水膜除尘器</w:t>
            </w:r>
            <w:r>
              <w:rPr>
                <w:rFonts w:hint="eastAsia" w:cs="宋体"/>
                <w:b w:val="0"/>
                <w:bCs/>
                <w:color w:val="auto"/>
                <w:sz w:val="24"/>
                <w:highlight w:val="none"/>
                <w:lang w:val="en-US" w:eastAsia="zh-CN"/>
              </w:rPr>
              <w:t>年用水量为2m</w:t>
            </w:r>
            <w:r>
              <w:rPr>
                <w:rFonts w:hint="eastAsia" w:cs="宋体"/>
                <w:b w:val="0"/>
                <w:bCs/>
                <w:color w:val="auto"/>
                <w:sz w:val="24"/>
                <w:highlight w:val="none"/>
                <w:vertAlign w:val="superscript"/>
                <w:lang w:val="en-US" w:eastAsia="zh-CN"/>
              </w:rPr>
              <w:t>3</w:t>
            </w:r>
            <w:r>
              <w:rPr>
                <w:rFonts w:hint="eastAsia" w:cs="宋体"/>
                <w:b w:val="0"/>
                <w:bCs/>
                <w:color w:val="auto"/>
                <w:sz w:val="24"/>
                <w:highlight w:val="none"/>
                <w:lang w:val="en-US" w:eastAsia="zh-CN"/>
              </w:rPr>
              <w:t>/a</w:t>
            </w:r>
            <w:r>
              <w:rPr>
                <w:rFonts w:hint="eastAsia"/>
                <w:b w:val="0"/>
                <w:bCs w:val="0"/>
                <w:color w:val="auto"/>
                <w:sz w:val="24"/>
                <w:szCs w:val="24"/>
                <w:lang w:val="en-US" w:eastAsia="zh-CN"/>
              </w:rPr>
              <w:t>。</w:t>
            </w:r>
          </w:p>
          <w:p w14:paraId="0AF26BC7">
            <w:pPr>
              <w:pStyle w:val="7"/>
              <w:keepNext w:val="0"/>
              <w:keepLines w:val="0"/>
              <w:pageBreakBefore w:val="0"/>
              <w:widowControl/>
              <w:kinsoku/>
              <w:wordWrap/>
              <w:overflowPunct/>
              <w:topLinePunct w:val="0"/>
              <w:autoSpaceDE/>
              <w:autoSpaceDN/>
              <w:bidi w:val="0"/>
              <w:adjustRightInd/>
              <w:snapToGrid/>
              <w:spacing w:before="157" w:beforeLines="50" w:after="0" w:line="240" w:lineRule="auto"/>
              <w:ind w:right="0"/>
              <w:jc w:val="center"/>
              <w:textAlignment w:val="auto"/>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 xml:space="preserve">表4.2-1  </w:t>
            </w:r>
            <w:r>
              <w:rPr>
                <w:rFonts w:hint="default" w:ascii="Times New Roman" w:hAnsi="Times New Roman" w:eastAsia="宋体" w:cs="Times New Roman"/>
                <w:b/>
                <w:color w:val="auto"/>
                <w:sz w:val="21"/>
                <w:szCs w:val="21"/>
                <w:lang w:val="en-US" w:eastAsia="zh-CN"/>
              </w:rPr>
              <w:t>本项目</w:t>
            </w:r>
            <w:r>
              <w:rPr>
                <w:rFonts w:hint="eastAsia" w:cs="Times New Roman"/>
                <w:b/>
                <w:color w:val="auto"/>
                <w:sz w:val="21"/>
                <w:szCs w:val="21"/>
                <w:lang w:val="en-US" w:eastAsia="zh-CN"/>
              </w:rPr>
              <w:t>生产废水</w:t>
            </w:r>
            <w:r>
              <w:rPr>
                <w:rFonts w:hint="default" w:ascii="Times New Roman" w:hAnsi="Times New Roman" w:eastAsia="宋体" w:cs="Times New Roman"/>
                <w:b/>
                <w:color w:val="auto"/>
                <w:sz w:val="21"/>
                <w:szCs w:val="21"/>
                <w:lang w:val="en-US" w:eastAsia="zh-CN"/>
              </w:rPr>
              <w:t>产生情况表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376"/>
              <w:gridCol w:w="2062"/>
              <w:gridCol w:w="1678"/>
              <w:gridCol w:w="1406"/>
            </w:tblGrid>
            <w:tr w14:paraId="623C9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tcBorders>
                    <w:tl2br w:val="nil"/>
                    <w:tr2bl w:val="nil"/>
                  </w:tcBorders>
                  <w:noWrap/>
                  <w:vAlign w:val="center"/>
                </w:tcPr>
                <w:p w14:paraId="298BDDCF">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废水类型</w:t>
                  </w:r>
                </w:p>
              </w:tc>
              <w:tc>
                <w:tcPr>
                  <w:tcW w:w="829" w:type="pct"/>
                  <w:tcBorders>
                    <w:tl2br w:val="nil"/>
                    <w:tr2bl w:val="nil"/>
                  </w:tcBorders>
                  <w:vAlign w:val="center"/>
                </w:tcPr>
                <w:p w14:paraId="6D08669D">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废水量t/a</w:t>
                  </w:r>
                </w:p>
              </w:tc>
              <w:tc>
                <w:tcPr>
                  <w:tcW w:w="1235" w:type="pct"/>
                  <w:tcBorders>
                    <w:tl2br w:val="nil"/>
                    <w:tr2bl w:val="nil"/>
                  </w:tcBorders>
                  <w:noWrap/>
                  <w:vAlign w:val="center"/>
                </w:tcPr>
                <w:p w14:paraId="3D0954D4">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污染物因子</w:t>
                  </w:r>
                </w:p>
              </w:tc>
              <w:tc>
                <w:tcPr>
                  <w:tcW w:w="936" w:type="pct"/>
                  <w:tcBorders>
                    <w:tl2br w:val="nil"/>
                    <w:tr2bl w:val="nil"/>
                  </w:tcBorders>
                  <w:noWrap/>
                  <w:vAlign w:val="center"/>
                </w:tcPr>
                <w:p w14:paraId="42D96B2D">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产生浓度(mg/L)</w:t>
                  </w:r>
                </w:p>
              </w:tc>
              <w:tc>
                <w:tcPr>
                  <w:tcW w:w="847" w:type="pct"/>
                  <w:tcBorders>
                    <w:tl2br w:val="nil"/>
                    <w:tr2bl w:val="nil"/>
                  </w:tcBorders>
                  <w:noWrap/>
                  <w:vAlign w:val="center"/>
                </w:tcPr>
                <w:p w14:paraId="425882F6">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产生量(t/a)</w:t>
                  </w:r>
                </w:p>
              </w:tc>
            </w:tr>
            <w:tr w14:paraId="72FD0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l2br w:val="nil"/>
                    <w:tr2bl w:val="nil"/>
                  </w:tcBorders>
                  <w:noWrap/>
                  <w:vAlign w:val="center"/>
                </w:tcPr>
                <w:p w14:paraId="659B36A5">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振光废水</w:t>
                  </w:r>
                </w:p>
              </w:tc>
              <w:tc>
                <w:tcPr>
                  <w:tcW w:w="829" w:type="pct"/>
                  <w:vMerge w:val="restart"/>
                  <w:tcBorders>
                    <w:tl2br w:val="nil"/>
                    <w:tr2bl w:val="nil"/>
                  </w:tcBorders>
                  <w:vAlign w:val="center"/>
                </w:tcPr>
                <w:p w14:paraId="37084B8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11.52</w:t>
                  </w:r>
                </w:p>
              </w:tc>
              <w:tc>
                <w:tcPr>
                  <w:tcW w:w="1235" w:type="pct"/>
                  <w:tcBorders>
                    <w:tl2br w:val="nil"/>
                    <w:tr2bl w:val="nil"/>
                  </w:tcBorders>
                  <w:noWrap/>
                  <w:vAlign w:val="center"/>
                </w:tcPr>
                <w:p w14:paraId="54DC518F">
                  <w:pPr>
                    <w:widowControl/>
                    <w:jc w:val="center"/>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rPr>
                    <w:t>COD</w:t>
                  </w:r>
                </w:p>
              </w:tc>
              <w:tc>
                <w:tcPr>
                  <w:tcW w:w="936" w:type="pct"/>
                  <w:tcBorders>
                    <w:tl2br w:val="nil"/>
                    <w:tr2bl w:val="nil"/>
                  </w:tcBorders>
                  <w:noWrap/>
                  <w:vAlign w:val="center"/>
                </w:tcPr>
                <w:p w14:paraId="6AF1454A">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6206</w:t>
                  </w:r>
                </w:p>
              </w:tc>
              <w:tc>
                <w:tcPr>
                  <w:tcW w:w="847" w:type="pct"/>
                  <w:tcBorders>
                    <w:tl2br w:val="nil"/>
                    <w:tr2bl w:val="nil"/>
                  </w:tcBorders>
                  <w:noWrap/>
                  <w:vAlign w:val="center"/>
                </w:tcPr>
                <w:p w14:paraId="6BA5F058">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0.071</w:t>
                  </w:r>
                </w:p>
              </w:tc>
            </w:tr>
            <w:tr w14:paraId="6EE25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5EF3D403">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68E0511D">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00779AF2">
                  <w:pPr>
                    <w:widowControl/>
                    <w:jc w:val="center"/>
                    <w:rPr>
                      <w:rFonts w:hint="eastAsia"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rPr>
                    <w:t>SS</w:t>
                  </w:r>
                </w:p>
              </w:tc>
              <w:tc>
                <w:tcPr>
                  <w:tcW w:w="936" w:type="pct"/>
                  <w:tcBorders>
                    <w:tl2br w:val="nil"/>
                    <w:tr2bl w:val="nil"/>
                  </w:tcBorders>
                  <w:noWrap/>
                  <w:vAlign w:val="center"/>
                </w:tcPr>
                <w:p w14:paraId="6FA1139B">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400</w:t>
                  </w:r>
                </w:p>
              </w:tc>
              <w:tc>
                <w:tcPr>
                  <w:tcW w:w="847" w:type="pct"/>
                  <w:tcBorders>
                    <w:tl2br w:val="nil"/>
                    <w:tr2bl w:val="nil"/>
                  </w:tcBorders>
                  <w:noWrap/>
                  <w:vAlign w:val="center"/>
                </w:tcPr>
                <w:p w14:paraId="6C4F22E8">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0.005</w:t>
                  </w:r>
                </w:p>
              </w:tc>
            </w:tr>
            <w:tr w14:paraId="33852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0B726E2A">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6EF2DA91">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28D24C38">
                  <w:pPr>
                    <w:widowControl/>
                    <w:jc w:val="center"/>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石油类</w:t>
                  </w:r>
                </w:p>
              </w:tc>
              <w:tc>
                <w:tcPr>
                  <w:tcW w:w="936" w:type="pct"/>
                  <w:tcBorders>
                    <w:tl2br w:val="nil"/>
                    <w:tr2bl w:val="nil"/>
                  </w:tcBorders>
                  <w:noWrap/>
                  <w:vAlign w:val="center"/>
                </w:tcPr>
                <w:p w14:paraId="7AA75882">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40</w:t>
                  </w:r>
                </w:p>
              </w:tc>
              <w:tc>
                <w:tcPr>
                  <w:tcW w:w="847" w:type="pct"/>
                  <w:tcBorders>
                    <w:tl2br w:val="nil"/>
                    <w:tr2bl w:val="nil"/>
                  </w:tcBorders>
                  <w:noWrap/>
                  <w:vAlign w:val="center"/>
                </w:tcPr>
                <w:p w14:paraId="59B4FF7D">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0.0005</w:t>
                  </w:r>
                </w:p>
              </w:tc>
            </w:tr>
            <w:tr w14:paraId="08FD3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37FBD477">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223B5D44">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33C8565E">
                  <w:pPr>
                    <w:widowControl/>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LAS</w:t>
                  </w:r>
                </w:p>
              </w:tc>
              <w:tc>
                <w:tcPr>
                  <w:tcW w:w="936" w:type="pct"/>
                  <w:tcBorders>
                    <w:tl2br w:val="nil"/>
                    <w:tr2bl w:val="nil"/>
                  </w:tcBorders>
                  <w:noWrap/>
                  <w:vAlign w:val="center"/>
                </w:tcPr>
                <w:p w14:paraId="4FF11862">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847" w:type="pct"/>
                  <w:tcBorders>
                    <w:tl2br w:val="nil"/>
                    <w:tr2bl w:val="nil"/>
                  </w:tcBorders>
                  <w:noWrap/>
                  <w:vAlign w:val="center"/>
                </w:tcPr>
                <w:p w14:paraId="1B6EF63A">
                  <w:pPr>
                    <w:widowControl/>
                    <w:snapToGrid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0.001</w:t>
                  </w:r>
                </w:p>
              </w:tc>
            </w:tr>
            <w:tr w14:paraId="397BC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l2br w:val="nil"/>
                    <w:tr2bl w:val="nil"/>
                  </w:tcBorders>
                  <w:noWrap/>
                  <w:vAlign w:val="center"/>
                </w:tcPr>
                <w:p w14:paraId="7A09F22A">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清洗废水</w:t>
                  </w:r>
                </w:p>
              </w:tc>
              <w:tc>
                <w:tcPr>
                  <w:tcW w:w="829" w:type="pct"/>
                  <w:vMerge w:val="restart"/>
                  <w:tcBorders>
                    <w:tl2br w:val="nil"/>
                    <w:tr2bl w:val="nil"/>
                  </w:tcBorders>
                  <w:vAlign w:val="center"/>
                </w:tcPr>
                <w:p w14:paraId="122E368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129.6</w:t>
                  </w:r>
                </w:p>
              </w:tc>
              <w:tc>
                <w:tcPr>
                  <w:tcW w:w="1235" w:type="pct"/>
                  <w:tcBorders>
                    <w:tl2br w:val="nil"/>
                    <w:tr2bl w:val="nil"/>
                  </w:tcBorders>
                  <w:noWrap/>
                  <w:vAlign w:val="center"/>
                </w:tcPr>
                <w:p w14:paraId="63CEF1A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936" w:type="pct"/>
                  <w:tcBorders>
                    <w:tl2br w:val="nil"/>
                    <w:tr2bl w:val="nil"/>
                  </w:tcBorders>
                  <w:noWrap/>
                  <w:vAlign w:val="center"/>
                </w:tcPr>
                <w:p w14:paraId="4FFA01A2">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93</w:t>
                  </w:r>
                </w:p>
              </w:tc>
              <w:tc>
                <w:tcPr>
                  <w:tcW w:w="847" w:type="pct"/>
                  <w:tcBorders>
                    <w:tl2br w:val="nil"/>
                    <w:tr2bl w:val="nil"/>
                  </w:tcBorders>
                  <w:noWrap/>
                  <w:vAlign w:val="center"/>
                </w:tcPr>
                <w:p w14:paraId="7229581A">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0.012</w:t>
                  </w:r>
                </w:p>
              </w:tc>
            </w:tr>
            <w:tr w14:paraId="12DC49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6FC20801">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5CF6D821">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3669B3C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936" w:type="pct"/>
                  <w:tcBorders>
                    <w:tl2br w:val="nil"/>
                    <w:tr2bl w:val="nil"/>
                  </w:tcBorders>
                  <w:noWrap/>
                  <w:vAlign w:val="center"/>
                </w:tcPr>
                <w:p w14:paraId="504108E4">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847" w:type="pct"/>
                  <w:tcBorders>
                    <w:tl2br w:val="nil"/>
                    <w:tr2bl w:val="nil"/>
                  </w:tcBorders>
                  <w:noWrap/>
                  <w:vAlign w:val="center"/>
                </w:tcPr>
                <w:p w14:paraId="5AE96970">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0.026</w:t>
                  </w:r>
                </w:p>
              </w:tc>
            </w:tr>
            <w:tr w14:paraId="288B3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6F618339">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48DF9C6B">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22CC55F6">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石油类</w:t>
                  </w:r>
                </w:p>
              </w:tc>
              <w:tc>
                <w:tcPr>
                  <w:tcW w:w="936" w:type="pct"/>
                  <w:tcBorders>
                    <w:tl2br w:val="nil"/>
                    <w:tr2bl w:val="nil"/>
                  </w:tcBorders>
                  <w:noWrap/>
                  <w:vAlign w:val="center"/>
                </w:tcPr>
                <w:p w14:paraId="13E382B1">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31</w:t>
                  </w:r>
                </w:p>
              </w:tc>
              <w:tc>
                <w:tcPr>
                  <w:tcW w:w="847" w:type="pct"/>
                  <w:tcBorders>
                    <w:tl2br w:val="nil"/>
                    <w:tr2bl w:val="nil"/>
                  </w:tcBorders>
                  <w:noWrap/>
                  <w:vAlign w:val="center"/>
                </w:tcPr>
                <w:p w14:paraId="265EDBEE">
                  <w:pPr>
                    <w:widowControl/>
                    <w:snapToGrid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0.004</w:t>
                  </w:r>
                </w:p>
              </w:tc>
            </w:tr>
            <w:tr w14:paraId="79992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08F8F53D">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0D54DDF6">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058A33B3">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LAS</w:t>
                  </w:r>
                </w:p>
              </w:tc>
              <w:tc>
                <w:tcPr>
                  <w:tcW w:w="936" w:type="pct"/>
                  <w:tcBorders>
                    <w:tl2br w:val="nil"/>
                    <w:tr2bl w:val="nil"/>
                  </w:tcBorders>
                  <w:noWrap/>
                  <w:vAlign w:val="center"/>
                </w:tcPr>
                <w:p w14:paraId="5291092F">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10</w:t>
                  </w:r>
                </w:p>
              </w:tc>
              <w:tc>
                <w:tcPr>
                  <w:tcW w:w="847" w:type="pct"/>
                  <w:tcBorders>
                    <w:tl2br w:val="nil"/>
                    <w:tr2bl w:val="nil"/>
                  </w:tcBorders>
                  <w:noWrap/>
                  <w:vAlign w:val="center"/>
                </w:tcPr>
                <w:p w14:paraId="1E15C0B4">
                  <w:pPr>
                    <w:widowControl/>
                    <w:snapToGrid w:val="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0.003</w:t>
                  </w:r>
                </w:p>
              </w:tc>
            </w:tr>
            <w:tr w14:paraId="6F727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restart"/>
                  <w:tcBorders>
                    <w:tl2br w:val="nil"/>
                    <w:tr2bl w:val="nil"/>
                  </w:tcBorders>
                  <w:noWrap/>
                  <w:vAlign w:val="center"/>
                </w:tcPr>
                <w:p w14:paraId="088BBCB0">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综合废水</w:t>
                  </w:r>
                </w:p>
              </w:tc>
              <w:tc>
                <w:tcPr>
                  <w:tcW w:w="829" w:type="pct"/>
                  <w:vMerge w:val="restart"/>
                  <w:tcBorders>
                    <w:tl2br w:val="nil"/>
                    <w:tr2bl w:val="nil"/>
                  </w:tcBorders>
                  <w:vAlign w:val="center"/>
                </w:tcPr>
                <w:p w14:paraId="7CBFA440">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141.12</w:t>
                  </w:r>
                </w:p>
              </w:tc>
              <w:tc>
                <w:tcPr>
                  <w:tcW w:w="1235" w:type="pct"/>
                  <w:tcBorders>
                    <w:tl2br w:val="nil"/>
                    <w:tr2bl w:val="nil"/>
                  </w:tcBorders>
                  <w:noWrap/>
                  <w:vAlign w:val="center"/>
                </w:tcPr>
                <w:p w14:paraId="35D7761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936" w:type="pct"/>
                  <w:tcBorders>
                    <w:tl2br w:val="nil"/>
                    <w:tr2bl w:val="nil"/>
                  </w:tcBorders>
                  <w:noWrap/>
                  <w:vAlign w:val="center"/>
                </w:tcPr>
                <w:p w14:paraId="387AD6BB">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588</w:t>
                  </w:r>
                </w:p>
              </w:tc>
              <w:tc>
                <w:tcPr>
                  <w:tcW w:w="847" w:type="pct"/>
                  <w:tcBorders>
                    <w:tl2br w:val="nil"/>
                    <w:tr2bl w:val="nil"/>
                  </w:tcBorders>
                  <w:noWrap/>
                  <w:vAlign w:val="center"/>
                </w:tcPr>
                <w:p w14:paraId="2315DDE6">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0.083</w:t>
                  </w:r>
                </w:p>
              </w:tc>
            </w:tr>
            <w:tr w14:paraId="4A1D8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7DDC4FA9">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6E0E8731">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0B40AAA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936" w:type="pct"/>
                  <w:tcBorders>
                    <w:tl2br w:val="nil"/>
                    <w:tr2bl w:val="nil"/>
                  </w:tcBorders>
                  <w:noWrap/>
                  <w:vAlign w:val="center"/>
                </w:tcPr>
                <w:p w14:paraId="61588816">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220</w:t>
                  </w:r>
                </w:p>
              </w:tc>
              <w:tc>
                <w:tcPr>
                  <w:tcW w:w="847" w:type="pct"/>
                  <w:tcBorders>
                    <w:tl2br w:val="nil"/>
                    <w:tr2bl w:val="nil"/>
                  </w:tcBorders>
                  <w:noWrap/>
                  <w:vAlign w:val="center"/>
                </w:tcPr>
                <w:p w14:paraId="09D8BAD0">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w:t>
                  </w:r>
                  <w:r>
                    <w:rPr>
                      <w:rFonts w:hint="eastAsia" w:cs="Times New Roman"/>
                      <w:color w:val="auto"/>
                      <w:kern w:val="0"/>
                      <w:sz w:val="21"/>
                      <w:szCs w:val="21"/>
                      <w:lang w:val="en-US" w:eastAsia="zh-CN" w:bidi="ar"/>
                    </w:rPr>
                    <w:t>031</w:t>
                  </w:r>
                </w:p>
              </w:tc>
            </w:tr>
            <w:tr w14:paraId="46BA1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7CCF4543">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29F88FDF">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6DB395DF">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石油类</w:t>
                  </w:r>
                </w:p>
              </w:tc>
              <w:tc>
                <w:tcPr>
                  <w:tcW w:w="936" w:type="pct"/>
                  <w:tcBorders>
                    <w:tl2br w:val="nil"/>
                    <w:tr2bl w:val="nil"/>
                  </w:tcBorders>
                  <w:noWrap/>
                  <w:vAlign w:val="center"/>
                </w:tcPr>
                <w:p w14:paraId="00FB39B3">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32</w:t>
                  </w:r>
                </w:p>
              </w:tc>
              <w:tc>
                <w:tcPr>
                  <w:tcW w:w="847" w:type="pct"/>
                  <w:tcBorders>
                    <w:tl2br w:val="nil"/>
                    <w:tr2bl w:val="nil"/>
                  </w:tcBorders>
                  <w:noWrap/>
                  <w:vAlign w:val="center"/>
                </w:tcPr>
                <w:p w14:paraId="3965BCFC">
                  <w:pPr>
                    <w:widowControl/>
                    <w:snapToGrid w:val="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0.0045</w:t>
                  </w:r>
                </w:p>
              </w:tc>
            </w:tr>
            <w:tr w14:paraId="54A75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pct"/>
                  <w:vMerge w:val="continue"/>
                  <w:tcBorders>
                    <w:tl2br w:val="nil"/>
                    <w:tr2bl w:val="nil"/>
                  </w:tcBorders>
                  <w:noWrap/>
                  <w:vAlign w:val="center"/>
                </w:tcPr>
                <w:p w14:paraId="3F994A48">
                  <w:pPr>
                    <w:jc w:val="center"/>
                    <w:rPr>
                      <w:rFonts w:hint="default" w:ascii="Times New Roman" w:hAnsi="Times New Roman" w:eastAsia="宋体" w:cs="Times New Roman"/>
                      <w:color w:val="auto"/>
                      <w:kern w:val="0"/>
                      <w:sz w:val="21"/>
                      <w:szCs w:val="21"/>
                    </w:rPr>
                  </w:pPr>
                </w:p>
              </w:tc>
              <w:tc>
                <w:tcPr>
                  <w:tcW w:w="829" w:type="pct"/>
                  <w:vMerge w:val="continue"/>
                  <w:tcBorders>
                    <w:tl2br w:val="nil"/>
                    <w:tr2bl w:val="nil"/>
                  </w:tcBorders>
                  <w:vAlign w:val="center"/>
                </w:tcPr>
                <w:p w14:paraId="6B564627">
                  <w:pPr>
                    <w:widowControl/>
                    <w:jc w:val="center"/>
                    <w:rPr>
                      <w:rFonts w:hint="default" w:ascii="Times New Roman" w:hAnsi="Times New Roman" w:eastAsia="宋体" w:cs="Times New Roman"/>
                      <w:color w:val="auto"/>
                      <w:kern w:val="0"/>
                      <w:sz w:val="21"/>
                      <w:szCs w:val="21"/>
                    </w:rPr>
                  </w:pPr>
                </w:p>
              </w:tc>
              <w:tc>
                <w:tcPr>
                  <w:tcW w:w="1235" w:type="pct"/>
                  <w:tcBorders>
                    <w:tl2br w:val="nil"/>
                    <w:tr2bl w:val="nil"/>
                  </w:tcBorders>
                  <w:noWrap/>
                  <w:vAlign w:val="center"/>
                </w:tcPr>
                <w:p w14:paraId="7ED65FAF">
                  <w:pPr>
                    <w:widowControl/>
                    <w:jc w:val="center"/>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LAS</w:t>
                  </w:r>
                </w:p>
              </w:tc>
              <w:tc>
                <w:tcPr>
                  <w:tcW w:w="936" w:type="pct"/>
                  <w:tcBorders>
                    <w:tl2br w:val="nil"/>
                    <w:tr2bl w:val="nil"/>
                  </w:tcBorders>
                  <w:noWrap/>
                  <w:vAlign w:val="center"/>
                </w:tcPr>
                <w:p w14:paraId="6CB990C7">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28</w:t>
                  </w:r>
                </w:p>
              </w:tc>
              <w:tc>
                <w:tcPr>
                  <w:tcW w:w="847" w:type="pct"/>
                  <w:tcBorders>
                    <w:tl2br w:val="nil"/>
                    <w:tr2bl w:val="nil"/>
                  </w:tcBorders>
                  <w:noWrap/>
                  <w:vAlign w:val="center"/>
                </w:tcPr>
                <w:p w14:paraId="0C6FFAC1">
                  <w:pPr>
                    <w:widowControl/>
                    <w:snapToGrid w:val="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0.0</w:t>
                  </w:r>
                  <w:r>
                    <w:rPr>
                      <w:rFonts w:hint="eastAsia" w:cs="Times New Roman"/>
                      <w:color w:val="auto"/>
                      <w:kern w:val="0"/>
                      <w:sz w:val="21"/>
                      <w:szCs w:val="21"/>
                      <w:lang w:val="en-US" w:eastAsia="zh-CN" w:bidi="ar"/>
                    </w:rPr>
                    <w:t>04</w:t>
                  </w:r>
                </w:p>
              </w:tc>
            </w:tr>
          </w:tbl>
          <w:p w14:paraId="0017D265">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（二）、污染防治措施</w:t>
            </w:r>
          </w:p>
          <w:p w14:paraId="09DA7E2A">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（1）防治措施</w:t>
            </w:r>
          </w:p>
          <w:p w14:paraId="2A037C1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厂内已实现雨污分流，清污分流。</w:t>
            </w:r>
            <w:r>
              <w:rPr>
                <w:rFonts w:hint="eastAsia" w:cs="Times New Roman"/>
                <w:color w:val="auto"/>
                <w:sz w:val="24"/>
                <w:lang w:val="en-US" w:eastAsia="zh-CN"/>
              </w:rPr>
              <w:t>本项目生产废水经厂区废水处理设施处理后回用于生产，不外排，生活污水</w:t>
            </w:r>
            <w:r>
              <w:rPr>
                <w:rFonts w:hint="default" w:ascii="Times New Roman" w:hAnsi="Times New Roman" w:eastAsia="宋体" w:cs="Times New Roman"/>
                <w:color w:val="auto"/>
                <w:sz w:val="24"/>
              </w:rPr>
              <w:t>接入城镇污水管网，入</w:t>
            </w:r>
            <w:r>
              <w:rPr>
                <w:rFonts w:hint="eastAsia" w:cs="Times New Roman"/>
                <w:color w:val="auto"/>
                <w:sz w:val="24"/>
                <w:lang w:val="en-US" w:eastAsia="zh-CN"/>
              </w:rPr>
              <w:t>金坛第二</w:t>
            </w:r>
            <w:r>
              <w:rPr>
                <w:rFonts w:hint="eastAsia" w:cs="Times New Roman"/>
                <w:color w:val="auto"/>
                <w:sz w:val="24"/>
                <w:lang w:eastAsia="zh-CN"/>
              </w:rPr>
              <w:t>污水处理厂</w:t>
            </w:r>
            <w:r>
              <w:rPr>
                <w:rFonts w:hint="default" w:ascii="Times New Roman" w:hAnsi="Times New Roman" w:eastAsia="宋体" w:cs="Times New Roman"/>
                <w:color w:val="auto"/>
                <w:sz w:val="24"/>
              </w:rPr>
              <w:t>集中处理。</w:t>
            </w:r>
          </w:p>
          <w:p w14:paraId="783E121D">
            <w:pPr>
              <w:adjustRightInd w:val="0"/>
              <w:snapToGrid w:val="0"/>
              <w:spacing w:line="360" w:lineRule="auto"/>
              <w:ind w:firstLine="480" w:firstLineChars="200"/>
              <w:rPr>
                <w:rFonts w:hint="default" w:ascii="Times New Roman" w:hAnsi="Times New Roman" w:eastAsia="宋体" w:cs="Times New Roman"/>
                <w:color w:val="auto"/>
                <w:sz w:val="24"/>
                <w:szCs w:val="22"/>
                <w:lang w:val="en-US" w:eastAsia="zh-CN"/>
              </w:rPr>
            </w:pPr>
            <w:r>
              <w:rPr>
                <w:rFonts w:hint="eastAsia" w:cs="Times New Roman"/>
                <w:color w:val="auto"/>
                <w:sz w:val="24"/>
                <w:szCs w:val="22"/>
                <w:lang w:val="en-US" w:eastAsia="zh-CN"/>
              </w:rPr>
              <w:t>Ⅰ、生产废水回用可行性分析：</w:t>
            </w:r>
          </w:p>
          <w:p w14:paraId="46DF0D6C">
            <w:pPr>
              <w:spacing w:line="360" w:lineRule="auto"/>
              <w:ind w:firstLine="480" w:firstLineChars="200"/>
              <w:rPr>
                <w:rFonts w:hint="eastAsia" w:ascii="Times New Roman" w:hAnsi="Times New Roman" w:cs="Times New Roman"/>
                <w:color w:val="auto"/>
                <w:sz w:val="24"/>
                <w:szCs w:val="22"/>
                <w:lang w:val="en-US" w:eastAsia="zh-CN"/>
              </w:rPr>
            </w:pPr>
            <w:r>
              <w:rPr>
                <w:rFonts w:hint="eastAsia" w:ascii="Times New Roman" w:hAnsi="Times New Roman" w:cs="Times New Roman"/>
                <w:color w:val="auto"/>
                <w:sz w:val="24"/>
                <w:szCs w:val="22"/>
                <w:lang w:val="en-US" w:eastAsia="zh-CN"/>
              </w:rPr>
              <w:t>①废水处理工艺流程：</w:t>
            </w:r>
          </w:p>
          <w:p w14:paraId="32861490">
            <w:pPr>
              <w:keepNext w:val="0"/>
              <w:keepLines w:val="0"/>
              <w:pageBreakBefore w:val="0"/>
              <w:widowControl w:val="0"/>
              <w:tabs>
                <w:tab w:val="left" w:pos="960"/>
              </w:tabs>
              <w:kinsoku/>
              <w:wordWrap/>
              <w:overflowPunct/>
              <w:topLinePunct w:val="0"/>
              <w:autoSpaceDE/>
              <w:autoSpaceDN/>
              <w:bidi w:val="0"/>
              <w:adjustRightInd/>
              <w:snapToGrid/>
              <w:jc w:val="center"/>
              <w:textAlignment w:val="auto"/>
              <w:rPr>
                <w:rFonts w:hint="eastAsia"/>
                <w:b/>
                <w:bCs/>
                <w:color w:val="auto"/>
                <w:spacing w:val="-4"/>
                <w:sz w:val="24"/>
                <w:szCs w:val="24"/>
              </w:rPr>
            </w:pPr>
            <w:r>
              <w:rPr>
                <w:color w:val="auto"/>
              </w:rPr>
              <w:drawing>
                <wp:inline distT="0" distB="0" distL="114300" distR="114300">
                  <wp:extent cx="3079115" cy="3251200"/>
                  <wp:effectExtent l="0" t="0" r="0" b="0"/>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21"/>
                          <a:stretch>
                            <a:fillRect/>
                          </a:stretch>
                        </pic:blipFill>
                        <pic:spPr>
                          <a:xfrm>
                            <a:off x="0" y="0"/>
                            <a:ext cx="3079115" cy="3251200"/>
                          </a:xfrm>
                          <a:prstGeom prst="rect">
                            <a:avLst/>
                          </a:prstGeom>
                          <a:noFill/>
                          <a:ln>
                            <a:noFill/>
                          </a:ln>
                        </pic:spPr>
                      </pic:pic>
                    </a:graphicData>
                  </a:graphic>
                </wp:inline>
              </w:drawing>
            </w:r>
          </w:p>
          <w:p w14:paraId="55B3618A">
            <w:pPr>
              <w:keepNext w:val="0"/>
              <w:keepLines w:val="0"/>
              <w:pageBreakBefore w:val="0"/>
              <w:widowControl w:val="0"/>
              <w:tabs>
                <w:tab w:val="left" w:pos="960"/>
              </w:tabs>
              <w:kinsoku/>
              <w:wordWrap/>
              <w:overflowPunct/>
              <w:topLinePunct w:val="0"/>
              <w:autoSpaceDE/>
              <w:autoSpaceDN/>
              <w:bidi w:val="0"/>
              <w:adjustRightInd/>
              <w:snapToGrid/>
              <w:jc w:val="center"/>
              <w:textAlignment w:val="auto"/>
              <w:rPr>
                <w:b/>
                <w:bCs/>
                <w:color w:val="auto"/>
                <w:spacing w:val="-4"/>
                <w:sz w:val="24"/>
                <w:szCs w:val="24"/>
              </w:rPr>
            </w:pPr>
            <w:r>
              <w:rPr>
                <w:rFonts w:hint="eastAsia"/>
                <w:b/>
                <w:bCs/>
                <w:color w:val="auto"/>
                <w:spacing w:val="-4"/>
                <w:sz w:val="24"/>
                <w:szCs w:val="24"/>
              </w:rPr>
              <w:t>图4</w:t>
            </w:r>
            <w:r>
              <w:rPr>
                <w:rFonts w:hint="eastAsia"/>
                <w:b/>
                <w:bCs/>
                <w:color w:val="auto"/>
                <w:spacing w:val="-4"/>
                <w:sz w:val="24"/>
                <w:szCs w:val="24"/>
                <w:lang w:val="en-US" w:eastAsia="zh-CN"/>
              </w:rPr>
              <w:t>.2</w:t>
            </w:r>
            <w:r>
              <w:rPr>
                <w:rFonts w:hint="eastAsia"/>
                <w:b/>
                <w:bCs/>
                <w:color w:val="auto"/>
                <w:spacing w:val="-4"/>
                <w:sz w:val="24"/>
                <w:szCs w:val="24"/>
              </w:rPr>
              <w:t>-</w:t>
            </w:r>
            <w:r>
              <w:rPr>
                <w:rFonts w:hint="eastAsia"/>
                <w:b/>
                <w:bCs/>
                <w:color w:val="auto"/>
                <w:spacing w:val="-4"/>
                <w:sz w:val="24"/>
                <w:szCs w:val="24"/>
                <w:lang w:val="en-US" w:eastAsia="zh-CN"/>
              </w:rPr>
              <w:t>1</w:t>
            </w:r>
            <w:r>
              <w:rPr>
                <w:rFonts w:hint="eastAsia"/>
                <w:b/>
                <w:bCs/>
                <w:color w:val="auto"/>
                <w:spacing w:val="-4"/>
                <w:sz w:val="24"/>
                <w:szCs w:val="24"/>
              </w:rPr>
              <w:t xml:space="preserve">  生产废水处理设施工艺流程图</w:t>
            </w:r>
          </w:p>
          <w:p w14:paraId="75732C66">
            <w:pPr>
              <w:adjustRightInd w:val="0"/>
              <w:snapToGrid w:val="0"/>
              <w:spacing w:line="500" w:lineRule="exact"/>
              <w:ind w:firstLine="480" w:firstLineChars="200"/>
              <w:rPr>
                <w:rFonts w:hint="default" w:ascii="Times New Roman" w:hAnsi="Times New Roman" w:eastAsia="宋体" w:cs="Times New Roman"/>
                <w:color w:val="auto"/>
                <w:sz w:val="24"/>
                <w:szCs w:val="22"/>
                <w:lang w:val="en-US" w:eastAsia="zh-CN"/>
              </w:rPr>
            </w:pPr>
            <w:r>
              <w:rPr>
                <w:rFonts w:hint="eastAsia" w:cs="Times New Roman"/>
                <w:color w:val="auto"/>
                <w:sz w:val="24"/>
                <w:szCs w:val="22"/>
                <w:lang w:val="en-US" w:eastAsia="zh-CN"/>
              </w:rPr>
              <w:t>生产</w:t>
            </w:r>
            <w:r>
              <w:rPr>
                <w:rFonts w:hint="default" w:ascii="Times New Roman" w:hAnsi="Times New Roman" w:eastAsia="宋体" w:cs="Times New Roman"/>
                <w:color w:val="auto"/>
                <w:sz w:val="24"/>
                <w:szCs w:val="22"/>
              </w:rPr>
              <w:t>废水利用明管至</w:t>
            </w:r>
            <w:r>
              <w:rPr>
                <w:rFonts w:hint="eastAsia" w:ascii="Times New Roman" w:hAnsi="Times New Roman" w:eastAsia="宋体" w:cs="Times New Roman"/>
                <w:color w:val="auto"/>
                <w:sz w:val="24"/>
                <w:szCs w:val="22"/>
                <w:lang w:val="en-US" w:eastAsia="zh-CN"/>
              </w:rPr>
              <w:t>废水收集池</w:t>
            </w:r>
            <w:r>
              <w:rPr>
                <w:rFonts w:hint="default" w:ascii="Times New Roman" w:hAnsi="Times New Roman" w:eastAsia="宋体" w:cs="Times New Roman"/>
                <w:color w:val="auto"/>
                <w:sz w:val="24"/>
                <w:szCs w:val="22"/>
              </w:rPr>
              <w:t>，经气动隔膜泵泵入</w:t>
            </w:r>
            <w:r>
              <w:rPr>
                <w:rFonts w:hint="eastAsia" w:ascii="Times New Roman" w:hAnsi="Times New Roman" w:eastAsia="宋体" w:cs="Times New Roman"/>
                <w:color w:val="auto"/>
                <w:sz w:val="24"/>
                <w:szCs w:val="22"/>
                <w:lang w:val="en-US" w:eastAsia="zh-CN"/>
              </w:rPr>
              <w:t>精密过滤器进行初步过滤，</w:t>
            </w:r>
            <w:r>
              <w:rPr>
                <w:rFonts w:hint="eastAsia" w:cs="Times New Roman"/>
                <w:color w:val="auto"/>
                <w:sz w:val="24"/>
                <w:szCs w:val="22"/>
                <w:lang w:val="en-US" w:eastAsia="zh-CN"/>
              </w:rPr>
              <w:t>再经活性炭吸附、砂滤过滤进一步过滤悬浮物、有机物，再进入RO装置进一步去除COD，以达到回用水标准，经RO处理后的清水进入清水收集池回用于生产，浓液作为危废委托有资质单位进行处置</w:t>
            </w:r>
            <w:r>
              <w:rPr>
                <w:rFonts w:hint="default" w:ascii="Times New Roman" w:hAnsi="Times New Roman" w:eastAsia="宋体" w:cs="Times New Roman"/>
                <w:color w:val="auto"/>
                <w:sz w:val="24"/>
                <w:szCs w:val="22"/>
              </w:rPr>
              <w:t>。</w:t>
            </w:r>
          </w:p>
          <w:p w14:paraId="0DA586CF">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石英</w:t>
            </w:r>
            <w:r>
              <w:rPr>
                <w:rFonts w:hint="eastAsia" w:cs="Times New Roman"/>
                <w:color w:val="auto"/>
                <w:sz w:val="24"/>
                <w:szCs w:val="22"/>
                <w:lang w:val="en-US" w:eastAsia="zh-CN"/>
              </w:rPr>
              <w:t>砂</w:t>
            </w:r>
            <w:r>
              <w:rPr>
                <w:rFonts w:hint="default" w:ascii="Times New Roman" w:hAnsi="Times New Roman" w:eastAsia="宋体" w:cs="Times New Roman"/>
                <w:color w:val="auto"/>
                <w:sz w:val="24"/>
                <w:szCs w:val="22"/>
              </w:rPr>
              <w:t>过滤设备是利用石英</w:t>
            </w:r>
            <w:r>
              <w:rPr>
                <w:rFonts w:hint="eastAsia" w:cs="Times New Roman"/>
                <w:color w:val="auto"/>
                <w:sz w:val="24"/>
                <w:szCs w:val="22"/>
                <w:lang w:val="en-US" w:eastAsia="zh-CN"/>
              </w:rPr>
              <w:t>砂</w:t>
            </w:r>
            <w:r>
              <w:rPr>
                <w:rFonts w:hint="default" w:ascii="Times New Roman" w:hAnsi="Times New Roman" w:eastAsia="宋体" w:cs="Times New Roman"/>
                <w:color w:val="auto"/>
                <w:sz w:val="24"/>
                <w:szCs w:val="22"/>
              </w:rPr>
              <w:t>作为过滤介质，在一定的压力下，把浊度较高的水通过一定厚度的粒状或非粒的</w:t>
            </w:r>
            <w:r>
              <w:rPr>
                <w:rFonts w:hint="eastAsia" w:cs="Times New Roman"/>
                <w:color w:val="auto"/>
                <w:sz w:val="24"/>
                <w:szCs w:val="22"/>
                <w:lang w:eastAsia="zh-CN"/>
              </w:rPr>
              <w:t>石英砂</w:t>
            </w:r>
            <w:r>
              <w:rPr>
                <w:rFonts w:hint="default" w:ascii="Times New Roman" w:hAnsi="Times New Roman" w:eastAsia="宋体" w:cs="Times New Roman"/>
                <w:color w:val="auto"/>
                <w:sz w:val="24"/>
                <w:szCs w:val="22"/>
              </w:rPr>
              <w:t>过滤，有效的截留除去水中的悬浮物、有机物、胶质颗粒、微生物、氯、嗅味及部分重金属离子等，使水澄清的水处理装置。</w:t>
            </w:r>
          </w:p>
          <w:p w14:paraId="22A4681B">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活性炭过滤器是将水中悬浮状态的污染物进行截留的过程，被截留的悬浮物充塞于活性炭间的空隙。滤层孔隙尺度以及孔隙率的大小，随活性炭料粒度的加大而增大。即活性炭粒度越粗，可容纳悬浮物的空间越大。其表现为过滤能力增强，纳污能力增加，截污量增大。同时，活性炭滤层孔隙越大，水中悬浮物越能被更深地输送至下一层活性炭滤层，在有足够保护厚度的条件下，悬浮物可以更多地被截留，使中下层滤层更好地发挥截留作用，机组截污量增加。</w:t>
            </w:r>
          </w:p>
          <w:p w14:paraId="04BE148A">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eastAsia" w:cs="Times New Roman"/>
                <w:color w:val="auto"/>
                <w:sz w:val="24"/>
                <w:szCs w:val="22"/>
                <w:lang w:val="en-US" w:eastAsia="zh-CN"/>
              </w:rPr>
              <w:t>RO</w:t>
            </w:r>
            <w:r>
              <w:rPr>
                <w:rFonts w:hint="default" w:ascii="Times New Roman" w:hAnsi="Times New Roman" w:eastAsia="宋体" w:cs="Times New Roman"/>
                <w:color w:val="auto"/>
                <w:sz w:val="24"/>
                <w:szCs w:val="22"/>
              </w:rPr>
              <w:t>原理是在高于溶液渗透压的作用下，依据其他物质不能透过半透膜而将这些物质和水分离开来。由于反渗透膜的膜孔径非常小（仅为10A左右），因此能够有效地去除水中的溶解盐类、胶体、微生物、有机物等（去除率高达97%-98%）。</w:t>
            </w:r>
          </w:p>
          <w:p w14:paraId="03C4891F">
            <w:pPr>
              <w:tabs>
                <w:tab w:val="left" w:pos="960"/>
              </w:tabs>
              <w:spacing w:before="72" w:beforeLines="30"/>
              <w:jc w:val="center"/>
              <w:rPr>
                <w:rFonts w:hint="eastAsia"/>
                <w:b/>
                <w:bCs/>
                <w:color w:val="auto"/>
                <w:spacing w:val="-4"/>
                <w:sz w:val="24"/>
                <w:szCs w:val="24"/>
              </w:rPr>
            </w:pPr>
            <w:r>
              <w:rPr>
                <w:rFonts w:hint="eastAsia"/>
                <w:b/>
                <w:bCs/>
                <w:color w:val="auto"/>
                <w:spacing w:val="-4"/>
                <w:sz w:val="21"/>
                <w:szCs w:val="21"/>
              </w:rPr>
              <w:t>表4</w:t>
            </w:r>
            <w:r>
              <w:rPr>
                <w:rFonts w:hint="eastAsia"/>
                <w:b/>
                <w:bCs/>
                <w:color w:val="auto"/>
                <w:spacing w:val="-4"/>
                <w:sz w:val="21"/>
                <w:szCs w:val="21"/>
                <w:lang w:val="en-US" w:eastAsia="zh-CN"/>
              </w:rPr>
              <w:t>.2</w:t>
            </w:r>
            <w:r>
              <w:rPr>
                <w:rFonts w:hint="eastAsia"/>
                <w:b/>
                <w:bCs/>
                <w:color w:val="auto"/>
                <w:spacing w:val="-4"/>
                <w:sz w:val="21"/>
                <w:szCs w:val="21"/>
              </w:rPr>
              <w:t>-</w:t>
            </w:r>
            <w:r>
              <w:rPr>
                <w:rFonts w:hint="eastAsia"/>
                <w:b/>
                <w:bCs/>
                <w:color w:val="auto"/>
                <w:spacing w:val="-4"/>
                <w:sz w:val="21"/>
                <w:szCs w:val="21"/>
                <w:lang w:val="en-US" w:eastAsia="zh-CN"/>
              </w:rPr>
              <w:t xml:space="preserve">2  </w:t>
            </w:r>
            <w:r>
              <w:rPr>
                <w:b/>
                <w:bCs/>
                <w:color w:val="auto"/>
                <w:spacing w:val="-4"/>
                <w:sz w:val="21"/>
                <w:szCs w:val="21"/>
              </w:rPr>
              <w:t xml:space="preserve"> </w:t>
            </w:r>
            <w:r>
              <w:rPr>
                <w:rFonts w:hint="eastAsia"/>
                <w:b/>
                <w:bCs/>
                <w:color w:val="auto"/>
                <w:spacing w:val="-4"/>
                <w:sz w:val="21"/>
                <w:szCs w:val="21"/>
              </w:rPr>
              <w:t>废水处理效果及出水浓度表  单位：mg/L，pH无量纲</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36"/>
              <w:gridCol w:w="1174"/>
              <w:gridCol w:w="1028"/>
              <w:gridCol w:w="1091"/>
              <w:gridCol w:w="1091"/>
              <w:gridCol w:w="1158"/>
              <w:gridCol w:w="1158"/>
            </w:tblGrid>
            <w:tr w14:paraId="5DE49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23" w:type="pct"/>
                  <w:gridSpan w:val="2"/>
                  <w:noWrap w:val="0"/>
                  <w:vAlign w:val="center"/>
                </w:tcPr>
                <w:p w14:paraId="358FA075">
                  <w:pPr>
                    <w:jc w:val="center"/>
                    <w:rPr>
                      <w:rFonts w:hint="eastAsia"/>
                      <w:b/>
                      <w:bCs/>
                      <w:color w:val="auto"/>
                      <w:szCs w:val="21"/>
                    </w:rPr>
                  </w:pPr>
                  <w:r>
                    <w:rPr>
                      <w:rFonts w:hint="eastAsia"/>
                      <w:b/>
                      <w:bCs/>
                      <w:color w:val="auto"/>
                      <w:szCs w:val="21"/>
                    </w:rPr>
                    <w:t>处理单元</w:t>
                  </w:r>
                </w:p>
              </w:tc>
              <w:tc>
                <w:tcPr>
                  <w:tcW w:w="609" w:type="pct"/>
                  <w:noWrap w:val="0"/>
                  <w:vAlign w:val="center"/>
                </w:tcPr>
                <w:p w14:paraId="46A334B7">
                  <w:pPr>
                    <w:jc w:val="center"/>
                    <w:rPr>
                      <w:rFonts w:hint="eastAsia"/>
                      <w:b/>
                      <w:bCs/>
                      <w:color w:val="auto"/>
                      <w:szCs w:val="21"/>
                    </w:rPr>
                  </w:pPr>
                  <w:r>
                    <w:rPr>
                      <w:rFonts w:hint="eastAsia"/>
                      <w:b/>
                      <w:bCs/>
                      <w:color w:val="auto"/>
                      <w:szCs w:val="21"/>
                    </w:rPr>
                    <w:t>pH</w:t>
                  </w:r>
                </w:p>
              </w:tc>
              <w:tc>
                <w:tcPr>
                  <w:tcW w:w="646" w:type="pct"/>
                  <w:noWrap w:val="0"/>
                  <w:vAlign w:val="center"/>
                </w:tcPr>
                <w:p w14:paraId="7B117E72">
                  <w:pPr>
                    <w:jc w:val="center"/>
                    <w:rPr>
                      <w:rFonts w:hint="eastAsia"/>
                      <w:b/>
                      <w:bCs/>
                      <w:color w:val="auto"/>
                      <w:szCs w:val="21"/>
                    </w:rPr>
                  </w:pPr>
                  <w:r>
                    <w:rPr>
                      <w:rFonts w:hint="eastAsia"/>
                      <w:b/>
                      <w:bCs/>
                      <w:color w:val="auto"/>
                      <w:szCs w:val="21"/>
                    </w:rPr>
                    <w:t>COD</w:t>
                  </w:r>
                </w:p>
              </w:tc>
              <w:tc>
                <w:tcPr>
                  <w:tcW w:w="646" w:type="pct"/>
                  <w:noWrap w:val="0"/>
                  <w:vAlign w:val="center"/>
                </w:tcPr>
                <w:p w14:paraId="691D6901">
                  <w:pPr>
                    <w:jc w:val="center"/>
                    <w:rPr>
                      <w:rFonts w:hint="eastAsia"/>
                      <w:b/>
                      <w:bCs/>
                      <w:color w:val="auto"/>
                      <w:szCs w:val="21"/>
                    </w:rPr>
                  </w:pPr>
                  <w:r>
                    <w:rPr>
                      <w:rFonts w:hint="eastAsia"/>
                      <w:b/>
                      <w:bCs/>
                      <w:color w:val="auto"/>
                      <w:szCs w:val="21"/>
                    </w:rPr>
                    <w:t>SS</w:t>
                  </w:r>
                </w:p>
              </w:tc>
              <w:tc>
                <w:tcPr>
                  <w:tcW w:w="686" w:type="pct"/>
                  <w:noWrap w:val="0"/>
                  <w:vAlign w:val="center"/>
                </w:tcPr>
                <w:p w14:paraId="0A42AC2D">
                  <w:pPr>
                    <w:jc w:val="center"/>
                    <w:rPr>
                      <w:rFonts w:hint="eastAsia"/>
                      <w:b/>
                      <w:bCs/>
                      <w:color w:val="auto"/>
                      <w:szCs w:val="21"/>
                    </w:rPr>
                  </w:pPr>
                  <w:r>
                    <w:rPr>
                      <w:rFonts w:hint="eastAsia"/>
                      <w:b/>
                      <w:bCs/>
                      <w:color w:val="auto"/>
                      <w:szCs w:val="21"/>
                    </w:rPr>
                    <w:t>石油类</w:t>
                  </w:r>
                </w:p>
              </w:tc>
              <w:tc>
                <w:tcPr>
                  <w:tcW w:w="686" w:type="pct"/>
                  <w:noWrap w:val="0"/>
                  <w:vAlign w:val="center"/>
                </w:tcPr>
                <w:p w14:paraId="6558B7E7">
                  <w:pPr>
                    <w:jc w:val="center"/>
                    <w:rPr>
                      <w:rFonts w:hint="eastAsia" w:eastAsia="宋体"/>
                      <w:b/>
                      <w:bCs/>
                      <w:color w:val="auto"/>
                      <w:szCs w:val="21"/>
                      <w:lang w:val="en-US" w:eastAsia="zh-CN"/>
                    </w:rPr>
                  </w:pPr>
                  <w:r>
                    <w:rPr>
                      <w:rFonts w:hint="eastAsia"/>
                      <w:b/>
                      <w:bCs/>
                      <w:color w:val="auto"/>
                      <w:szCs w:val="21"/>
                      <w:lang w:val="en-US" w:eastAsia="zh-CN"/>
                    </w:rPr>
                    <w:t>LAS</w:t>
                  </w:r>
                </w:p>
              </w:tc>
            </w:tr>
            <w:tr w14:paraId="79B6E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restart"/>
                  <w:noWrap w:val="0"/>
                  <w:vAlign w:val="center"/>
                </w:tcPr>
                <w:p w14:paraId="4F2C4C29">
                  <w:pPr>
                    <w:jc w:val="center"/>
                    <w:rPr>
                      <w:rFonts w:hint="default"/>
                      <w:color w:val="auto"/>
                      <w:szCs w:val="21"/>
                      <w:lang w:val="en-US"/>
                    </w:rPr>
                  </w:pPr>
                  <w:r>
                    <w:rPr>
                      <w:rFonts w:hint="eastAsia"/>
                      <w:color w:val="auto"/>
                      <w:szCs w:val="21"/>
                      <w:lang w:val="en-US" w:eastAsia="zh-CN"/>
                    </w:rPr>
                    <w:t>精密过滤</w:t>
                  </w:r>
                </w:p>
              </w:tc>
              <w:tc>
                <w:tcPr>
                  <w:tcW w:w="694" w:type="pct"/>
                  <w:noWrap w:val="0"/>
                  <w:vAlign w:val="center"/>
                </w:tcPr>
                <w:p w14:paraId="086FE5E7">
                  <w:pPr>
                    <w:jc w:val="center"/>
                    <w:rPr>
                      <w:rFonts w:hint="eastAsia"/>
                      <w:color w:val="auto"/>
                      <w:szCs w:val="21"/>
                    </w:rPr>
                  </w:pPr>
                  <w:r>
                    <w:rPr>
                      <w:rFonts w:hint="eastAsia"/>
                      <w:color w:val="auto"/>
                      <w:szCs w:val="21"/>
                    </w:rPr>
                    <w:t>进水</w:t>
                  </w:r>
                </w:p>
              </w:tc>
              <w:tc>
                <w:tcPr>
                  <w:tcW w:w="609" w:type="pct"/>
                  <w:noWrap w:val="0"/>
                  <w:vAlign w:val="center"/>
                </w:tcPr>
                <w:p w14:paraId="3350354A">
                  <w:pPr>
                    <w:jc w:val="center"/>
                    <w:rPr>
                      <w:rFonts w:hint="eastAsia"/>
                      <w:color w:val="auto"/>
                      <w:szCs w:val="21"/>
                    </w:rPr>
                  </w:pPr>
                  <w:r>
                    <w:rPr>
                      <w:rFonts w:hint="eastAsia"/>
                      <w:color w:val="auto"/>
                      <w:szCs w:val="21"/>
                    </w:rPr>
                    <w:t>7~9</w:t>
                  </w:r>
                </w:p>
              </w:tc>
              <w:tc>
                <w:tcPr>
                  <w:tcW w:w="646" w:type="pct"/>
                  <w:noWrap w:val="0"/>
                  <w:vAlign w:val="center"/>
                </w:tcPr>
                <w:p w14:paraId="3A06D350">
                  <w:pPr>
                    <w:jc w:val="center"/>
                    <w:rPr>
                      <w:rFonts w:hint="default" w:eastAsia="宋体"/>
                      <w:color w:val="auto"/>
                      <w:szCs w:val="21"/>
                      <w:lang w:val="en-US" w:eastAsia="zh-CN"/>
                    </w:rPr>
                  </w:pPr>
                  <w:r>
                    <w:rPr>
                      <w:rFonts w:hint="eastAsia"/>
                      <w:color w:val="auto"/>
                      <w:szCs w:val="21"/>
                      <w:lang w:val="en-US" w:eastAsia="zh-CN"/>
                    </w:rPr>
                    <w:t>600</w:t>
                  </w:r>
                </w:p>
              </w:tc>
              <w:tc>
                <w:tcPr>
                  <w:tcW w:w="646" w:type="pct"/>
                  <w:noWrap w:val="0"/>
                  <w:vAlign w:val="center"/>
                </w:tcPr>
                <w:p w14:paraId="3A7002E6">
                  <w:pPr>
                    <w:jc w:val="center"/>
                    <w:rPr>
                      <w:rFonts w:hint="default" w:eastAsia="宋体"/>
                      <w:color w:val="auto"/>
                      <w:szCs w:val="21"/>
                      <w:lang w:val="en-US" w:eastAsia="zh-CN"/>
                    </w:rPr>
                  </w:pPr>
                  <w:r>
                    <w:rPr>
                      <w:rFonts w:hint="eastAsia"/>
                      <w:color w:val="auto"/>
                      <w:szCs w:val="21"/>
                      <w:lang w:val="en-US" w:eastAsia="zh-CN"/>
                    </w:rPr>
                    <w:t>300</w:t>
                  </w:r>
                </w:p>
              </w:tc>
              <w:tc>
                <w:tcPr>
                  <w:tcW w:w="686" w:type="pct"/>
                  <w:noWrap w:val="0"/>
                  <w:vAlign w:val="center"/>
                </w:tcPr>
                <w:p w14:paraId="5C73B97A">
                  <w:pPr>
                    <w:jc w:val="center"/>
                    <w:rPr>
                      <w:rFonts w:hint="default" w:eastAsia="宋体"/>
                      <w:color w:val="auto"/>
                      <w:szCs w:val="21"/>
                      <w:lang w:val="en-US" w:eastAsia="zh-CN"/>
                    </w:rPr>
                  </w:pPr>
                  <w:r>
                    <w:rPr>
                      <w:rFonts w:hint="eastAsia"/>
                      <w:color w:val="auto"/>
                      <w:szCs w:val="21"/>
                      <w:lang w:val="en-US" w:eastAsia="zh-CN"/>
                    </w:rPr>
                    <w:t>50</w:t>
                  </w:r>
                </w:p>
              </w:tc>
              <w:tc>
                <w:tcPr>
                  <w:tcW w:w="686" w:type="pct"/>
                  <w:noWrap w:val="0"/>
                  <w:vAlign w:val="center"/>
                </w:tcPr>
                <w:p w14:paraId="2A58E6D5">
                  <w:pPr>
                    <w:jc w:val="center"/>
                    <w:rPr>
                      <w:rFonts w:hint="default" w:eastAsia="宋体"/>
                      <w:color w:val="auto"/>
                      <w:szCs w:val="21"/>
                      <w:lang w:val="en-US" w:eastAsia="zh-CN"/>
                    </w:rPr>
                  </w:pPr>
                  <w:r>
                    <w:rPr>
                      <w:rFonts w:hint="eastAsia"/>
                      <w:color w:val="auto"/>
                      <w:szCs w:val="21"/>
                      <w:lang w:val="en-US" w:eastAsia="zh-CN"/>
                    </w:rPr>
                    <w:t>30</w:t>
                  </w:r>
                </w:p>
              </w:tc>
            </w:tr>
            <w:tr w14:paraId="04B76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08FD73B2">
                  <w:pPr>
                    <w:jc w:val="center"/>
                    <w:rPr>
                      <w:rFonts w:hint="eastAsia"/>
                      <w:color w:val="auto"/>
                      <w:szCs w:val="21"/>
                    </w:rPr>
                  </w:pPr>
                </w:p>
              </w:tc>
              <w:tc>
                <w:tcPr>
                  <w:tcW w:w="694" w:type="pct"/>
                  <w:noWrap w:val="0"/>
                  <w:vAlign w:val="center"/>
                </w:tcPr>
                <w:p w14:paraId="4FB615BB">
                  <w:pPr>
                    <w:jc w:val="center"/>
                    <w:rPr>
                      <w:rFonts w:hint="eastAsia"/>
                      <w:color w:val="auto"/>
                      <w:szCs w:val="21"/>
                    </w:rPr>
                  </w:pPr>
                  <w:r>
                    <w:rPr>
                      <w:rFonts w:hint="eastAsia"/>
                      <w:color w:val="auto"/>
                      <w:szCs w:val="21"/>
                    </w:rPr>
                    <w:t>出水</w:t>
                  </w:r>
                </w:p>
              </w:tc>
              <w:tc>
                <w:tcPr>
                  <w:tcW w:w="609" w:type="pct"/>
                  <w:noWrap w:val="0"/>
                  <w:vAlign w:val="center"/>
                </w:tcPr>
                <w:p w14:paraId="50208AFF">
                  <w:pPr>
                    <w:jc w:val="center"/>
                    <w:rPr>
                      <w:rFonts w:hint="eastAsia"/>
                      <w:color w:val="auto"/>
                      <w:szCs w:val="21"/>
                    </w:rPr>
                  </w:pPr>
                  <w:r>
                    <w:rPr>
                      <w:rFonts w:hint="eastAsia"/>
                      <w:color w:val="auto"/>
                      <w:szCs w:val="21"/>
                    </w:rPr>
                    <w:t>7~9</w:t>
                  </w:r>
                </w:p>
              </w:tc>
              <w:tc>
                <w:tcPr>
                  <w:tcW w:w="646" w:type="pct"/>
                  <w:noWrap w:val="0"/>
                  <w:vAlign w:val="center"/>
                </w:tcPr>
                <w:p w14:paraId="5927A428">
                  <w:pPr>
                    <w:jc w:val="center"/>
                    <w:rPr>
                      <w:rFonts w:hint="default"/>
                      <w:color w:val="auto"/>
                      <w:szCs w:val="21"/>
                      <w:lang w:val="en-US"/>
                    </w:rPr>
                  </w:pPr>
                  <w:r>
                    <w:rPr>
                      <w:rFonts w:hint="eastAsia"/>
                      <w:color w:val="auto"/>
                      <w:szCs w:val="21"/>
                      <w:lang w:val="en-US" w:eastAsia="zh-CN"/>
                    </w:rPr>
                    <w:t>500</w:t>
                  </w:r>
                </w:p>
              </w:tc>
              <w:tc>
                <w:tcPr>
                  <w:tcW w:w="646" w:type="pct"/>
                  <w:noWrap w:val="0"/>
                  <w:vAlign w:val="center"/>
                </w:tcPr>
                <w:p w14:paraId="5966A98D">
                  <w:pPr>
                    <w:jc w:val="center"/>
                    <w:rPr>
                      <w:rFonts w:hint="default"/>
                      <w:color w:val="auto"/>
                      <w:szCs w:val="21"/>
                      <w:lang w:val="en-US"/>
                    </w:rPr>
                  </w:pPr>
                  <w:r>
                    <w:rPr>
                      <w:rFonts w:hint="eastAsia"/>
                      <w:color w:val="auto"/>
                      <w:szCs w:val="21"/>
                      <w:lang w:val="en-US" w:eastAsia="zh-CN"/>
                    </w:rPr>
                    <w:t>60</w:t>
                  </w:r>
                </w:p>
              </w:tc>
              <w:tc>
                <w:tcPr>
                  <w:tcW w:w="686" w:type="pct"/>
                  <w:noWrap w:val="0"/>
                  <w:vAlign w:val="center"/>
                </w:tcPr>
                <w:p w14:paraId="61C8F858">
                  <w:pPr>
                    <w:jc w:val="center"/>
                    <w:rPr>
                      <w:rFonts w:hint="default" w:eastAsia="宋体"/>
                      <w:color w:val="auto"/>
                      <w:szCs w:val="21"/>
                      <w:lang w:val="en-US" w:eastAsia="zh-CN"/>
                    </w:rPr>
                  </w:pPr>
                  <w:r>
                    <w:rPr>
                      <w:rFonts w:hint="eastAsia"/>
                      <w:color w:val="auto"/>
                      <w:szCs w:val="21"/>
                      <w:lang w:val="en-US" w:eastAsia="zh-CN"/>
                    </w:rPr>
                    <w:t>20</w:t>
                  </w:r>
                </w:p>
              </w:tc>
              <w:tc>
                <w:tcPr>
                  <w:tcW w:w="686" w:type="pct"/>
                  <w:noWrap w:val="0"/>
                  <w:vAlign w:val="center"/>
                </w:tcPr>
                <w:p w14:paraId="256FE05D">
                  <w:pPr>
                    <w:jc w:val="center"/>
                    <w:rPr>
                      <w:rFonts w:hint="default" w:eastAsia="宋体"/>
                      <w:color w:val="auto"/>
                      <w:szCs w:val="21"/>
                      <w:lang w:val="en-US" w:eastAsia="zh-CN"/>
                    </w:rPr>
                  </w:pPr>
                  <w:r>
                    <w:rPr>
                      <w:rFonts w:hint="eastAsia"/>
                      <w:color w:val="auto"/>
                      <w:szCs w:val="21"/>
                      <w:lang w:val="en-US" w:eastAsia="zh-CN"/>
                    </w:rPr>
                    <w:t>15</w:t>
                  </w:r>
                </w:p>
              </w:tc>
            </w:tr>
            <w:tr w14:paraId="5FE5E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26C5BC43">
                  <w:pPr>
                    <w:jc w:val="center"/>
                    <w:rPr>
                      <w:rFonts w:hint="eastAsia"/>
                      <w:color w:val="auto"/>
                      <w:szCs w:val="21"/>
                    </w:rPr>
                  </w:pPr>
                </w:p>
              </w:tc>
              <w:tc>
                <w:tcPr>
                  <w:tcW w:w="694" w:type="pct"/>
                  <w:noWrap w:val="0"/>
                  <w:vAlign w:val="center"/>
                </w:tcPr>
                <w:p w14:paraId="63775ED8">
                  <w:pPr>
                    <w:jc w:val="center"/>
                    <w:rPr>
                      <w:rFonts w:hint="eastAsia"/>
                      <w:color w:val="auto"/>
                      <w:szCs w:val="21"/>
                    </w:rPr>
                  </w:pPr>
                  <w:r>
                    <w:rPr>
                      <w:rFonts w:hint="eastAsia"/>
                      <w:color w:val="auto"/>
                      <w:szCs w:val="21"/>
                    </w:rPr>
                    <w:t>去除率</w:t>
                  </w:r>
                </w:p>
              </w:tc>
              <w:tc>
                <w:tcPr>
                  <w:tcW w:w="609" w:type="pct"/>
                  <w:noWrap w:val="0"/>
                  <w:vAlign w:val="center"/>
                </w:tcPr>
                <w:p w14:paraId="1344044A">
                  <w:pPr>
                    <w:jc w:val="center"/>
                    <w:rPr>
                      <w:rFonts w:hint="eastAsia"/>
                      <w:color w:val="auto"/>
                      <w:szCs w:val="21"/>
                    </w:rPr>
                  </w:pPr>
                  <w:r>
                    <w:rPr>
                      <w:rFonts w:hint="eastAsia"/>
                      <w:color w:val="auto"/>
                      <w:szCs w:val="21"/>
                    </w:rPr>
                    <w:t>/</w:t>
                  </w:r>
                </w:p>
              </w:tc>
              <w:tc>
                <w:tcPr>
                  <w:tcW w:w="646" w:type="pct"/>
                  <w:noWrap w:val="0"/>
                  <w:vAlign w:val="center"/>
                </w:tcPr>
                <w:p w14:paraId="014843AA">
                  <w:pPr>
                    <w:jc w:val="center"/>
                    <w:rPr>
                      <w:rFonts w:hint="eastAsia"/>
                      <w:color w:val="auto"/>
                      <w:szCs w:val="21"/>
                    </w:rPr>
                  </w:pPr>
                  <w:r>
                    <w:rPr>
                      <w:rFonts w:hint="eastAsia"/>
                      <w:color w:val="auto"/>
                      <w:szCs w:val="21"/>
                      <w:lang w:val="en-US" w:eastAsia="zh-CN"/>
                    </w:rPr>
                    <w:t>16.7</w:t>
                  </w:r>
                  <w:r>
                    <w:rPr>
                      <w:rFonts w:hint="eastAsia"/>
                      <w:color w:val="auto"/>
                      <w:szCs w:val="21"/>
                    </w:rPr>
                    <w:t>%</w:t>
                  </w:r>
                </w:p>
              </w:tc>
              <w:tc>
                <w:tcPr>
                  <w:tcW w:w="646" w:type="pct"/>
                  <w:noWrap w:val="0"/>
                  <w:vAlign w:val="center"/>
                </w:tcPr>
                <w:p w14:paraId="2B293ECE">
                  <w:pPr>
                    <w:jc w:val="center"/>
                    <w:rPr>
                      <w:rFonts w:hint="eastAsia"/>
                      <w:color w:val="auto"/>
                      <w:szCs w:val="21"/>
                    </w:rPr>
                  </w:pPr>
                  <w:r>
                    <w:rPr>
                      <w:rFonts w:hint="eastAsia"/>
                      <w:color w:val="auto"/>
                      <w:szCs w:val="21"/>
                      <w:lang w:val="en-US" w:eastAsia="zh-CN"/>
                    </w:rPr>
                    <w:t>80</w:t>
                  </w:r>
                  <w:r>
                    <w:rPr>
                      <w:rFonts w:hint="eastAsia"/>
                      <w:color w:val="auto"/>
                      <w:szCs w:val="21"/>
                    </w:rPr>
                    <w:t>%</w:t>
                  </w:r>
                </w:p>
              </w:tc>
              <w:tc>
                <w:tcPr>
                  <w:tcW w:w="686" w:type="pct"/>
                  <w:noWrap w:val="0"/>
                  <w:vAlign w:val="center"/>
                </w:tcPr>
                <w:p w14:paraId="54427115">
                  <w:pPr>
                    <w:jc w:val="center"/>
                    <w:rPr>
                      <w:rFonts w:hint="eastAsia"/>
                      <w:color w:val="auto"/>
                      <w:szCs w:val="21"/>
                    </w:rPr>
                  </w:pPr>
                  <w:r>
                    <w:rPr>
                      <w:rFonts w:hint="eastAsia"/>
                      <w:color w:val="auto"/>
                      <w:szCs w:val="21"/>
                      <w:lang w:val="en-US" w:eastAsia="zh-CN"/>
                    </w:rPr>
                    <w:t>60</w:t>
                  </w:r>
                  <w:r>
                    <w:rPr>
                      <w:rFonts w:hint="eastAsia"/>
                      <w:color w:val="auto"/>
                      <w:szCs w:val="21"/>
                    </w:rPr>
                    <w:t>%</w:t>
                  </w:r>
                </w:p>
              </w:tc>
              <w:tc>
                <w:tcPr>
                  <w:tcW w:w="686" w:type="pct"/>
                  <w:noWrap w:val="0"/>
                  <w:vAlign w:val="center"/>
                </w:tcPr>
                <w:p w14:paraId="3308B729">
                  <w:pPr>
                    <w:jc w:val="center"/>
                    <w:rPr>
                      <w:rFonts w:hint="default" w:eastAsia="宋体"/>
                      <w:color w:val="auto"/>
                      <w:szCs w:val="21"/>
                      <w:lang w:val="en-US" w:eastAsia="zh-CN"/>
                    </w:rPr>
                  </w:pPr>
                  <w:r>
                    <w:rPr>
                      <w:rFonts w:hint="eastAsia"/>
                      <w:color w:val="auto"/>
                      <w:szCs w:val="21"/>
                      <w:lang w:val="en-US" w:eastAsia="zh-CN"/>
                    </w:rPr>
                    <w:t>50%</w:t>
                  </w:r>
                </w:p>
              </w:tc>
            </w:tr>
            <w:tr w14:paraId="000FC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restart"/>
                  <w:noWrap w:val="0"/>
                  <w:vAlign w:val="center"/>
                </w:tcPr>
                <w:p w14:paraId="7A76E620">
                  <w:pPr>
                    <w:jc w:val="center"/>
                    <w:rPr>
                      <w:rFonts w:hint="default" w:eastAsia="宋体"/>
                      <w:color w:val="auto"/>
                      <w:szCs w:val="21"/>
                      <w:lang w:val="en-US" w:eastAsia="zh-CN"/>
                    </w:rPr>
                  </w:pPr>
                  <w:r>
                    <w:rPr>
                      <w:rFonts w:hint="eastAsia"/>
                      <w:color w:val="auto"/>
                      <w:szCs w:val="21"/>
                      <w:lang w:val="en-US" w:eastAsia="zh-CN"/>
                    </w:rPr>
                    <w:t>活性炭吸附</w:t>
                  </w:r>
                </w:p>
              </w:tc>
              <w:tc>
                <w:tcPr>
                  <w:tcW w:w="694" w:type="pct"/>
                  <w:noWrap w:val="0"/>
                  <w:vAlign w:val="center"/>
                </w:tcPr>
                <w:p w14:paraId="533A0B68">
                  <w:pPr>
                    <w:jc w:val="center"/>
                    <w:rPr>
                      <w:rFonts w:hint="eastAsia"/>
                      <w:color w:val="auto"/>
                      <w:szCs w:val="21"/>
                    </w:rPr>
                  </w:pPr>
                  <w:r>
                    <w:rPr>
                      <w:rFonts w:hint="eastAsia"/>
                      <w:color w:val="auto"/>
                      <w:szCs w:val="21"/>
                    </w:rPr>
                    <w:t>进水</w:t>
                  </w:r>
                </w:p>
              </w:tc>
              <w:tc>
                <w:tcPr>
                  <w:tcW w:w="609" w:type="pct"/>
                  <w:noWrap w:val="0"/>
                  <w:vAlign w:val="center"/>
                </w:tcPr>
                <w:p w14:paraId="6E6E7B01">
                  <w:pPr>
                    <w:jc w:val="center"/>
                    <w:rPr>
                      <w:rFonts w:hint="eastAsia"/>
                      <w:color w:val="auto"/>
                      <w:szCs w:val="21"/>
                    </w:rPr>
                  </w:pPr>
                  <w:r>
                    <w:rPr>
                      <w:rFonts w:hint="eastAsia"/>
                      <w:color w:val="auto"/>
                      <w:szCs w:val="21"/>
                    </w:rPr>
                    <w:t>7~9</w:t>
                  </w:r>
                </w:p>
              </w:tc>
              <w:tc>
                <w:tcPr>
                  <w:tcW w:w="646" w:type="pct"/>
                  <w:noWrap w:val="0"/>
                  <w:vAlign w:val="center"/>
                </w:tcPr>
                <w:p w14:paraId="5533AE3F">
                  <w:pPr>
                    <w:jc w:val="center"/>
                    <w:rPr>
                      <w:rFonts w:hint="default"/>
                      <w:color w:val="auto"/>
                      <w:szCs w:val="21"/>
                      <w:lang w:val="en-US"/>
                    </w:rPr>
                  </w:pPr>
                  <w:r>
                    <w:rPr>
                      <w:rFonts w:hint="eastAsia"/>
                      <w:color w:val="auto"/>
                      <w:szCs w:val="21"/>
                      <w:lang w:val="en-US" w:eastAsia="zh-CN"/>
                    </w:rPr>
                    <w:t>500</w:t>
                  </w:r>
                </w:p>
              </w:tc>
              <w:tc>
                <w:tcPr>
                  <w:tcW w:w="646" w:type="pct"/>
                  <w:noWrap w:val="0"/>
                  <w:vAlign w:val="center"/>
                </w:tcPr>
                <w:p w14:paraId="1BECE4F1">
                  <w:pPr>
                    <w:jc w:val="center"/>
                    <w:rPr>
                      <w:rFonts w:hint="eastAsia"/>
                      <w:color w:val="auto"/>
                      <w:szCs w:val="21"/>
                    </w:rPr>
                  </w:pPr>
                  <w:r>
                    <w:rPr>
                      <w:rFonts w:hint="eastAsia"/>
                      <w:color w:val="auto"/>
                      <w:szCs w:val="21"/>
                      <w:lang w:val="en-US" w:eastAsia="zh-CN"/>
                    </w:rPr>
                    <w:t>60</w:t>
                  </w:r>
                </w:p>
              </w:tc>
              <w:tc>
                <w:tcPr>
                  <w:tcW w:w="686" w:type="pct"/>
                  <w:noWrap w:val="0"/>
                  <w:vAlign w:val="center"/>
                </w:tcPr>
                <w:p w14:paraId="20221394">
                  <w:pPr>
                    <w:jc w:val="center"/>
                    <w:rPr>
                      <w:rFonts w:hint="default"/>
                      <w:color w:val="auto"/>
                      <w:szCs w:val="21"/>
                      <w:lang w:val="en-US"/>
                    </w:rPr>
                  </w:pPr>
                  <w:r>
                    <w:rPr>
                      <w:rFonts w:hint="eastAsia"/>
                      <w:color w:val="auto"/>
                      <w:szCs w:val="21"/>
                      <w:lang w:val="en-US" w:eastAsia="zh-CN"/>
                    </w:rPr>
                    <w:t>20</w:t>
                  </w:r>
                </w:p>
              </w:tc>
              <w:tc>
                <w:tcPr>
                  <w:tcW w:w="686" w:type="pct"/>
                  <w:noWrap w:val="0"/>
                  <w:vAlign w:val="center"/>
                </w:tcPr>
                <w:p w14:paraId="2A1DB968">
                  <w:pPr>
                    <w:jc w:val="center"/>
                    <w:rPr>
                      <w:rFonts w:hint="default"/>
                      <w:color w:val="auto"/>
                      <w:szCs w:val="21"/>
                      <w:lang w:val="en-US"/>
                    </w:rPr>
                  </w:pPr>
                  <w:r>
                    <w:rPr>
                      <w:rFonts w:hint="eastAsia"/>
                      <w:color w:val="auto"/>
                      <w:szCs w:val="21"/>
                      <w:lang w:val="en-US" w:eastAsia="zh-CN"/>
                    </w:rPr>
                    <w:t>15</w:t>
                  </w:r>
                </w:p>
              </w:tc>
            </w:tr>
            <w:tr w14:paraId="5677D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723E3389">
                  <w:pPr>
                    <w:jc w:val="center"/>
                    <w:rPr>
                      <w:rFonts w:hint="eastAsia"/>
                      <w:color w:val="auto"/>
                      <w:szCs w:val="21"/>
                    </w:rPr>
                  </w:pPr>
                </w:p>
              </w:tc>
              <w:tc>
                <w:tcPr>
                  <w:tcW w:w="694" w:type="pct"/>
                  <w:noWrap w:val="0"/>
                  <w:vAlign w:val="center"/>
                </w:tcPr>
                <w:p w14:paraId="5539915D">
                  <w:pPr>
                    <w:jc w:val="center"/>
                    <w:rPr>
                      <w:rFonts w:hint="eastAsia"/>
                      <w:color w:val="auto"/>
                      <w:szCs w:val="21"/>
                    </w:rPr>
                  </w:pPr>
                  <w:r>
                    <w:rPr>
                      <w:rFonts w:hint="eastAsia"/>
                      <w:color w:val="auto"/>
                      <w:szCs w:val="21"/>
                    </w:rPr>
                    <w:t>出水</w:t>
                  </w:r>
                </w:p>
              </w:tc>
              <w:tc>
                <w:tcPr>
                  <w:tcW w:w="609" w:type="pct"/>
                  <w:noWrap w:val="0"/>
                  <w:vAlign w:val="center"/>
                </w:tcPr>
                <w:p w14:paraId="51C4B861">
                  <w:pPr>
                    <w:jc w:val="center"/>
                    <w:rPr>
                      <w:rFonts w:hint="eastAsia"/>
                      <w:color w:val="auto"/>
                      <w:szCs w:val="21"/>
                    </w:rPr>
                  </w:pPr>
                  <w:r>
                    <w:rPr>
                      <w:rFonts w:hint="eastAsia"/>
                      <w:color w:val="auto"/>
                      <w:szCs w:val="21"/>
                    </w:rPr>
                    <w:t>7~9</w:t>
                  </w:r>
                </w:p>
              </w:tc>
              <w:tc>
                <w:tcPr>
                  <w:tcW w:w="646" w:type="pct"/>
                  <w:noWrap w:val="0"/>
                  <w:vAlign w:val="center"/>
                </w:tcPr>
                <w:p w14:paraId="1A721846">
                  <w:pPr>
                    <w:jc w:val="center"/>
                    <w:rPr>
                      <w:rFonts w:hint="default" w:eastAsia="宋体"/>
                      <w:color w:val="auto"/>
                      <w:szCs w:val="21"/>
                      <w:lang w:val="en-US" w:eastAsia="zh-CN"/>
                    </w:rPr>
                  </w:pPr>
                  <w:r>
                    <w:rPr>
                      <w:rFonts w:hint="eastAsia"/>
                      <w:color w:val="auto"/>
                      <w:szCs w:val="21"/>
                      <w:lang w:val="en-US" w:eastAsia="zh-CN"/>
                    </w:rPr>
                    <w:t>400</w:t>
                  </w:r>
                </w:p>
              </w:tc>
              <w:tc>
                <w:tcPr>
                  <w:tcW w:w="646" w:type="pct"/>
                  <w:noWrap w:val="0"/>
                  <w:vAlign w:val="center"/>
                </w:tcPr>
                <w:p w14:paraId="05E6ADF3">
                  <w:pPr>
                    <w:jc w:val="center"/>
                    <w:rPr>
                      <w:rFonts w:hint="default" w:eastAsia="宋体"/>
                      <w:color w:val="auto"/>
                      <w:szCs w:val="21"/>
                      <w:lang w:val="en-US" w:eastAsia="zh-CN"/>
                    </w:rPr>
                  </w:pPr>
                  <w:r>
                    <w:rPr>
                      <w:rFonts w:hint="eastAsia"/>
                      <w:color w:val="auto"/>
                      <w:szCs w:val="21"/>
                      <w:lang w:val="en-US" w:eastAsia="zh-CN"/>
                    </w:rPr>
                    <w:t>50</w:t>
                  </w:r>
                </w:p>
              </w:tc>
              <w:tc>
                <w:tcPr>
                  <w:tcW w:w="686" w:type="pct"/>
                  <w:noWrap w:val="0"/>
                  <w:vAlign w:val="center"/>
                </w:tcPr>
                <w:p w14:paraId="26E9C990">
                  <w:pPr>
                    <w:jc w:val="center"/>
                    <w:rPr>
                      <w:rFonts w:hint="default" w:eastAsia="宋体"/>
                      <w:color w:val="auto"/>
                      <w:szCs w:val="21"/>
                      <w:lang w:val="en-US" w:eastAsia="zh-CN"/>
                    </w:rPr>
                  </w:pPr>
                  <w:r>
                    <w:rPr>
                      <w:rFonts w:hint="eastAsia"/>
                      <w:color w:val="auto"/>
                      <w:szCs w:val="21"/>
                      <w:lang w:val="en-US" w:eastAsia="zh-CN"/>
                    </w:rPr>
                    <w:t>10</w:t>
                  </w:r>
                </w:p>
              </w:tc>
              <w:tc>
                <w:tcPr>
                  <w:tcW w:w="686" w:type="pct"/>
                  <w:noWrap w:val="0"/>
                  <w:vAlign w:val="center"/>
                </w:tcPr>
                <w:p w14:paraId="33FC9FD9">
                  <w:pPr>
                    <w:jc w:val="center"/>
                    <w:rPr>
                      <w:rFonts w:hint="default" w:eastAsia="宋体"/>
                      <w:color w:val="auto"/>
                      <w:szCs w:val="21"/>
                      <w:lang w:val="en-US" w:eastAsia="zh-CN"/>
                    </w:rPr>
                  </w:pPr>
                  <w:r>
                    <w:rPr>
                      <w:rFonts w:hint="eastAsia"/>
                      <w:color w:val="auto"/>
                      <w:szCs w:val="21"/>
                      <w:lang w:val="en-US" w:eastAsia="zh-CN"/>
                    </w:rPr>
                    <w:t>7.5</w:t>
                  </w:r>
                </w:p>
              </w:tc>
            </w:tr>
            <w:tr w14:paraId="3D6B7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07F19A49">
                  <w:pPr>
                    <w:jc w:val="center"/>
                    <w:rPr>
                      <w:rFonts w:hint="eastAsia"/>
                      <w:color w:val="auto"/>
                      <w:szCs w:val="21"/>
                    </w:rPr>
                  </w:pPr>
                </w:p>
              </w:tc>
              <w:tc>
                <w:tcPr>
                  <w:tcW w:w="694" w:type="pct"/>
                  <w:noWrap w:val="0"/>
                  <w:vAlign w:val="center"/>
                </w:tcPr>
                <w:p w14:paraId="25E666AD">
                  <w:pPr>
                    <w:jc w:val="center"/>
                    <w:rPr>
                      <w:rFonts w:hint="eastAsia"/>
                      <w:color w:val="auto"/>
                      <w:szCs w:val="21"/>
                    </w:rPr>
                  </w:pPr>
                  <w:r>
                    <w:rPr>
                      <w:rFonts w:hint="eastAsia"/>
                      <w:color w:val="auto"/>
                      <w:szCs w:val="21"/>
                    </w:rPr>
                    <w:t>去除率</w:t>
                  </w:r>
                </w:p>
              </w:tc>
              <w:tc>
                <w:tcPr>
                  <w:tcW w:w="609" w:type="pct"/>
                  <w:noWrap w:val="0"/>
                  <w:vAlign w:val="center"/>
                </w:tcPr>
                <w:p w14:paraId="360E9994">
                  <w:pPr>
                    <w:jc w:val="center"/>
                    <w:rPr>
                      <w:rFonts w:hint="eastAsia"/>
                      <w:color w:val="auto"/>
                      <w:szCs w:val="21"/>
                    </w:rPr>
                  </w:pPr>
                  <w:r>
                    <w:rPr>
                      <w:rFonts w:hint="eastAsia"/>
                      <w:color w:val="auto"/>
                      <w:szCs w:val="21"/>
                    </w:rPr>
                    <w:t>/</w:t>
                  </w:r>
                </w:p>
              </w:tc>
              <w:tc>
                <w:tcPr>
                  <w:tcW w:w="646" w:type="pct"/>
                  <w:noWrap w:val="0"/>
                  <w:vAlign w:val="center"/>
                </w:tcPr>
                <w:p w14:paraId="607B5C91">
                  <w:pPr>
                    <w:jc w:val="center"/>
                    <w:rPr>
                      <w:rFonts w:hint="default" w:eastAsia="宋体"/>
                      <w:color w:val="auto"/>
                      <w:szCs w:val="21"/>
                      <w:lang w:val="en-US" w:eastAsia="zh-CN"/>
                    </w:rPr>
                  </w:pPr>
                  <w:r>
                    <w:rPr>
                      <w:rFonts w:hint="eastAsia"/>
                      <w:color w:val="auto"/>
                      <w:szCs w:val="21"/>
                      <w:lang w:val="en-US" w:eastAsia="zh-CN"/>
                    </w:rPr>
                    <w:t>20%</w:t>
                  </w:r>
                </w:p>
              </w:tc>
              <w:tc>
                <w:tcPr>
                  <w:tcW w:w="646" w:type="pct"/>
                  <w:noWrap w:val="0"/>
                  <w:vAlign w:val="center"/>
                </w:tcPr>
                <w:p w14:paraId="320E8A62">
                  <w:pPr>
                    <w:jc w:val="center"/>
                    <w:rPr>
                      <w:rFonts w:hint="default" w:eastAsia="宋体"/>
                      <w:color w:val="auto"/>
                      <w:szCs w:val="21"/>
                      <w:lang w:val="en-US" w:eastAsia="zh-CN"/>
                    </w:rPr>
                  </w:pPr>
                  <w:r>
                    <w:rPr>
                      <w:rFonts w:hint="eastAsia"/>
                      <w:color w:val="auto"/>
                      <w:szCs w:val="21"/>
                      <w:lang w:val="en-US" w:eastAsia="zh-CN"/>
                    </w:rPr>
                    <w:t>16.7%</w:t>
                  </w:r>
                </w:p>
              </w:tc>
              <w:tc>
                <w:tcPr>
                  <w:tcW w:w="686" w:type="pct"/>
                  <w:noWrap w:val="0"/>
                  <w:vAlign w:val="center"/>
                </w:tcPr>
                <w:p w14:paraId="46F8477F">
                  <w:pPr>
                    <w:jc w:val="center"/>
                    <w:rPr>
                      <w:rFonts w:hint="default" w:eastAsia="宋体"/>
                      <w:color w:val="auto"/>
                      <w:szCs w:val="21"/>
                      <w:lang w:val="en-US" w:eastAsia="zh-CN"/>
                    </w:rPr>
                  </w:pPr>
                  <w:r>
                    <w:rPr>
                      <w:rFonts w:hint="eastAsia"/>
                      <w:color w:val="auto"/>
                      <w:szCs w:val="21"/>
                      <w:lang w:val="en-US" w:eastAsia="zh-CN"/>
                    </w:rPr>
                    <w:t>50%</w:t>
                  </w:r>
                </w:p>
              </w:tc>
              <w:tc>
                <w:tcPr>
                  <w:tcW w:w="686" w:type="pct"/>
                  <w:noWrap w:val="0"/>
                  <w:vAlign w:val="center"/>
                </w:tcPr>
                <w:p w14:paraId="55587102">
                  <w:pPr>
                    <w:jc w:val="center"/>
                    <w:rPr>
                      <w:rFonts w:hint="default" w:eastAsia="宋体"/>
                      <w:color w:val="auto"/>
                      <w:szCs w:val="21"/>
                      <w:lang w:val="en-US" w:eastAsia="zh-CN"/>
                    </w:rPr>
                  </w:pPr>
                  <w:r>
                    <w:rPr>
                      <w:rFonts w:hint="eastAsia"/>
                      <w:color w:val="auto"/>
                      <w:szCs w:val="21"/>
                      <w:lang w:val="en-US" w:eastAsia="zh-CN"/>
                    </w:rPr>
                    <w:t>50%</w:t>
                  </w:r>
                </w:p>
              </w:tc>
            </w:tr>
            <w:tr w14:paraId="1A76C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restart"/>
                  <w:noWrap w:val="0"/>
                  <w:vAlign w:val="center"/>
                </w:tcPr>
                <w:p w14:paraId="365FBDC4">
                  <w:pPr>
                    <w:jc w:val="center"/>
                    <w:rPr>
                      <w:rFonts w:hint="default" w:eastAsia="宋体"/>
                      <w:color w:val="auto"/>
                      <w:szCs w:val="21"/>
                      <w:lang w:val="en-US" w:eastAsia="zh-CN"/>
                    </w:rPr>
                  </w:pPr>
                  <w:r>
                    <w:rPr>
                      <w:rFonts w:hint="eastAsia"/>
                      <w:color w:val="auto"/>
                      <w:szCs w:val="21"/>
                      <w:lang w:val="en-US" w:eastAsia="zh-CN"/>
                    </w:rPr>
                    <w:t>石英砂过滤</w:t>
                  </w:r>
                </w:p>
              </w:tc>
              <w:tc>
                <w:tcPr>
                  <w:tcW w:w="694" w:type="pct"/>
                  <w:noWrap w:val="0"/>
                  <w:vAlign w:val="center"/>
                </w:tcPr>
                <w:p w14:paraId="50ED36E9">
                  <w:pPr>
                    <w:jc w:val="center"/>
                    <w:rPr>
                      <w:rFonts w:hint="eastAsia"/>
                      <w:color w:val="auto"/>
                      <w:szCs w:val="21"/>
                    </w:rPr>
                  </w:pPr>
                  <w:r>
                    <w:rPr>
                      <w:rFonts w:hint="eastAsia"/>
                      <w:color w:val="auto"/>
                      <w:szCs w:val="21"/>
                    </w:rPr>
                    <w:t>进水</w:t>
                  </w:r>
                </w:p>
              </w:tc>
              <w:tc>
                <w:tcPr>
                  <w:tcW w:w="609" w:type="pct"/>
                  <w:noWrap w:val="0"/>
                  <w:vAlign w:val="center"/>
                </w:tcPr>
                <w:p w14:paraId="0E4AC243">
                  <w:pPr>
                    <w:jc w:val="center"/>
                    <w:rPr>
                      <w:rFonts w:hint="eastAsia"/>
                      <w:color w:val="auto"/>
                      <w:szCs w:val="21"/>
                    </w:rPr>
                  </w:pPr>
                  <w:r>
                    <w:rPr>
                      <w:rFonts w:hint="eastAsia"/>
                      <w:color w:val="auto"/>
                      <w:szCs w:val="21"/>
                    </w:rPr>
                    <w:t>7~9</w:t>
                  </w:r>
                </w:p>
              </w:tc>
              <w:tc>
                <w:tcPr>
                  <w:tcW w:w="646" w:type="pct"/>
                  <w:noWrap w:val="0"/>
                  <w:vAlign w:val="center"/>
                </w:tcPr>
                <w:p w14:paraId="42757FB2">
                  <w:pPr>
                    <w:jc w:val="center"/>
                    <w:rPr>
                      <w:rFonts w:hint="default"/>
                      <w:color w:val="auto"/>
                      <w:szCs w:val="21"/>
                      <w:lang w:val="en-US"/>
                    </w:rPr>
                  </w:pPr>
                  <w:r>
                    <w:rPr>
                      <w:rFonts w:hint="eastAsia"/>
                      <w:color w:val="auto"/>
                      <w:szCs w:val="21"/>
                      <w:lang w:val="en-US" w:eastAsia="zh-CN"/>
                    </w:rPr>
                    <w:t>400</w:t>
                  </w:r>
                </w:p>
              </w:tc>
              <w:tc>
                <w:tcPr>
                  <w:tcW w:w="646" w:type="pct"/>
                  <w:noWrap w:val="0"/>
                  <w:vAlign w:val="center"/>
                </w:tcPr>
                <w:p w14:paraId="2B179F18">
                  <w:pPr>
                    <w:jc w:val="center"/>
                    <w:rPr>
                      <w:rFonts w:hint="default"/>
                      <w:color w:val="auto"/>
                      <w:szCs w:val="21"/>
                      <w:lang w:val="en-US"/>
                    </w:rPr>
                  </w:pPr>
                  <w:r>
                    <w:rPr>
                      <w:rFonts w:hint="eastAsia"/>
                      <w:color w:val="auto"/>
                      <w:szCs w:val="21"/>
                      <w:lang w:val="en-US" w:eastAsia="zh-CN"/>
                    </w:rPr>
                    <w:t>50</w:t>
                  </w:r>
                </w:p>
              </w:tc>
              <w:tc>
                <w:tcPr>
                  <w:tcW w:w="1120" w:type="dxa"/>
                  <w:noWrap w:val="0"/>
                  <w:vAlign w:val="center"/>
                </w:tcPr>
                <w:p w14:paraId="5D73B462">
                  <w:pPr>
                    <w:jc w:val="center"/>
                    <w:rPr>
                      <w:rFonts w:hint="default"/>
                      <w:color w:val="auto"/>
                      <w:szCs w:val="21"/>
                      <w:lang w:val="en-US"/>
                    </w:rPr>
                  </w:pPr>
                  <w:r>
                    <w:rPr>
                      <w:rFonts w:hint="eastAsia"/>
                      <w:color w:val="auto"/>
                      <w:szCs w:val="21"/>
                      <w:lang w:val="en-US" w:eastAsia="zh-CN"/>
                    </w:rPr>
                    <w:t>10</w:t>
                  </w:r>
                </w:p>
              </w:tc>
              <w:tc>
                <w:tcPr>
                  <w:tcW w:w="1120" w:type="dxa"/>
                  <w:noWrap w:val="0"/>
                  <w:vAlign w:val="center"/>
                </w:tcPr>
                <w:p w14:paraId="31E24D51">
                  <w:pPr>
                    <w:jc w:val="center"/>
                    <w:rPr>
                      <w:rFonts w:hint="default"/>
                      <w:color w:val="auto"/>
                      <w:szCs w:val="21"/>
                      <w:lang w:val="en-US"/>
                    </w:rPr>
                  </w:pPr>
                  <w:r>
                    <w:rPr>
                      <w:rFonts w:hint="eastAsia"/>
                      <w:color w:val="auto"/>
                      <w:szCs w:val="21"/>
                      <w:lang w:val="en-US" w:eastAsia="zh-CN"/>
                    </w:rPr>
                    <w:t>7.5</w:t>
                  </w:r>
                </w:p>
              </w:tc>
            </w:tr>
            <w:tr w14:paraId="07C9E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55878E3E">
                  <w:pPr>
                    <w:jc w:val="center"/>
                    <w:rPr>
                      <w:rFonts w:hint="eastAsia"/>
                      <w:color w:val="auto"/>
                      <w:szCs w:val="21"/>
                    </w:rPr>
                  </w:pPr>
                </w:p>
              </w:tc>
              <w:tc>
                <w:tcPr>
                  <w:tcW w:w="694" w:type="pct"/>
                  <w:noWrap w:val="0"/>
                  <w:vAlign w:val="center"/>
                </w:tcPr>
                <w:p w14:paraId="72B5E971">
                  <w:pPr>
                    <w:jc w:val="center"/>
                    <w:rPr>
                      <w:rFonts w:hint="eastAsia"/>
                      <w:color w:val="auto"/>
                      <w:szCs w:val="21"/>
                    </w:rPr>
                  </w:pPr>
                  <w:r>
                    <w:rPr>
                      <w:rFonts w:hint="eastAsia"/>
                      <w:color w:val="auto"/>
                      <w:szCs w:val="21"/>
                    </w:rPr>
                    <w:t>出水</w:t>
                  </w:r>
                </w:p>
              </w:tc>
              <w:tc>
                <w:tcPr>
                  <w:tcW w:w="609" w:type="pct"/>
                  <w:noWrap w:val="0"/>
                  <w:vAlign w:val="center"/>
                </w:tcPr>
                <w:p w14:paraId="1FB667C6">
                  <w:pPr>
                    <w:jc w:val="center"/>
                    <w:rPr>
                      <w:rFonts w:hint="eastAsia"/>
                      <w:color w:val="auto"/>
                      <w:szCs w:val="21"/>
                    </w:rPr>
                  </w:pPr>
                  <w:r>
                    <w:rPr>
                      <w:rFonts w:hint="eastAsia"/>
                      <w:color w:val="auto"/>
                      <w:szCs w:val="21"/>
                    </w:rPr>
                    <w:t>7~9</w:t>
                  </w:r>
                </w:p>
              </w:tc>
              <w:tc>
                <w:tcPr>
                  <w:tcW w:w="1055" w:type="dxa"/>
                  <w:noWrap w:val="0"/>
                  <w:vAlign w:val="center"/>
                </w:tcPr>
                <w:p w14:paraId="1FD2AF6C">
                  <w:pPr>
                    <w:jc w:val="center"/>
                    <w:rPr>
                      <w:rFonts w:hint="default" w:eastAsia="宋体"/>
                      <w:color w:val="auto"/>
                      <w:szCs w:val="21"/>
                      <w:lang w:val="en-US" w:eastAsia="zh-CN"/>
                    </w:rPr>
                  </w:pPr>
                  <w:r>
                    <w:rPr>
                      <w:rFonts w:hint="eastAsia"/>
                      <w:color w:val="auto"/>
                      <w:szCs w:val="21"/>
                      <w:lang w:val="en-US" w:eastAsia="zh-CN"/>
                    </w:rPr>
                    <w:t>300</w:t>
                  </w:r>
                </w:p>
              </w:tc>
              <w:tc>
                <w:tcPr>
                  <w:tcW w:w="1055" w:type="dxa"/>
                  <w:noWrap w:val="0"/>
                  <w:vAlign w:val="center"/>
                </w:tcPr>
                <w:p w14:paraId="784E976A">
                  <w:pPr>
                    <w:jc w:val="center"/>
                    <w:rPr>
                      <w:rFonts w:hint="default" w:eastAsia="宋体"/>
                      <w:color w:val="auto"/>
                      <w:szCs w:val="21"/>
                      <w:lang w:val="en-US" w:eastAsia="zh-CN"/>
                    </w:rPr>
                  </w:pPr>
                  <w:r>
                    <w:rPr>
                      <w:rFonts w:hint="eastAsia"/>
                      <w:color w:val="auto"/>
                      <w:szCs w:val="21"/>
                      <w:lang w:val="en-US" w:eastAsia="zh-CN"/>
                    </w:rPr>
                    <w:t>20</w:t>
                  </w:r>
                </w:p>
              </w:tc>
              <w:tc>
                <w:tcPr>
                  <w:tcW w:w="1120" w:type="dxa"/>
                  <w:noWrap w:val="0"/>
                  <w:vAlign w:val="center"/>
                </w:tcPr>
                <w:p w14:paraId="3AFDEA68">
                  <w:pPr>
                    <w:jc w:val="center"/>
                    <w:rPr>
                      <w:rFonts w:hint="default" w:eastAsia="宋体"/>
                      <w:color w:val="auto"/>
                      <w:szCs w:val="21"/>
                      <w:lang w:val="en-US" w:eastAsia="zh-CN"/>
                    </w:rPr>
                  </w:pPr>
                  <w:r>
                    <w:rPr>
                      <w:rFonts w:hint="eastAsia"/>
                      <w:color w:val="auto"/>
                      <w:szCs w:val="21"/>
                      <w:lang w:val="en-US" w:eastAsia="zh-CN"/>
                    </w:rPr>
                    <w:t>5</w:t>
                  </w:r>
                </w:p>
              </w:tc>
              <w:tc>
                <w:tcPr>
                  <w:tcW w:w="1120" w:type="dxa"/>
                  <w:noWrap w:val="0"/>
                  <w:vAlign w:val="center"/>
                </w:tcPr>
                <w:p w14:paraId="2E2D1FAF">
                  <w:pPr>
                    <w:jc w:val="center"/>
                    <w:rPr>
                      <w:rFonts w:hint="default" w:eastAsia="宋体"/>
                      <w:color w:val="auto"/>
                      <w:szCs w:val="21"/>
                      <w:lang w:val="en-US" w:eastAsia="zh-CN"/>
                    </w:rPr>
                  </w:pPr>
                  <w:r>
                    <w:rPr>
                      <w:rFonts w:hint="eastAsia"/>
                      <w:color w:val="auto"/>
                      <w:szCs w:val="21"/>
                      <w:lang w:val="en-US" w:eastAsia="zh-CN"/>
                    </w:rPr>
                    <w:t>4</w:t>
                  </w:r>
                </w:p>
              </w:tc>
            </w:tr>
            <w:tr w14:paraId="07634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2B4EFD00">
                  <w:pPr>
                    <w:jc w:val="center"/>
                    <w:rPr>
                      <w:rFonts w:hint="eastAsia"/>
                      <w:color w:val="auto"/>
                      <w:szCs w:val="21"/>
                    </w:rPr>
                  </w:pPr>
                </w:p>
              </w:tc>
              <w:tc>
                <w:tcPr>
                  <w:tcW w:w="694" w:type="pct"/>
                  <w:noWrap w:val="0"/>
                  <w:vAlign w:val="center"/>
                </w:tcPr>
                <w:p w14:paraId="2BD58D6B">
                  <w:pPr>
                    <w:jc w:val="center"/>
                    <w:rPr>
                      <w:rFonts w:hint="eastAsia"/>
                      <w:color w:val="auto"/>
                      <w:szCs w:val="21"/>
                    </w:rPr>
                  </w:pPr>
                  <w:r>
                    <w:rPr>
                      <w:rFonts w:hint="eastAsia"/>
                      <w:color w:val="auto"/>
                      <w:szCs w:val="21"/>
                    </w:rPr>
                    <w:t>去除率</w:t>
                  </w:r>
                </w:p>
              </w:tc>
              <w:tc>
                <w:tcPr>
                  <w:tcW w:w="609" w:type="pct"/>
                  <w:noWrap w:val="0"/>
                  <w:vAlign w:val="center"/>
                </w:tcPr>
                <w:p w14:paraId="45FA6212">
                  <w:pPr>
                    <w:jc w:val="center"/>
                    <w:rPr>
                      <w:rFonts w:hint="eastAsia"/>
                      <w:color w:val="auto"/>
                      <w:szCs w:val="21"/>
                    </w:rPr>
                  </w:pPr>
                  <w:r>
                    <w:rPr>
                      <w:rFonts w:hint="eastAsia"/>
                      <w:color w:val="auto"/>
                      <w:szCs w:val="21"/>
                    </w:rPr>
                    <w:t>/</w:t>
                  </w:r>
                </w:p>
              </w:tc>
              <w:tc>
                <w:tcPr>
                  <w:tcW w:w="646" w:type="pct"/>
                  <w:noWrap w:val="0"/>
                  <w:vAlign w:val="center"/>
                </w:tcPr>
                <w:p w14:paraId="1019902D">
                  <w:pPr>
                    <w:jc w:val="center"/>
                    <w:rPr>
                      <w:rFonts w:hint="default" w:eastAsia="宋体"/>
                      <w:color w:val="auto"/>
                      <w:szCs w:val="21"/>
                      <w:lang w:val="en-US" w:eastAsia="zh-CN"/>
                    </w:rPr>
                  </w:pPr>
                  <w:r>
                    <w:rPr>
                      <w:rFonts w:hint="eastAsia"/>
                      <w:color w:val="auto"/>
                      <w:szCs w:val="21"/>
                      <w:lang w:val="en-US" w:eastAsia="zh-CN"/>
                    </w:rPr>
                    <w:t>25%</w:t>
                  </w:r>
                </w:p>
              </w:tc>
              <w:tc>
                <w:tcPr>
                  <w:tcW w:w="646" w:type="pct"/>
                  <w:noWrap w:val="0"/>
                  <w:vAlign w:val="center"/>
                </w:tcPr>
                <w:p w14:paraId="70B974A9">
                  <w:pPr>
                    <w:jc w:val="center"/>
                    <w:rPr>
                      <w:rFonts w:hint="default" w:eastAsia="宋体"/>
                      <w:color w:val="auto"/>
                      <w:szCs w:val="21"/>
                      <w:lang w:val="en-US" w:eastAsia="zh-CN"/>
                    </w:rPr>
                  </w:pPr>
                  <w:r>
                    <w:rPr>
                      <w:rFonts w:hint="eastAsia"/>
                      <w:color w:val="auto"/>
                      <w:szCs w:val="21"/>
                      <w:lang w:val="en-US" w:eastAsia="zh-CN"/>
                    </w:rPr>
                    <w:t>60%</w:t>
                  </w:r>
                </w:p>
              </w:tc>
              <w:tc>
                <w:tcPr>
                  <w:tcW w:w="686" w:type="pct"/>
                  <w:noWrap w:val="0"/>
                  <w:vAlign w:val="center"/>
                </w:tcPr>
                <w:p w14:paraId="5E23B13C">
                  <w:pPr>
                    <w:jc w:val="center"/>
                    <w:rPr>
                      <w:rFonts w:hint="default" w:eastAsia="宋体"/>
                      <w:color w:val="auto"/>
                      <w:szCs w:val="21"/>
                      <w:lang w:val="en-US" w:eastAsia="zh-CN"/>
                    </w:rPr>
                  </w:pPr>
                  <w:r>
                    <w:rPr>
                      <w:rFonts w:hint="eastAsia"/>
                      <w:color w:val="auto"/>
                      <w:szCs w:val="21"/>
                      <w:lang w:val="en-US" w:eastAsia="zh-CN"/>
                    </w:rPr>
                    <w:t>50%</w:t>
                  </w:r>
                </w:p>
              </w:tc>
              <w:tc>
                <w:tcPr>
                  <w:tcW w:w="686" w:type="pct"/>
                  <w:noWrap w:val="0"/>
                  <w:vAlign w:val="center"/>
                </w:tcPr>
                <w:p w14:paraId="0AC09AC4">
                  <w:pPr>
                    <w:jc w:val="center"/>
                    <w:rPr>
                      <w:rFonts w:hint="default" w:eastAsia="宋体"/>
                      <w:color w:val="auto"/>
                      <w:szCs w:val="21"/>
                      <w:lang w:val="en-US" w:eastAsia="zh-CN"/>
                    </w:rPr>
                  </w:pPr>
                  <w:r>
                    <w:rPr>
                      <w:rFonts w:hint="eastAsia"/>
                      <w:color w:val="auto"/>
                      <w:szCs w:val="21"/>
                      <w:lang w:val="en-US" w:eastAsia="zh-CN"/>
                    </w:rPr>
                    <w:t>47%</w:t>
                  </w:r>
                </w:p>
              </w:tc>
            </w:tr>
            <w:tr w14:paraId="40410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restart"/>
                  <w:noWrap w:val="0"/>
                  <w:vAlign w:val="center"/>
                </w:tcPr>
                <w:p w14:paraId="316C9185">
                  <w:pPr>
                    <w:jc w:val="center"/>
                    <w:rPr>
                      <w:rFonts w:hint="default" w:eastAsia="宋体"/>
                      <w:color w:val="auto"/>
                      <w:szCs w:val="21"/>
                      <w:lang w:val="en-US" w:eastAsia="zh-CN"/>
                    </w:rPr>
                  </w:pPr>
                  <w:r>
                    <w:rPr>
                      <w:rFonts w:hint="eastAsia"/>
                      <w:color w:val="auto"/>
                      <w:szCs w:val="21"/>
                      <w:lang w:val="en-US" w:eastAsia="zh-CN"/>
                    </w:rPr>
                    <w:t>RO反渗透</w:t>
                  </w:r>
                </w:p>
              </w:tc>
              <w:tc>
                <w:tcPr>
                  <w:tcW w:w="694" w:type="pct"/>
                  <w:noWrap w:val="0"/>
                  <w:vAlign w:val="center"/>
                </w:tcPr>
                <w:p w14:paraId="17CFD080">
                  <w:pPr>
                    <w:jc w:val="center"/>
                    <w:rPr>
                      <w:rFonts w:hint="eastAsia"/>
                      <w:color w:val="auto"/>
                      <w:szCs w:val="21"/>
                    </w:rPr>
                  </w:pPr>
                  <w:r>
                    <w:rPr>
                      <w:rFonts w:hint="eastAsia"/>
                      <w:color w:val="auto"/>
                      <w:szCs w:val="21"/>
                    </w:rPr>
                    <w:t>进水</w:t>
                  </w:r>
                </w:p>
              </w:tc>
              <w:tc>
                <w:tcPr>
                  <w:tcW w:w="609" w:type="pct"/>
                  <w:noWrap w:val="0"/>
                  <w:vAlign w:val="center"/>
                </w:tcPr>
                <w:p w14:paraId="27812AF4">
                  <w:pPr>
                    <w:jc w:val="center"/>
                    <w:rPr>
                      <w:rFonts w:hint="eastAsia"/>
                      <w:color w:val="auto"/>
                      <w:szCs w:val="21"/>
                    </w:rPr>
                  </w:pPr>
                  <w:r>
                    <w:rPr>
                      <w:rFonts w:hint="eastAsia"/>
                      <w:color w:val="auto"/>
                      <w:szCs w:val="21"/>
                    </w:rPr>
                    <w:t>7~9</w:t>
                  </w:r>
                </w:p>
              </w:tc>
              <w:tc>
                <w:tcPr>
                  <w:tcW w:w="1055" w:type="dxa"/>
                  <w:noWrap w:val="0"/>
                  <w:vAlign w:val="center"/>
                </w:tcPr>
                <w:p w14:paraId="560D30B1">
                  <w:pPr>
                    <w:jc w:val="center"/>
                    <w:rPr>
                      <w:rFonts w:hint="default" w:eastAsia="宋体"/>
                      <w:color w:val="auto"/>
                      <w:szCs w:val="21"/>
                      <w:lang w:val="en-US" w:eastAsia="zh-CN"/>
                    </w:rPr>
                  </w:pPr>
                  <w:r>
                    <w:rPr>
                      <w:rFonts w:hint="eastAsia"/>
                      <w:color w:val="auto"/>
                      <w:szCs w:val="21"/>
                      <w:lang w:val="en-US" w:eastAsia="zh-CN"/>
                    </w:rPr>
                    <w:t>300</w:t>
                  </w:r>
                </w:p>
              </w:tc>
              <w:tc>
                <w:tcPr>
                  <w:tcW w:w="1055" w:type="dxa"/>
                  <w:noWrap w:val="0"/>
                  <w:vAlign w:val="center"/>
                </w:tcPr>
                <w:p w14:paraId="549A2E4A">
                  <w:pPr>
                    <w:jc w:val="center"/>
                    <w:rPr>
                      <w:rFonts w:hint="default" w:eastAsia="宋体"/>
                      <w:color w:val="auto"/>
                      <w:szCs w:val="21"/>
                      <w:lang w:val="en-US" w:eastAsia="zh-CN"/>
                    </w:rPr>
                  </w:pPr>
                  <w:r>
                    <w:rPr>
                      <w:rFonts w:hint="eastAsia"/>
                      <w:color w:val="auto"/>
                      <w:szCs w:val="21"/>
                      <w:lang w:val="en-US" w:eastAsia="zh-CN"/>
                    </w:rPr>
                    <w:t>20</w:t>
                  </w:r>
                </w:p>
              </w:tc>
              <w:tc>
                <w:tcPr>
                  <w:tcW w:w="1120" w:type="dxa"/>
                  <w:noWrap w:val="0"/>
                  <w:vAlign w:val="center"/>
                </w:tcPr>
                <w:p w14:paraId="36F4E0A5">
                  <w:pPr>
                    <w:jc w:val="center"/>
                    <w:rPr>
                      <w:rFonts w:hint="default" w:eastAsia="宋体"/>
                      <w:color w:val="auto"/>
                      <w:szCs w:val="21"/>
                      <w:lang w:val="en-US" w:eastAsia="zh-CN"/>
                    </w:rPr>
                  </w:pPr>
                  <w:r>
                    <w:rPr>
                      <w:rFonts w:hint="eastAsia"/>
                      <w:color w:val="auto"/>
                      <w:szCs w:val="21"/>
                      <w:lang w:val="en-US" w:eastAsia="zh-CN"/>
                    </w:rPr>
                    <w:t>5</w:t>
                  </w:r>
                </w:p>
              </w:tc>
              <w:tc>
                <w:tcPr>
                  <w:tcW w:w="1120" w:type="dxa"/>
                  <w:noWrap w:val="0"/>
                  <w:vAlign w:val="center"/>
                </w:tcPr>
                <w:p w14:paraId="26D217F2">
                  <w:pPr>
                    <w:jc w:val="center"/>
                    <w:rPr>
                      <w:rFonts w:hint="default" w:eastAsia="宋体"/>
                      <w:color w:val="auto"/>
                      <w:szCs w:val="21"/>
                      <w:lang w:val="en-US" w:eastAsia="zh-CN"/>
                    </w:rPr>
                  </w:pPr>
                  <w:r>
                    <w:rPr>
                      <w:rFonts w:hint="eastAsia"/>
                      <w:color w:val="auto"/>
                      <w:szCs w:val="21"/>
                      <w:lang w:val="en-US" w:eastAsia="zh-CN"/>
                    </w:rPr>
                    <w:t>4</w:t>
                  </w:r>
                </w:p>
              </w:tc>
            </w:tr>
            <w:tr w14:paraId="5C03B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23C88875">
                  <w:pPr>
                    <w:jc w:val="center"/>
                    <w:rPr>
                      <w:rFonts w:hint="eastAsia"/>
                      <w:color w:val="auto"/>
                      <w:szCs w:val="21"/>
                    </w:rPr>
                  </w:pPr>
                </w:p>
              </w:tc>
              <w:tc>
                <w:tcPr>
                  <w:tcW w:w="694" w:type="pct"/>
                  <w:noWrap w:val="0"/>
                  <w:vAlign w:val="center"/>
                </w:tcPr>
                <w:p w14:paraId="57B05571">
                  <w:pPr>
                    <w:jc w:val="center"/>
                    <w:rPr>
                      <w:rFonts w:hint="eastAsia"/>
                      <w:color w:val="auto"/>
                      <w:szCs w:val="21"/>
                    </w:rPr>
                  </w:pPr>
                  <w:r>
                    <w:rPr>
                      <w:rFonts w:hint="eastAsia"/>
                      <w:color w:val="auto"/>
                      <w:szCs w:val="21"/>
                    </w:rPr>
                    <w:t>出水</w:t>
                  </w:r>
                </w:p>
              </w:tc>
              <w:tc>
                <w:tcPr>
                  <w:tcW w:w="609" w:type="pct"/>
                  <w:noWrap w:val="0"/>
                  <w:vAlign w:val="center"/>
                </w:tcPr>
                <w:p w14:paraId="717164AA">
                  <w:pPr>
                    <w:jc w:val="center"/>
                    <w:rPr>
                      <w:rFonts w:hint="eastAsia"/>
                      <w:color w:val="auto"/>
                      <w:szCs w:val="21"/>
                    </w:rPr>
                  </w:pPr>
                  <w:r>
                    <w:rPr>
                      <w:rFonts w:hint="eastAsia"/>
                      <w:color w:val="auto"/>
                      <w:szCs w:val="21"/>
                    </w:rPr>
                    <w:t>7~9</w:t>
                  </w:r>
                </w:p>
              </w:tc>
              <w:tc>
                <w:tcPr>
                  <w:tcW w:w="646" w:type="pct"/>
                  <w:noWrap w:val="0"/>
                  <w:vAlign w:val="center"/>
                </w:tcPr>
                <w:p w14:paraId="4A831EC3">
                  <w:pPr>
                    <w:jc w:val="center"/>
                    <w:rPr>
                      <w:rFonts w:hint="default" w:eastAsia="宋体"/>
                      <w:color w:val="auto"/>
                      <w:szCs w:val="21"/>
                      <w:lang w:val="en-US" w:eastAsia="zh-CN"/>
                    </w:rPr>
                  </w:pPr>
                  <w:r>
                    <w:rPr>
                      <w:rFonts w:hint="eastAsia"/>
                      <w:color w:val="auto"/>
                      <w:szCs w:val="21"/>
                      <w:lang w:val="en-US" w:eastAsia="zh-CN"/>
                    </w:rPr>
                    <w:t>30</w:t>
                  </w:r>
                </w:p>
              </w:tc>
              <w:tc>
                <w:tcPr>
                  <w:tcW w:w="646" w:type="pct"/>
                  <w:noWrap w:val="0"/>
                  <w:vAlign w:val="center"/>
                </w:tcPr>
                <w:p w14:paraId="2AD8C029">
                  <w:pPr>
                    <w:jc w:val="center"/>
                    <w:rPr>
                      <w:rFonts w:hint="default" w:eastAsia="宋体"/>
                      <w:color w:val="auto"/>
                      <w:szCs w:val="21"/>
                      <w:lang w:val="en-US" w:eastAsia="zh-CN"/>
                    </w:rPr>
                  </w:pPr>
                  <w:r>
                    <w:rPr>
                      <w:rFonts w:hint="eastAsia"/>
                      <w:color w:val="auto"/>
                      <w:szCs w:val="21"/>
                      <w:lang w:val="en-US" w:eastAsia="zh-CN"/>
                    </w:rPr>
                    <w:t>5</w:t>
                  </w:r>
                </w:p>
              </w:tc>
              <w:tc>
                <w:tcPr>
                  <w:tcW w:w="686" w:type="pct"/>
                  <w:noWrap w:val="0"/>
                  <w:vAlign w:val="center"/>
                </w:tcPr>
                <w:p w14:paraId="515AE25E">
                  <w:pPr>
                    <w:jc w:val="center"/>
                    <w:rPr>
                      <w:rFonts w:hint="default" w:eastAsia="宋体"/>
                      <w:color w:val="auto"/>
                      <w:szCs w:val="21"/>
                      <w:lang w:val="en-US" w:eastAsia="zh-CN"/>
                    </w:rPr>
                  </w:pPr>
                  <w:r>
                    <w:rPr>
                      <w:rFonts w:hint="eastAsia"/>
                      <w:color w:val="auto"/>
                      <w:szCs w:val="21"/>
                      <w:lang w:val="en-US" w:eastAsia="zh-CN"/>
                    </w:rPr>
                    <w:t>0.4</w:t>
                  </w:r>
                </w:p>
              </w:tc>
              <w:tc>
                <w:tcPr>
                  <w:tcW w:w="686" w:type="pct"/>
                  <w:noWrap w:val="0"/>
                  <w:vAlign w:val="center"/>
                </w:tcPr>
                <w:p w14:paraId="1ED6B56C">
                  <w:pPr>
                    <w:jc w:val="center"/>
                    <w:rPr>
                      <w:rFonts w:hint="default" w:eastAsia="宋体"/>
                      <w:color w:val="auto"/>
                      <w:szCs w:val="21"/>
                      <w:lang w:val="en-US" w:eastAsia="zh-CN"/>
                    </w:rPr>
                  </w:pPr>
                  <w:r>
                    <w:rPr>
                      <w:rFonts w:hint="eastAsia"/>
                      <w:color w:val="auto"/>
                      <w:szCs w:val="21"/>
                      <w:lang w:val="en-US" w:eastAsia="zh-CN"/>
                    </w:rPr>
                    <w:t>0.4</w:t>
                  </w:r>
                </w:p>
              </w:tc>
            </w:tr>
            <w:tr w14:paraId="6E849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28" w:type="pct"/>
                  <w:vMerge w:val="continue"/>
                  <w:noWrap w:val="0"/>
                  <w:vAlign w:val="center"/>
                </w:tcPr>
                <w:p w14:paraId="1BF05CE7">
                  <w:pPr>
                    <w:jc w:val="center"/>
                    <w:rPr>
                      <w:rFonts w:hint="eastAsia"/>
                      <w:color w:val="auto"/>
                      <w:szCs w:val="21"/>
                    </w:rPr>
                  </w:pPr>
                </w:p>
              </w:tc>
              <w:tc>
                <w:tcPr>
                  <w:tcW w:w="694" w:type="pct"/>
                  <w:noWrap w:val="0"/>
                  <w:vAlign w:val="center"/>
                </w:tcPr>
                <w:p w14:paraId="686A826F">
                  <w:pPr>
                    <w:jc w:val="center"/>
                    <w:rPr>
                      <w:rFonts w:hint="eastAsia"/>
                      <w:color w:val="auto"/>
                      <w:szCs w:val="21"/>
                    </w:rPr>
                  </w:pPr>
                  <w:r>
                    <w:rPr>
                      <w:rFonts w:hint="eastAsia"/>
                      <w:color w:val="auto"/>
                      <w:szCs w:val="21"/>
                    </w:rPr>
                    <w:t>去除率</w:t>
                  </w:r>
                </w:p>
              </w:tc>
              <w:tc>
                <w:tcPr>
                  <w:tcW w:w="609" w:type="pct"/>
                  <w:noWrap w:val="0"/>
                  <w:vAlign w:val="center"/>
                </w:tcPr>
                <w:p w14:paraId="5155FACA">
                  <w:pPr>
                    <w:jc w:val="center"/>
                    <w:rPr>
                      <w:rFonts w:hint="eastAsia"/>
                      <w:color w:val="auto"/>
                      <w:szCs w:val="21"/>
                    </w:rPr>
                  </w:pPr>
                  <w:r>
                    <w:rPr>
                      <w:rFonts w:hint="eastAsia"/>
                      <w:color w:val="auto"/>
                      <w:szCs w:val="21"/>
                    </w:rPr>
                    <w:t>/</w:t>
                  </w:r>
                </w:p>
              </w:tc>
              <w:tc>
                <w:tcPr>
                  <w:tcW w:w="646" w:type="pct"/>
                  <w:noWrap w:val="0"/>
                  <w:vAlign w:val="center"/>
                </w:tcPr>
                <w:p w14:paraId="72236A7D">
                  <w:pPr>
                    <w:jc w:val="center"/>
                    <w:rPr>
                      <w:rFonts w:hint="default" w:eastAsia="宋体"/>
                      <w:color w:val="auto"/>
                      <w:szCs w:val="21"/>
                      <w:lang w:val="en-US" w:eastAsia="zh-CN"/>
                    </w:rPr>
                  </w:pPr>
                  <w:r>
                    <w:rPr>
                      <w:rFonts w:hint="eastAsia"/>
                      <w:color w:val="auto"/>
                      <w:szCs w:val="21"/>
                      <w:lang w:val="en-US" w:eastAsia="zh-CN"/>
                    </w:rPr>
                    <w:t>90%</w:t>
                  </w:r>
                </w:p>
              </w:tc>
              <w:tc>
                <w:tcPr>
                  <w:tcW w:w="646" w:type="pct"/>
                  <w:noWrap w:val="0"/>
                  <w:vAlign w:val="center"/>
                </w:tcPr>
                <w:p w14:paraId="00B7E7C6">
                  <w:pPr>
                    <w:jc w:val="center"/>
                    <w:rPr>
                      <w:rFonts w:hint="default" w:eastAsia="宋体"/>
                      <w:color w:val="auto"/>
                      <w:szCs w:val="21"/>
                      <w:lang w:val="en-US" w:eastAsia="zh-CN"/>
                    </w:rPr>
                  </w:pPr>
                  <w:r>
                    <w:rPr>
                      <w:rFonts w:hint="eastAsia"/>
                      <w:color w:val="auto"/>
                      <w:szCs w:val="21"/>
                      <w:lang w:val="en-US" w:eastAsia="zh-CN"/>
                    </w:rPr>
                    <w:t>75%</w:t>
                  </w:r>
                </w:p>
              </w:tc>
              <w:tc>
                <w:tcPr>
                  <w:tcW w:w="686" w:type="pct"/>
                  <w:noWrap w:val="0"/>
                  <w:vAlign w:val="center"/>
                </w:tcPr>
                <w:p w14:paraId="06E865FC">
                  <w:pPr>
                    <w:jc w:val="center"/>
                    <w:rPr>
                      <w:rFonts w:hint="default" w:eastAsia="宋体"/>
                      <w:color w:val="auto"/>
                      <w:szCs w:val="21"/>
                      <w:lang w:val="en-US" w:eastAsia="zh-CN"/>
                    </w:rPr>
                  </w:pPr>
                  <w:r>
                    <w:rPr>
                      <w:rFonts w:hint="eastAsia"/>
                      <w:color w:val="auto"/>
                      <w:szCs w:val="21"/>
                      <w:lang w:val="en-US" w:eastAsia="zh-CN"/>
                    </w:rPr>
                    <w:t>90%</w:t>
                  </w:r>
                </w:p>
              </w:tc>
              <w:tc>
                <w:tcPr>
                  <w:tcW w:w="686" w:type="pct"/>
                  <w:noWrap w:val="0"/>
                  <w:vAlign w:val="center"/>
                </w:tcPr>
                <w:p w14:paraId="6F04EA66">
                  <w:pPr>
                    <w:jc w:val="center"/>
                    <w:rPr>
                      <w:rFonts w:hint="default" w:eastAsia="宋体"/>
                      <w:color w:val="auto"/>
                      <w:szCs w:val="21"/>
                      <w:lang w:val="en-US" w:eastAsia="zh-CN"/>
                    </w:rPr>
                  </w:pPr>
                  <w:r>
                    <w:rPr>
                      <w:rFonts w:hint="eastAsia"/>
                      <w:color w:val="auto"/>
                      <w:szCs w:val="21"/>
                      <w:lang w:val="en-US" w:eastAsia="zh-CN"/>
                    </w:rPr>
                    <w:t>90%</w:t>
                  </w:r>
                </w:p>
              </w:tc>
            </w:tr>
            <w:tr w14:paraId="141CC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723" w:type="pct"/>
                  <w:gridSpan w:val="2"/>
                  <w:noWrap w:val="0"/>
                  <w:vAlign w:val="center"/>
                </w:tcPr>
                <w:p w14:paraId="438CCE14">
                  <w:pPr>
                    <w:jc w:val="center"/>
                    <w:rPr>
                      <w:rFonts w:hint="eastAsia"/>
                      <w:color w:val="auto"/>
                      <w:szCs w:val="21"/>
                    </w:rPr>
                  </w:pPr>
                  <w:r>
                    <w:rPr>
                      <w:rFonts w:hint="eastAsia"/>
                      <w:color w:val="auto"/>
                      <w:szCs w:val="21"/>
                    </w:rPr>
                    <w:t>回用标准</w:t>
                  </w:r>
                </w:p>
              </w:tc>
              <w:tc>
                <w:tcPr>
                  <w:tcW w:w="609" w:type="pct"/>
                  <w:noWrap w:val="0"/>
                  <w:vAlign w:val="center"/>
                </w:tcPr>
                <w:p w14:paraId="27641B3A">
                  <w:pPr>
                    <w:jc w:val="center"/>
                    <w:rPr>
                      <w:rFonts w:hint="default" w:eastAsia="宋体"/>
                      <w:color w:val="auto"/>
                      <w:szCs w:val="21"/>
                      <w:lang w:val="en-US" w:eastAsia="zh-CN"/>
                    </w:rPr>
                  </w:pPr>
                  <w:r>
                    <w:rPr>
                      <w:rFonts w:hint="eastAsia"/>
                      <w:color w:val="auto"/>
                      <w:szCs w:val="21"/>
                    </w:rPr>
                    <w:t>6</w:t>
                  </w:r>
                  <w:r>
                    <w:rPr>
                      <w:rFonts w:hint="eastAsia"/>
                      <w:color w:val="auto"/>
                      <w:szCs w:val="21"/>
                      <w:lang w:val="en-US" w:eastAsia="zh-CN"/>
                    </w:rPr>
                    <w:t>.5</w:t>
                  </w:r>
                  <w:r>
                    <w:rPr>
                      <w:rFonts w:hint="eastAsia"/>
                      <w:color w:val="auto"/>
                      <w:szCs w:val="21"/>
                    </w:rPr>
                    <w:t>~</w:t>
                  </w:r>
                  <w:r>
                    <w:rPr>
                      <w:rFonts w:hint="eastAsia"/>
                      <w:color w:val="auto"/>
                      <w:szCs w:val="21"/>
                      <w:lang w:val="en-US" w:eastAsia="zh-CN"/>
                    </w:rPr>
                    <w:t>9.0</w:t>
                  </w:r>
                </w:p>
              </w:tc>
              <w:tc>
                <w:tcPr>
                  <w:tcW w:w="646" w:type="pct"/>
                  <w:noWrap w:val="0"/>
                  <w:vAlign w:val="center"/>
                </w:tcPr>
                <w:p w14:paraId="109B6640">
                  <w:pPr>
                    <w:jc w:val="center"/>
                    <w:rPr>
                      <w:rFonts w:hint="default" w:eastAsia="宋体"/>
                      <w:color w:val="auto"/>
                      <w:szCs w:val="21"/>
                      <w:lang w:val="en-US" w:eastAsia="zh-CN"/>
                    </w:rPr>
                  </w:pPr>
                  <w:r>
                    <w:rPr>
                      <w:rFonts w:hint="eastAsia"/>
                      <w:color w:val="auto"/>
                      <w:szCs w:val="21"/>
                      <w:lang w:val="en-US" w:eastAsia="zh-CN"/>
                    </w:rPr>
                    <w:t>60</w:t>
                  </w:r>
                </w:p>
              </w:tc>
              <w:tc>
                <w:tcPr>
                  <w:tcW w:w="646" w:type="pct"/>
                  <w:noWrap w:val="0"/>
                  <w:vAlign w:val="center"/>
                </w:tcPr>
                <w:p w14:paraId="33F3EC0B">
                  <w:pPr>
                    <w:jc w:val="center"/>
                    <w:rPr>
                      <w:rFonts w:hint="default" w:eastAsia="宋体"/>
                      <w:color w:val="auto"/>
                      <w:szCs w:val="21"/>
                      <w:lang w:val="en-US" w:eastAsia="zh-CN"/>
                    </w:rPr>
                  </w:pPr>
                  <w:r>
                    <w:rPr>
                      <w:rFonts w:hint="eastAsia"/>
                      <w:color w:val="auto"/>
                      <w:szCs w:val="21"/>
                      <w:lang w:val="en-US" w:eastAsia="zh-CN"/>
                    </w:rPr>
                    <w:t>/</w:t>
                  </w:r>
                </w:p>
              </w:tc>
              <w:tc>
                <w:tcPr>
                  <w:tcW w:w="686" w:type="pct"/>
                  <w:noWrap w:val="0"/>
                  <w:vAlign w:val="center"/>
                </w:tcPr>
                <w:p w14:paraId="0F921692">
                  <w:pPr>
                    <w:jc w:val="center"/>
                    <w:rPr>
                      <w:rFonts w:hint="default" w:eastAsia="宋体"/>
                      <w:color w:val="auto"/>
                      <w:szCs w:val="21"/>
                      <w:lang w:val="en-US" w:eastAsia="zh-CN"/>
                    </w:rPr>
                  </w:pPr>
                  <w:r>
                    <w:rPr>
                      <w:rFonts w:hint="eastAsia"/>
                      <w:color w:val="auto"/>
                      <w:szCs w:val="21"/>
                      <w:lang w:val="en-US" w:eastAsia="zh-CN"/>
                    </w:rPr>
                    <w:t>1</w:t>
                  </w:r>
                </w:p>
              </w:tc>
              <w:tc>
                <w:tcPr>
                  <w:tcW w:w="686" w:type="pct"/>
                  <w:noWrap w:val="0"/>
                  <w:vAlign w:val="center"/>
                </w:tcPr>
                <w:p w14:paraId="396F46B9">
                  <w:pPr>
                    <w:jc w:val="center"/>
                    <w:rPr>
                      <w:rFonts w:hint="default" w:eastAsia="宋体"/>
                      <w:color w:val="auto"/>
                      <w:szCs w:val="21"/>
                      <w:lang w:val="en-US" w:eastAsia="zh-CN"/>
                    </w:rPr>
                  </w:pPr>
                  <w:r>
                    <w:rPr>
                      <w:rFonts w:hint="eastAsia"/>
                      <w:color w:val="auto"/>
                      <w:szCs w:val="21"/>
                      <w:lang w:val="en-US" w:eastAsia="zh-CN"/>
                    </w:rPr>
                    <w:t>0.5</w:t>
                  </w:r>
                </w:p>
              </w:tc>
            </w:tr>
          </w:tbl>
          <w:p w14:paraId="023F5E85">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由上表可知，本项目工艺废水经处理后满足回用标准。</w:t>
            </w:r>
          </w:p>
          <w:p w14:paraId="386A56CA">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②生产废水处理可行性分析：</w:t>
            </w:r>
          </w:p>
          <w:p w14:paraId="4CF3B848">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A处理能力分析（水量）</w:t>
            </w:r>
          </w:p>
          <w:p w14:paraId="2B926873">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根据建设单位提供的污水处理工程设计方案，项目建设1套废水处理系统。废水处理系统</w:t>
            </w:r>
            <w:r>
              <w:rPr>
                <w:rFonts w:hint="eastAsia" w:cs="Times New Roman"/>
                <w:color w:val="auto"/>
                <w:sz w:val="24"/>
                <w:szCs w:val="22"/>
                <w:lang w:val="en-US" w:eastAsia="zh-CN"/>
              </w:rPr>
              <w:t>中污水前处理系统</w:t>
            </w:r>
            <w:r>
              <w:rPr>
                <w:rFonts w:hint="default" w:ascii="Times New Roman" w:hAnsi="Times New Roman" w:eastAsia="宋体" w:cs="Times New Roman"/>
                <w:color w:val="auto"/>
                <w:sz w:val="24"/>
                <w:szCs w:val="22"/>
              </w:rPr>
              <w:t>处理能力为</w:t>
            </w:r>
            <w:r>
              <w:rPr>
                <w:rFonts w:hint="eastAsia" w:cs="Times New Roman"/>
                <w:color w:val="auto"/>
                <w:sz w:val="24"/>
                <w:szCs w:val="22"/>
                <w:lang w:val="en-US" w:eastAsia="zh-CN"/>
              </w:rPr>
              <w:t>1</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eastAsia" w:cs="Times New Roman"/>
                <w:color w:val="auto"/>
                <w:sz w:val="24"/>
                <w:szCs w:val="22"/>
                <w:lang w:val="en-US" w:eastAsia="zh-CN"/>
              </w:rPr>
              <w:t>生产</w:t>
            </w:r>
            <w:r>
              <w:rPr>
                <w:rFonts w:hint="default" w:ascii="Times New Roman" w:hAnsi="Times New Roman" w:eastAsia="宋体" w:cs="Times New Roman"/>
                <w:color w:val="auto"/>
                <w:sz w:val="24"/>
                <w:szCs w:val="22"/>
              </w:rPr>
              <w:t>废水产生量为141.12m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/a（</w:t>
            </w:r>
            <w:r>
              <w:rPr>
                <w:rFonts w:hint="eastAsia" w:cs="Times New Roman"/>
                <w:color w:val="auto"/>
                <w:sz w:val="24"/>
                <w:szCs w:val="22"/>
                <w:lang w:val="en-US" w:eastAsia="zh-CN"/>
              </w:rPr>
              <w:t>0.47</w:t>
            </w:r>
            <w:r>
              <w:rPr>
                <w:rFonts w:hint="default" w:ascii="Times New Roman" w:hAnsi="Times New Roman" w:eastAsia="宋体" w:cs="Times New Roman"/>
                <w:color w:val="auto"/>
                <w:sz w:val="24"/>
                <w:szCs w:val="22"/>
              </w:rPr>
              <w:t>m</w:t>
            </w:r>
            <w:r>
              <w:rPr>
                <w:rFonts w:hint="default" w:ascii="Times New Roman" w:hAnsi="Times New Roman" w:eastAsia="宋体" w:cs="Times New Roman"/>
                <w:color w:val="auto"/>
                <w:sz w:val="24"/>
                <w:szCs w:val="22"/>
                <w:vertAlign w:val="superscript"/>
              </w:rPr>
              <w:t>3</w:t>
            </w:r>
            <w:r>
              <w:rPr>
                <w:rFonts w:hint="default" w:ascii="Times New Roman" w:hAnsi="Times New Roman" w:eastAsia="宋体" w:cs="Times New Roman"/>
                <w:color w:val="auto"/>
                <w:sz w:val="24"/>
                <w:szCs w:val="22"/>
              </w:rPr>
              <w:t>/d），</w:t>
            </w:r>
            <w:r>
              <w:rPr>
                <w:rFonts w:hint="eastAsia" w:cs="Times New Roman"/>
                <w:color w:val="auto"/>
                <w:sz w:val="24"/>
                <w:szCs w:val="22"/>
                <w:lang w:val="en-US" w:eastAsia="zh-CN"/>
              </w:rPr>
              <w:t>完全有能力处理本项目产生的生产废水，</w:t>
            </w:r>
            <w:r>
              <w:rPr>
                <w:rFonts w:hint="default" w:ascii="Times New Roman" w:hAnsi="Times New Roman" w:eastAsia="宋体" w:cs="Times New Roman"/>
                <w:color w:val="auto"/>
                <w:sz w:val="24"/>
                <w:szCs w:val="22"/>
              </w:rPr>
              <w:t>因此废水处理设施的设计处理能力可满足要求。</w:t>
            </w:r>
          </w:p>
          <w:p w14:paraId="45A41A21">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B水质可行性分析</w:t>
            </w:r>
          </w:p>
          <w:p w14:paraId="4CE16BCA">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根据前文分析，本项目清洗废水进水可满足厂内相应废水处理系统的进水水质标准，废水处理后可达回用标准，故本项目废水处理系统处理项目生产废水在水质上可行。</w:t>
            </w:r>
          </w:p>
          <w:p w14:paraId="15E89030">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C经济可行性分析</w:t>
            </w:r>
          </w:p>
          <w:p w14:paraId="0BC3146D">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本次废水处理系统投资约</w:t>
            </w:r>
            <w:r>
              <w:rPr>
                <w:rFonts w:hint="eastAsia" w:cs="Times New Roman"/>
                <w:color w:val="auto"/>
                <w:sz w:val="24"/>
                <w:szCs w:val="22"/>
                <w:lang w:val="en-US" w:eastAsia="zh-CN"/>
              </w:rPr>
              <w:t>10</w:t>
            </w:r>
            <w:r>
              <w:rPr>
                <w:rFonts w:hint="default" w:ascii="Times New Roman" w:hAnsi="Times New Roman" w:eastAsia="宋体" w:cs="Times New Roman"/>
                <w:color w:val="auto"/>
                <w:sz w:val="24"/>
                <w:szCs w:val="22"/>
              </w:rPr>
              <w:t>万元，项目废水治理措施年运行费用主要包括电费、药剂费等。项目总投资</w:t>
            </w:r>
            <w:r>
              <w:rPr>
                <w:rFonts w:hint="eastAsia" w:cs="Times New Roman"/>
                <w:color w:val="auto"/>
                <w:sz w:val="24"/>
                <w:szCs w:val="22"/>
                <w:lang w:val="en-US" w:eastAsia="zh-CN"/>
              </w:rPr>
              <w:t>15</w:t>
            </w:r>
            <w:r>
              <w:rPr>
                <w:rFonts w:hint="default" w:ascii="Times New Roman" w:hAnsi="Times New Roman" w:eastAsia="宋体" w:cs="Times New Roman"/>
                <w:color w:val="auto"/>
                <w:sz w:val="24"/>
                <w:szCs w:val="22"/>
              </w:rPr>
              <w:t>00万元，全部建成投产后年收益可达</w:t>
            </w:r>
            <w:r>
              <w:rPr>
                <w:rFonts w:hint="eastAsia" w:cs="Times New Roman"/>
                <w:color w:val="auto"/>
                <w:sz w:val="24"/>
                <w:szCs w:val="22"/>
                <w:lang w:val="en-US" w:eastAsia="zh-CN"/>
              </w:rPr>
              <w:t>50</w:t>
            </w:r>
            <w:r>
              <w:rPr>
                <w:rFonts w:hint="default" w:ascii="Times New Roman" w:hAnsi="Times New Roman" w:eastAsia="宋体" w:cs="Times New Roman"/>
                <w:color w:val="auto"/>
                <w:sz w:val="24"/>
                <w:szCs w:val="22"/>
              </w:rPr>
              <w:t>00万元，因此废水处理设施投入处于企业可承受范围内，从经济上分析是可行的。</w:t>
            </w:r>
          </w:p>
          <w:p w14:paraId="6B39BBF2">
            <w:pPr>
              <w:adjustRightInd w:val="0"/>
              <w:snapToGrid w:val="0"/>
              <w:spacing w:line="500" w:lineRule="exact"/>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综上所述，本项目厂内生产废水处理在水质、水量及经济上均可性。</w:t>
            </w:r>
          </w:p>
          <w:p w14:paraId="3CAF6C05">
            <w:pPr>
              <w:spacing w:line="360" w:lineRule="auto"/>
              <w:ind w:firstLine="482" w:firstLineChars="200"/>
              <w:rPr>
                <w:rFonts w:ascii="Times New Roman" w:hAnsi="Times New Roman" w:eastAsia="宋体" w:cs="宋体"/>
                <w:b/>
                <w:color w:val="auto"/>
                <w:sz w:val="24"/>
                <w:highlight w:val="none"/>
              </w:rPr>
            </w:pPr>
            <w:r>
              <w:rPr>
                <w:rFonts w:hint="eastAsia" w:cs="宋体"/>
                <w:b/>
                <w:color w:val="auto"/>
                <w:sz w:val="24"/>
                <w:highlight w:val="none"/>
                <w:lang w:val="en-US" w:eastAsia="zh-CN"/>
              </w:rPr>
              <w:t>3</w:t>
            </w:r>
            <w:r>
              <w:rPr>
                <w:rFonts w:hint="eastAsia" w:ascii="Times New Roman" w:hAnsi="Times New Roman" w:eastAsia="宋体" w:cs="宋体"/>
                <w:b/>
                <w:color w:val="auto"/>
                <w:sz w:val="24"/>
                <w:highlight w:val="none"/>
              </w:rPr>
              <w:t>、</w:t>
            </w:r>
            <w:r>
              <w:rPr>
                <w:rFonts w:ascii="Times New Roman" w:hAnsi="Times New Roman" w:eastAsia="宋体" w:cs="宋体"/>
                <w:b/>
                <w:color w:val="auto"/>
                <w:sz w:val="24"/>
                <w:highlight w:val="none"/>
              </w:rPr>
              <w:t>噪声</w:t>
            </w:r>
          </w:p>
          <w:p w14:paraId="617090A5">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（1）产生情况</w:t>
            </w:r>
          </w:p>
          <w:p w14:paraId="0AC0221F">
            <w:pPr>
              <w:spacing w:line="360" w:lineRule="auto"/>
              <w:ind w:firstLine="480" w:firstLineChars="200"/>
              <w:rPr>
                <w:rFonts w:ascii="Times New Roman" w:hAnsi="Times New Roman" w:eastAsia="宋体" w:cs="宋体"/>
                <w:color w:val="auto"/>
                <w:kern w:val="0"/>
                <w:sz w:val="24"/>
                <w:highlight w:val="none"/>
              </w:rPr>
            </w:pPr>
            <w:r>
              <w:rPr>
                <w:rFonts w:ascii="Times New Roman" w:hAnsi="Times New Roman" w:eastAsia="宋体" w:cs="宋体"/>
                <w:color w:val="auto"/>
                <w:kern w:val="0"/>
                <w:sz w:val="24"/>
                <w:highlight w:val="none"/>
              </w:rPr>
              <w:t>本项目生产过程中设备会产生一定的噪声，主要为各类设备的运行噪声，为间歇性噪声。噪声在传播过程中受到多种因素的干扰，使其产生衰减，根据建设项目噪声源和环境特征，预测过程中考虑了厂房等建筑物的屏障作用、空气吸收。预测模式采用点声源处于半自由空间的几何发散模式。根据《环境影响评价技术导则</w:t>
            </w:r>
            <w:r>
              <w:rPr>
                <w:rFonts w:hint="eastAsia" w:ascii="Times New Roman" w:hAnsi="Times New Roman" w:eastAsia="宋体" w:cs="宋体"/>
                <w:color w:val="auto"/>
                <w:kern w:val="0"/>
                <w:sz w:val="24"/>
                <w:highlight w:val="none"/>
              </w:rPr>
              <w:t xml:space="preserve"> </w:t>
            </w:r>
            <w:r>
              <w:rPr>
                <w:rFonts w:ascii="Times New Roman" w:hAnsi="Times New Roman" w:eastAsia="宋体" w:cs="宋体"/>
                <w:color w:val="auto"/>
                <w:kern w:val="0"/>
                <w:sz w:val="24"/>
                <w:highlight w:val="none"/>
              </w:rPr>
              <w:t>声环境》（HJ2.4-2021）的技术要求进行计算。本项目厂界外50米范围内无声环境保护目标，根据导则仅需预测厂界贡献值。</w:t>
            </w:r>
          </w:p>
          <w:p w14:paraId="392B1FAC">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4.3-1</w:t>
            </w:r>
            <w:r>
              <w:rPr>
                <w:rFonts w:ascii="Times New Roman" w:hAnsi="Times New Roman" w:eastAsia="宋体" w:cs="宋体"/>
                <w:b/>
                <w:bCs/>
                <w:color w:val="auto"/>
                <w:spacing w:val="-4"/>
                <w:szCs w:val="21"/>
                <w:highlight w:val="none"/>
              </w:rPr>
              <w:t xml:space="preserve">  工业企业噪声源强调查清单（室外声源）</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57"/>
              <w:gridCol w:w="452"/>
              <w:gridCol w:w="603"/>
              <w:gridCol w:w="603"/>
              <w:gridCol w:w="604"/>
              <w:gridCol w:w="1809"/>
              <w:gridCol w:w="1507"/>
              <w:gridCol w:w="1316"/>
            </w:tblGrid>
            <w:tr w14:paraId="55A03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89" w:type="pct"/>
                  <w:vMerge w:val="restart"/>
                  <w:vAlign w:val="center"/>
                </w:tcPr>
                <w:p w14:paraId="04CC3FD2">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序号</w:t>
                  </w:r>
                </w:p>
              </w:tc>
              <w:tc>
                <w:tcPr>
                  <w:tcW w:w="626" w:type="pct"/>
                  <w:vMerge w:val="restart"/>
                  <w:vAlign w:val="center"/>
                </w:tcPr>
                <w:p w14:paraId="48536901">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声源名称</w:t>
                  </w:r>
                </w:p>
              </w:tc>
              <w:tc>
                <w:tcPr>
                  <w:tcW w:w="268" w:type="pct"/>
                  <w:vMerge w:val="restart"/>
                  <w:vAlign w:val="center"/>
                </w:tcPr>
                <w:p w14:paraId="26B1C30C">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型号</w:t>
                  </w:r>
                </w:p>
              </w:tc>
              <w:tc>
                <w:tcPr>
                  <w:tcW w:w="1072" w:type="pct"/>
                  <w:gridSpan w:val="3"/>
                  <w:vAlign w:val="center"/>
                </w:tcPr>
                <w:p w14:paraId="4D62CE28">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空间相对位置（m）</w:t>
                  </w:r>
                </w:p>
              </w:tc>
              <w:tc>
                <w:tcPr>
                  <w:tcW w:w="1072" w:type="pct"/>
                  <w:vAlign w:val="center"/>
                </w:tcPr>
                <w:p w14:paraId="65810376">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声源源强</w:t>
                  </w:r>
                </w:p>
              </w:tc>
              <w:tc>
                <w:tcPr>
                  <w:tcW w:w="893" w:type="pct"/>
                  <w:vMerge w:val="restart"/>
                  <w:vAlign w:val="center"/>
                </w:tcPr>
                <w:p w14:paraId="7CC3F438">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声源控制措施</w:t>
                  </w:r>
                </w:p>
              </w:tc>
              <w:tc>
                <w:tcPr>
                  <w:tcW w:w="780" w:type="pct"/>
                  <w:vMerge w:val="restart"/>
                  <w:vAlign w:val="center"/>
                </w:tcPr>
                <w:p w14:paraId="10F769D5">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运行时段</w:t>
                  </w:r>
                </w:p>
              </w:tc>
            </w:tr>
            <w:tr w14:paraId="58FFF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89" w:type="pct"/>
                  <w:vMerge w:val="continue"/>
                  <w:vAlign w:val="center"/>
                </w:tcPr>
                <w:p w14:paraId="3C59403C">
                  <w:pPr>
                    <w:widowControl/>
                    <w:snapToGrid w:val="0"/>
                    <w:jc w:val="center"/>
                    <w:rPr>
                      <w:rFonts w:ascii="Times New Roman" w:hAnsi="Times New Roman" w:eastAsia="宋体" w:cs="宋体"/>
                      <w:b/>
                      <w:color w:val="auto"/>
                      <w:kern w:val="0"/>
                      <w:highlight w:val="none"/>
                    </w:rPr>
                  </w:pPr>
                </w:p>
              </w:tc>
              <w:tc>
                <w:tcPr>
                  <w:tcW w:w="626" w:type="pct"/>
                  <w:vMerge w:val="continue"/>
                  <w:vAlign w:val="center"/>
                </w:tcPr>
                <w:p w14:paraId="6B5118FD">
                  <w:pPr>
                    <w:widowControl/>
                    <w:snapToGrid w:val="0"/>
                    <w:jc w:val="center"/>
                    <w:rPr>
                      <w:rFonts w:ascii="Times New Roman" w:hAnsi="Times New Roman" w:eastAsia="宋体" w:cs="宋体"/>
                      <w:b/>
                      <w:color w:val="auto"/>
                      <w:kern w:val="0"/>
                      <w:highlight w:val="none"/>
                    </w:rPr>
                  </w:pPr>
                </w:p>
              </w:tc>
              <w:tc>
                <w:tcPr>
                  <w:tcW w:w="268" w:type="pct"/>
                  <w:vMerge w:val="continue"/>
                  <w:vAlign w:val="center"/>
                </w:tcPr>
                <w:p w14:paraId="58096DBF">
                  <w:pPr>
                    <w:widowControl/>
                    <w:snapToGrid w:val="0"/>
                    <w:jc w:val="center"/>
                    <w:rPr>
                      <w:rFonts w:ascii="Times New Roman" w:hAnsi="Times New Roman" w:eastAsia="宋体" w:cs="宋体"/>
                      <w:b/>
                      <w:color w:val="auto"/>
                      <w:kern w:val="0"/>
                      <w:highlight w:val="none"/>
                    </w:rPr>
                  </w:pPr>
                </w:p>
              </w:tc>
              <w:tc>
                <w:tcPr>
                  <w:tcW w:w="357" w:type="pct"/>
                  <w:vAlign w:val="center"/>
                </w:tcPr>
                <w:p w14:paraId="7612AE60">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X</w:t>
                  </w:r>
                </w:p>
              </w:tc>
              <w:tc>
                <w:tcPr>
                  <w:tcW w:w="357" w:type="pct"/>
                  <w:vAlign w:val="center"/>
                </w:tcPr>
                <w:p w14:paraId="42B61CED">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Y</w:t>
                  </w:r>
                </w:p>
              </w:tc>
              <w:tc>
                <w:tcPr>
                  <w:tcW w:w="358" w:type="pct"/>
                  <w:vAlign w:val="center"/>
                </w:tcPr>
                <w:p w14:paraId="729F81AB">
                  <w:pPr>
                    <w:widowControl/>
                    <w:snapToGrid w:val="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Z</w:t>
                  </w:r>
                </w:p>
              </w:tc>
              <w:tc>
                <w:tcPr>
                  <w:tcW w:w="1072" w:type="pct"/>
                  <w:vAlign w:val="center"/>
                </w:tcPr>
                <w:p w14:paraId="45BDF468">
                  <w:pPr>
                    <w:widowControl/>
                    <w:snapToGrid w:val="0"/>
                    <w:ind w:left="-105" w:leftChars="-50" w:right="-105" w:rightChars="-50"/>
                    <w:jc w:val="center"/>
                    <w:rPr>
                      <w:rFonts w:ascii="Times New Roman" w:hAnsi="Times New Roman" w:eastAsia="宋体" w:cs="宋体"/>
                      <w:b/>
                      <w:color w:val="auto"/>
                      <w:kern w:val="0"/>
                      <w:highlight w:val="none"/>
                    </w:rPr>
                  </w:pPr>
                  <w:r>
                    <w:rPr>
                      <w:rFonts w:ascii="Times New Roman" w:hAnsi="Times New Roman" w:eastAsia="宋体" w:cs="宋体"/>
                      <w:b/>
                      <w:color w:val="auto"/>
                      <w:kern w:val="0"/>
                      <w:highlight w:val="none"/>
                    </w:rPr>
                    <w:t>声功率级（dB（A））</w:t>
                  </w:r>
                </w:p>
              </w:tc>
              <w:tc>
                <w:tcPr>
                  <w:tcW w:w="893" w:type="pct"/>
                  <w:vMerge w:val="continue"/>
                  <w:vAlign w:val="center"/>
                </w:tcPr>
                <w:p w14:paraId="4829A813">
                  <w:pPr>
                    <w:widowControl/>
                    <w:snapToGrid w:val="0"/>
                    <w:jc w:val="center"/>
                    <w:rPr>
                      <w:rFonts w:ascii="Times New Roman" w:hAnsi="Times New Roman" w:eastAsia="宋体" w:cs="宋体"/>
                      <w:bCs/>
                      <w:color w:val="auto"/>
                      <w:kern w:val="0"/>
                      <w:highlight w:val="none"/>
                    </w:rPr>
                  </w:pPr>
                </w:p>
              </w:tc>
              <w:tc>
                <w:tcPr>
                  <w:tcW w:w="780" w:type="pct"/>
                  <w:vMerge w:val="continue"/>
                  <w:vAlign w:val="center"/>
                </w:tcPr>
                <w:p w14:paraId="5A84EEF5">
                  <w:pPr>
                    <w:widowControl/>
                    <w:snapToGrid w:val="0"/>
                    <w:jc w:val="center"/>
                    <w:rPr>
                      <w:rFonts w:ascii="Times New Roman" w:hAnsi="Times New Roman" w:eastAsia="宋体" w:cs="宋体"/>
                      <w:bCs/>
                      <w:color w:val="auto"/>
                      <w:kern w:val="0"/>
                      <w:highlight w:val="none"/>
                    </w:rPr>
                  </w:pPr>
                </w:p>
              </w:tc>
            </w:tr>
            <w:tr w14:paraId="35868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 w:type="pct"/>
                  <w:vAlign w:val="center"/>
                </w:tcPr>
                <w:p w14:paraId="681913B8">
                  <w:pPr>
                    <w:widowControl/>
                    <w:snapToGrid w:val="0"/>
                    <w:jc w:val="center"/>
                    <w:rPr>
                      <w:rFonts w:ascii="Times New Roman" w:hAnsi="Times New Roman" w:eastAsia="宋体" w:cs="宋体"/>
                      <w:bCs/>
                      <w:color w:val="auto"/>
                      <w:kern w:val="0"/>
                      <w:highlight w:val="none"/>
                    </w:rPr>
                  </w:pPr>
                  <w:r>
                    <w:rPr>
                      <w:rFonts w:ascii="Times New Roman" w:hAnsi="Times New Roman" w:eastAsia="宋体" w:cs="宋体"/>
                      <w:bCs/>
                      <w:color w:val="auto"/>
                      <w:kern w:val="0"/>
                      <w:highlight w:val="none"/>
                    </w:rPr>
                    <w:t>1</w:t>
                  </w:r>
                </w:p>
              </w:tc>
              <w:tc>
                <w:tcPr>
                  <w:tcW w:w="626" w:type="pct"/>
                  <w:vAlign w:val="center"/>
                </w:tcPr>
                <w:p w14:paraId="2F2C9CEA">
                  <w:pPr>
                    <w:widowControl/>
                    <w:snapToGrid w:val="0"/>
                    <w:jc w:val="center"/>
                    <w:rPr>
                      <w:rFonts w:ascii="Times New Roman" w:hAnsi="Times New Roman" w:eastAsia="宋体" w:cs="宋体"/>
                      <w:bCs/>
                      <w:color w:val="auto"/>
                      <w:kern w:val="0"/>
                      <w:highlight w:val="none"/>
                    </w:rPr>
                  </w:pPr>
                  <w:r>
                    <w:rPr>
                      <w:rFonts w:ascii="Times New Roman" w:hAnsi="Times New Roman" w:eastAsia="宋体" w:cs="宋体"/>
                      <w:bCs/>
                      <w:color w:val="auto"/>
                      <w:kern w:val="0"/>
                      <w:highlight w:val="none"/>
                    </w:rPr>
                    <w:t>风机</w:t>
                  </w:r>
                </w:p>
              </w:tc>
              <w:tc>
                <w:tcPr>
                  <w:tcW w:w="268" w:type="pct"/>
                  <w:vAlign w:val="center"/>
                </w:tcPr>
                <w:p w14:paraId="59FE08A3">
                  <w:pPr>
                    <w:widowControl/>
                    <w:snapToGrid w:val="0"/>
                    <w:jc w:val="center"/>
                    <w:rPr>
                      <w:rFonts w:ascii="Times New Roman" w:hAnsi="Times New Roman" w:eastAsia="宋体" w:cs="宋体"/>
                      <w:bCs/>
                      <w:color w:val="auto"/>
                      <w:kern w:val="0"/>
                      <w:highlight w:val="none"/>
                    </w:rPr>
                  </w:pPr>
                  <w:r>
                    <w:rPr>
                      <w:rFonts w:ascii="Times New Roman" w:hAnsi="Times New Roman" w:eastAsia="宋体" w:cs="宋体"/>
                      <w:bCs/>
                      <w:color w:val="auto"/>
                      <w:kern w:val="0"/>
                      <w:highlight w:val="none"/>
                    </w:rPr>
                    <w:t>/</w:t>
                  </w:r>
                </w:p>
              </w:tc>
              <w:tc>
                <w:tcPr>
                  <w:tcW w:w="357" w:type="pct"/>
                  <w:vAlign w:val="center"/>
                </w:tcPr>
                <w:p w14:paraId="6107D434">
                  <w:pPr>
                    <w:widowControl/>
                    <w:snapToGrid w:val="0"/>
                    <w:jc w:val="center"/>
                    <w:rPr>
                      <w:rFonts w:ascii="Times New Roman" w:hAnsi="Times New Roman" w:eastAsia="宋体" w:cs="宋体"/>
                      <w:bCs/>
                      <w:color w:val="auto"/>
                      <w:kern w:val="0"/>
                      <w:highlight w:val="none"/>
                    </w:rPr>
                  </w:pPr>
                  <w:r>
                    <w:rPr>
                      <w:rFonts w:hint="eastAsia" w:ascii="Times New Roman" w:hAnsi="Times New Roman" w:eastAsia="宋体" w:cs="宋体"/>
                      <w:bCs/>
                      <w:color w:val="auto"/>
                      <w:kern w:val="0"/>
                      <w:highlight w:val="none"/>
                    </w:rPr>
                    <w:t>81</w:t>
                  </w:r>
                </w:p>
              </w:tc>
              <w:tc>
                <w:tcPr>
                  <w:tcW w:w="357" w:type="pct"/>
                  <w:vAlign w:val="center"/>
                </w:tcPr>
                <w:p w14:paraId="20880A2B">
                  <w:pPr>
                    <w:widowControl/>
                    <w:snapToGrid w:val="0"/>
                    <w:jc w:val="center"/>
                    <w:rPr>
                      <w:rFonts w:ascii="Times New Roman" w:hAnsi="Times New Roman" w:eastAsia="宋体" w:cs="宋体"/>
                      <w:bCs/>
                      <w:color w:val="auto"/>
                      <w:kern w:val="0"/>
                      <w:highlight w:val="none"/>
                    </w:rPr>
                  </w:pPr>
                  <w:r>
                    <w:rPr>
                      <w:rFonts w:hint="eastAsia" w:ascii="Times New Roman" w:hAnsi="Times New Roman" w:eastAsia="宋体" w:cs="宋体"/>
                      <w:bCs/>
                      <w:color w:val="auto"/>
                      <w:kern w:val="0"/>
                      <w:highlight w:val="none"/>
                    </w:rPr>
                    <w:t>27</w:t>
                  </w:r>
                </w:p>
              </w:tc>
              <w:tc>
                <w:tcPr>
                  <w:tcW w:w="358" w:type="pct"/>
                  <w:vAlign w:val="center"/>
                </w:tcPr>
                <w:p w14:paraId="7C4634F5">
                  <w:pPr>
                    <w:widowControl/>
                    <w:snapToGrid w:val="0"/>
                    <w:jc w:val="center"/>
                    <w:rPr>
                      <w:rFonts w:ascii="Times New Roman" w:hAnsi="Times New Roman" w:eastAsia="宋体" w:cs="宋体"/>
                      <w:bCs/>
                      <w:color w:val="auto"/>
                      <w:kern w:val="0"/>
                      <w:highlight w:val="none"/>
                    </w:rPr>
                  </w:pPr>
                  <w:r>
                    <w:rPr>
                      <w:rFonts w:ascii="Times New Roman" w:hAnsi="Times New Roman" w:eastAsia="宋体" w:cs="宋体"/>
                      <w:bCs/>
                      <w:color w:val="auto"/>
                      <w:kern w:val="0"/>
                      <w:highlight w:val="none"/>
                    </w:rPr>
                    <w:t>1</w:t>
                  </w:r>
                </w:p>
              </w:tc>
              <w:tc>
                <w:tcPr>
                  <w:tcW w:w="1072" w:type="pct"/>
                  <w:vAlign w:val="center"/>
                </w:tcPr>
                <w:p w14:paraId="12B0733A">
                  <w:pPr>
                    <w:widowControl/>
                    <w:snapToGrid w:val="0"/>
                    <w:jc w:val="center"/>
                    <w:rPr>
                      <w:rFonts w:ascii="Times New Roman" w:hAnsi="Times New Roman" w:eastAsia="宋体" w:cs="宋体"/>
                      <w:bCs/>
                      <w:color w:val="auto"/>
                      <w:kern w:val="0"/>
                      <w:highlight w:val="none"/>
                    </w:rPr>
                  </w:pPr>
                  <w:r>
                    <w:rPr>
                      <w:rFonts w:hint="eastAsia" w:ascii="Times New Roman" w:hAnsi="Times New Roman" w:eastAsia="宋体" w:cs="宋体"/>
                      <w:bCs/>
                      <w:color w:val="auto"/>
                      <w:kern w:val="0"/>
                      <w:highlight w:val="none"/>
                    </w:rPr>
                    <w:t>85</w:t>
                  </w:r>
                </w:p>
              </w:tc>
              <w:tc>
                <w:tcPr>
                  <w:tcW w:w="893" w:type="pct"/>
                  <w:vAlign w:val="center"/>
                </w:tcPr>
                <w:p w14:paraId="7D30A2C3">
                  <w:pPr>
                    <w:widowControl/>
                    <w:snapToGrid w:val="0"/>
                    <w:jc w:val="center"/>
                    <w:rPr>
                      <w:rFonts w:ascii="Times New Roman" w:hAnsi="Times New Roman" w:eastAsia="宋体" w:cs="宋体"/>
                      <w:bCs/>
                      <w:color w:val="auto"/>
                      <w:kern w:val="0"/>
                      <w:highlight w:val="none"/>
                    </w:rPr>
                  </w:pPr>
                  <w:r>
                    <w:rPr>
                      <w:rFonts w:ascii="Times New Roman" w:hAnsi="Times New Roman" w:eastAsia="宋体" w:cs="宋体"/>
                      <w:bCs/>
                      <w:color w:val="auto"/>
                      <w:kern w:val="0"/>
                      <w:highlight w:val="none"/>
                    </w:rPr>
                    <w:t>减振、隔声</w:t>
                  </w:r>
                </w:p>
              </w:tc>
              <w:tc>
                <w:tcPr>
                  <w:tcW w:w="780" w:type="pct"/>
                  <w:vAlign w:val="center"/>
                </w:tcPr>
                <w:p w14:paraId="4099EC4A">
                  <w:pPr>
                    <w:widowControl/>
                    <w:snapToGrid w:val="0"/>
                    <w:jc w:val="center"/>
                    <w:rPr>
                      <w:rFonts w:ascii="Times New Roman" w:hAnsi="Times New Roman" w:eastAsia="宋体" w:cs="宋体"/>
                      <w:bCs/>
                      <w:color w:val="auto"/>
                      <w:kern w:val="0"/>
                      <w:highlight w:val="none"/>
                    </w:rPr>
                  </w:pPr>
                  <w:r>
                    <w:rPr>
                      <w:rFonts w:hint="eastAsia" w:ascii="Times New Roman" w:hAnsi="Times New Roman" w:eastAsia="宋体" w:cs="宋体"/>
                      <w:bCs/>
                      <w:color w:val="auto"/>
                      <w:kern w:val="0"/>
                      <w:highlight w:val="none"/>
                    </w:rPr>
                    <w:t>昼</w:t>
                  </w:r>
                </w:p>
              </w:tc>
            </w:tr>
          </w:tbl>
          <w:p w14:paraId="6B6A4551">
            <w:pPr>
              <w:tabs>
                <w:tab w:val="left" w:pos="960"/>
              </w:tabs>
              <w:spacing w:beforeLines="50"/>
              <w:jc w:val="center"/>
              <w:rPr>
                <w:rFonts w:ascii="Times New Roman" w:hAnsi="Times New Roman" w:eastAsia="宋体" w:cs="宋体"/>
                <w:b/>
                <w:bCs/>
                <w:color w:val="auto"/>
                <w:spacing w:val="-4"/>
                <w:szCs w:val="21"/>
                <w:highlight w:val="none"/>
              </w:rPr>
            </w:pPr>
          </w:p>
          <w:p w14:paraId="7477A2FB">
            <w:pPr>
              <w:tabs>
                <w:tab w:val="left" w:pos="960"/>
              </w:tabs>
              <w:spacing w:beforeLines="50"/>
              <w:jc w:val="center"/>
              <w:rPr>
                <w:rFonts w:ascii="Times New Roman" w:hAnsi="Times New Roman" w:eastAsia="宋体" w:cs="宋体"/>
                <w:b/>
                <w:bCs/>
                <w:color w:val="auto"/>
                <w:spacing w:val="-4"/>
                <w:szCs w:val="21"/>
                <w:highlight w:val="none"/>
              </w:rPr>
            </w:pPr>
          </w:p>
          <w:p w14:paraId="2E0D4E94">
            <w:pPr>
              <w:tabs>
                <w:tab w:val="left" w:pos="960"/>
              </w:tabs>
              <w:spacing w:beforeLines="50"/>
              <w:jc w:val="center"/>
              <w:rPr>
                <w:rFonts w:ascii="Times New Roman" w:hAnsi="Times New Roman" w:eastAsia="宋体" w:cs="宋体"/>
                <w:b/>
                <w:bCs/>
                <w:color w:val="auto"/>
                <w:spacing w:val="-4"/>
                <w:szCs w:val="21"/>
                <w:highlight w:val="none"/>
              </w:rPr>
            </w:pPr>
          </w:p>
          <w:p w14:paraId="31821D0D">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4.3-2</w:t>
            </w:r>
            <w:r>
              <w:rPr>
                <w:rFonts w:ascii="Times New Roman" w:hAnsi="Times New Roman" w:eastAsia="宋体" w:cs="宋体"/>
                <w:b/>
                <w:bCs/>
                <w:color w:val="auto"/>
                <w:spacing w:val="-4"/>
                <w:szCs w:val="21"/>
                <w:highlight w:val="none"/>
              </w:rPr>
              <w:t xml:space="preserve">  </w:t>
            </w:r>
            <w:r>
              <w:rPr>
                <w:rFonts w:hint="eastAsia" w:ascii="Times New Roman" w:hAnsi="Times New Roman" w:eastAsia="宋体" w:cs="宋体"/>
                <w:b/>
                <w:bCs/>
                <w:color w:val="auto"/>
                <w:spacing w:val="-4"/>
                <w:szCs w:val="21"/>
                <w:highlight w:val="none"/>
              </w:rPr>
              <w:t>工业企业</w:t>
            </w:r>
            <w:r>
              <w:rPr>
                <w:rFonts w:ascii="Times New Roman" w:hAnsi="Times New Roman" w:eastAsia="宋体" w:cs="宋体"/>
                <w:b/>
                <w:bCs/>
                <w:color w:val="auto"/>
                <w:spacing w:val="-4"/>
                <w:szCs w:val="21"/>
                <w:highlight w:val="none"/>
              </w:rPr>
              <w:t>噪声源强调查清单（室内声源）</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4"/>
              <w:gridCol w:w="692"/>
              <w:gridCol w:w="837"/>
              <w:gridCol w:w="974"/>
              <w:gridCol w:w="766"/>
              <w:gridCol w:w="410"/>
              <w:gridCol w:w="291"/>
              <w:gridCol w:w="285"/>
              <w:gridCol w:w="280"/>
              <w:gridCol w:w="392"/>
              <w:gridCol w:w="393"/>
              <w:gridCol w:w="632"/>
              <w:gridCol w:w="372"/>
              <w:gridCol w:w="507"/>
              <w:gridCol w:w="666"/>
              <w:gridCol w:w="423"/>
            </w:tblGrid>
            <w:tr w14:paraId="298DC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132EEC3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序号</w:t>
                  </w:r>
                </w:p>
              </w:tc>
              <w:tc>
                <w:tcPr>
                  <w:tcW w:w="692" w:type="dxa"/>
                  <w:vMerge w:val="restart"/>
                  <w:vAlign w:val="center"/>
                </w:tcPr>
                <w:p w14:paraId="30E2032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建筑物</w:t>
                  </w:r>
                  <w:r>
                    <w:rPr>
                      <w:rFonts w:ascii="Times New Roman" w:hAnsi="Times New Roman" w:eastAsia="宋体" w:cs="宋体"/>
                      <w:b/>
                      <w:bCs/>
                      <w:color w:val="auto"/>
                      <w:sz w:val="18"/>
                      <w:szCs w:val="18"/>
                      <w:highlight w:val="none"/>
                    </w:rPr>
                    <w:t>名称</w:t>
                  </w:r>
                </w:p>
              </w:tc>
              <w:tc>
                <w:tcPr>
                  <w:tcW w:w="837" w:type="dxa"/>
                  <w:vMerge w:val="restart"/>
                  <w:vAlign w:val="center"/>
                </w:tcPr>
                <w:p w14:paraId="537533E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声源名称</w:t>
                  </w:r>
                </w:p>
              </w:tc>
              <w:tc>
                <w:tcPr>
                  <w:tcW w:w="974" w:type="dxa"/>
                  <w:vMerge w:val="restart"/>
                  <w:vAlign w:val="center"/>
                </w:tcPr>
                <w:p w14:paraId="2A8860E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型号</w:t>
                  </w:r>
                </w:p>
              </w:tc>
              <w:tc>
                <w:tcPr>
                  <w:tcW w:w="766" w:type="dxa"/>
                  <w:vAlign w:val="center"/>
                </w:tcPr>
                <w:p w14:paraId="0CA6EAC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声源</w:t>
                  </w:r>
                  <w:r>
                    <w:rPr>
                      <w:rFonts w:ascii="Times New Roman" w:hAnsi="Times New Roman" w:eastAsia="宋体" w:cs="宋体"/>
                      <w:b/>
                      <w:bCs/>
                      <w:color w:val="auto"/>
                      <w:sz w:val="18"/>
                      <w:szCs w:val="18"/>
                      <w:highlight w:val="none"/>
                    </w:rPr>
                    <w:t>源强</w:t>
                  </w:r>
                </w:p>
              </w:tc>
              <w:tc>
                <w:tcPr>
                  <w:tcW w:w="410" w:type="dxa"/>
                  <w:vMerge w:val="restart"/>
                  <w:vAlign w:val="center"/>
                </w:tcPr>
                <w:p w14:paraId="7139C3D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声源控制措施</w:t>
                  </w:r>
                </w:p>
              </w:tc>
              <w:tc>
                <w:tcPr>
                  <w:tcW w:w="856" w:type="dxa"/>
                  <w:gridSpan w:val="3"/>
                  <w:vAlign w:val="center"/>
                </w:tcPr>
                <w:p w14:paraId="5DC1712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空间相对位置</w:t>
                  </w:r>
                  <w:r>
                    <w:rPr>
                      <w:rFonts w:hint="eastAsia" w:ascii="Times New Roman" w:hAnsi="Times New Roman" w:eastAsia="宋体" w:cs="宋体"/>
                      <w:b/>
                      <w:bCs/>
                      <w:color w:val="auto"/>
                      <w:sz w:val="18"/>
                      <w:szCs w:val="18"/>
                      <w:highlight w:val="none"/>
                    </w:rPr>
                    <w:t>/m</w:t>
                  </w:r>
                </w:p>
              </w:tc>
              <w:tc>
                <w:tcPr>
                  <w:tcW w:w="785" w:type="dxa"/>
                  <w:gridSpan w:val="2"/>
                  <w:vAlign w:val="center"/>
                </w:tcPr>
                <w:p w14:paraId="5305D0B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距</w:t>
                  </w:r>
                  <w:r>
                    <w:rPr>
                      <w:rFonts w:ascii="Times New Roman" w:hAnsi="Times New Roman" w:eastAsia="宋体" w:cs="宋体"/>
                      <w:b/>
                      <w:bCs/>
                      <w:color w:val="auto"/>
                      <w:sz w:val="18"/>
                      <w:szCs w:val="18"/>
                      <w:highlight w:val="none"/>
                    </w:rPr>
                    <w:t>室内边界距离</w:t>
                  </w:r>
                </w:p>
              </w:tc>
              <w:tc>
                <w:tcPr>
                  <w:tcW w:w="632" w:type="dxa"/>
                  <w:vMerge w:val="restart"/>
                  <w:vAlign w:val="center"/>
                </w:tcPr>
                <w:p w14:paraId="1A32DBA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室内边界</w:t>
                  </w:r>
                  <w:r>
                    <w:rPr>
                      <w:rFonts w:ascii="Times New Roman" w:hAnsi="Times New Roman" w:eastAsia="宋体" w:cs="宋体"/>
                      <w:b/>
                      <w:bCs/>
                      <w:color w:val="auto"/>
                      <w:sz w:val="18"/>
                      <w:szCs w:val="18"/>
                      <w:highlight w:val="none"/>
                    </w:rPr>
                    <w:t>声级</w:t>
                  </w:r>
                </w:p>
                <w:p w14:paraId="2B679C4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/dB（A）</w:t>
                  </w:r>
                </w:p>
              </w:tc>
              <w:tc>
                <w:tcPr>
                  <w:tcW w:w="372" w:type="dxa"/>
                  <w:vMerge w:val="restart"/>
                  <w:vAlign w:val="center"/>
                </w:tcPr>
                <w:p w14:paraId="44EF894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运行时段</w:t>
                  </w:r>
                </w:p>
              </w:tc>
              <w:tc>
                <w:tcPr>
                  <w:tcW w:w="507" w:type="dxa"/>
                  <w:vMerge w:val="restart"/>
                  <w:vAlign w:val="center"/>
                </w:tcPr>
                <w:p w14:paraId="312F2C1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建筑物插入损失</w:t>
                  </w:r>
                  <w:r>
                    <w:rPr>
                      <w:rFonts w:hint="eastAsia" w:ascii="Times New Roman" w:hAnsi="Times New Roman" w:eastAsia="宋体" w:cs="宋体"/>
                      <w:b/>
                      <w:bCs/>
                      <w:color w:val="auto"/>
                      <w:sz w:val="18"/>
                      <w:szCs w:val="18"/>
                      <w:highlight w:val="none"/>
                    </w:rPr>
                    <w:t>/dB（A）</w:t>
                  </w:r>
                </w:p>
              </w:tc>
              <w:tc>
                <w:tcPr>
                  <w:tcW w:w="1089" w:type="dxa"/>
                  <w:gridSpan w:val="2"/>
                  <w:vAlign w:val="center"/>
                </w:tcPr>
                <w:p w14:paraId="50974AB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建筑物外噪声</w:t>
                  </w:r>
                </w:p>
              </w:tc>
            </w:tr>
            <w:tr w14:paraId="3287B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4DDCFB7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692" w:type="dxa"/>
                  <w:vMerge w:val="continue"/>
                  <w:vAlign w:val="center"/>
                </w:tcPr>
                <w:p w14:paraId="16073D7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837" w:type="dxa"/>
                  <w:vMerge w:val="continue"/>
                  <w:vAlign w:val="center"/>
                </w:tcPr>
                <w:p w14:paraId="11DE153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974" w:type="dxa"/>
                  <w:vMerge w:val="continue"/>
                  <w:vAlign w:val="center"/>
                </w:tcPr>
                <w:p w14:paraId="1D8F87E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766" w:type="dxa"/>
                  <w:vAlign w:val="center"/>
                </w:tcPr>
                <w:p w14:paraId="5A31D7C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声功率级</w:t>
                  </w:r>
                </w:p>
                <w:p w14:paraId="18D0BC8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/dB（A）</w:t>
                  </w:r>
                </w:p>
              </w:tc>
              <w:tc>
                <w:tcPr>
                  <w:tcW w:w="410" w:type="dxa"/>
                  <w:vMerge w:val="continue"/>
                  <w:vAlign w:val="center"/>
                </w:tcPr>
                <w:p w14:paraId="1482196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291" w:type="dxa"/>
                  <w:vAlign w:val="center"/>
                </w:tcPr>
                <w:p w14:paraId="2F3F468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X</w:t>
                  </w:r>
                </w:p>
              </w:tc>
              <w:tc>
                <w:tcPr>
                  <w:tcW w:w="285" w:type="dxa"/>
                  <w:vAlign w:val="center"/>
                </w:tcPr>
                <w:p w14:paraId="73A85A6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Y</w:t>
                  </w:r>
                </w:p>
              </w:tc>
              <w:tc>
                <w:tcPr>
                  <w:tcW w:w="280" w:type="dxa"/>
                  <w:vAlign w:val="center"/>
                </w:tcPr>
                <w:p w14:paraId="7E3A1B0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Z</w:t>
                  </w:r>
                </w:p>
              </w:tc>
              <w:tc>
                <w:tcPr>
                  <w:tcW w:w="392" w:type="dxa"/>
                  <w:vAlign w:val="center"/>
                </w:tcPr>
                <w:p w14:paraId="54BF46F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方向</w:t>
                  </w:r>
                </w:p>
              </w:tc>
              <w:tc>
                <w:tcPr>
                  <w:tcW w:w="393" w:type="dxa"/>
                  <w:vAlign w:val="center"/>
                </w:tcPr>
                <w:p w14:paraId="15A6EBC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距离</w:t>
                  </w:r>
                </w:p>
              </w:tc>
              <w:tc>
                <w:tcPr>
                  <w:tcW w:w="632" w:type="dxa"/>
                  <w:vMerge w:val="continue"/>
                  <w:vAlign w:val="center"/>
                </w:tcPr>
                <w:p w14:paraId="6F5C072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372" w:type="dxa"/>
                  <w:vMerge w:val="continue"/>
                  <w:vAlign w:val="center"/>
                </w:tcPr>
                <w:p w14:paraId="0C6A862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507" w:type="dxa"/>
                  <w:vMerge w:val="continue"/>
                  <w:vAlign w:val="center"/>
                </w:tcPr>
                <w:p w14:paraId="14287A0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p>
              </w:tc>
              <w:tc>
                <w:tcPr>
                  <w:tcW w:w="666" w:type="dxa"/>
                  <w:vAlign w:val="center"/>
                </w:tcPr>
                <w:p w14:paraId="681C256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声压级</w:t>
                  </w:r>
                </w:p>
                <w:p w14:paraId="1E575DA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hint="eastAsia" w:ascii="Times New Roman" w:hAnsi="Times New Roman" w:eastAsia="宋体" w:cs="宋体"/>
                      <w:b/>
                      <w:bCs/>
                      <w:color w:val="auto"/>
                      <w:sz w:val="18"/>
                      <w:szCs w:val="18"/>
                      <w:highlight w:val="none"/>
                    </w:rPr>
                    <w:t>/dB（A）</w:t>
                  </w:r>
                </w:p>
              </w:tc>
              <w:tc>
                <w:tcPr>
                  <w:tcW w:w="423" w:type="dxa"/>
                  <w:vAlign w:val="center"/>
                </w:tcPr>
                <w:p w14:paraId="143E5A8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
                      <w:bCs/>
                      <w:color w:val="auto"/>
                      <w:sz w:val="18"/>
                      <w:szCs w:val="18"/>
                      <w:highlight w:val="none"/>
                    </w:rPr>
                  </w:pPr>
                  <w:r>
                    <w:rPr>
                      <w:rFonts w:ascii="Times New Roman" w:hAnsi="Times New Roman" w:eastAsia="宋体" w:cs="宋体"/>
                      <w:b/>
                      <w:bCs/>
                      <w:color w:val="auto"/>
                      <w:sz w:val="18"/>
                      <w:szCs w:val="18"/>
                      <w:highlight w:val="none"/>
                    </w:rPr>
                    <w:t>建筑物外距离</w:t>
                  </w:r>
                </w:p>
              </w:tc>
            </w:tr>
            <w:tr w14:paraId="0C7BF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593A0F8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1</w:t>
                  </w:r>
                </w:p>
              </w:tc>
              <w:tc>
                <w:tcPr>
                  <w:tcW w:w="692" w:type="dxa"/>
                  <w:vMerge w:val="restart"/>
                  <w:vAlign w:val="center"/>
                </w:tcPr>
                <w:p w14:paraId="5A59EA83">
                  <w:pPr>
                    <w:keepNext w:val="0"/>
                    <w:keepLines w:val="0"/>
                    <w:pageBreakBefore w:val="0"/>
                    <w:kinsoku/>
                    <w:wordWrap/>
                    <w:overflowPunct/>
                    <w:topLinePunct w:val="0"/>
                    <w:autoSpaceDE/>
                    <w:autoSpaceDN/>
                    <w:bidi w:val="0"/>
                    <w:adjustRightInd/>
                    <w:snapToGrid w:val="0"/>
                    <w:jc w:val="center"/>
                    <w:rPr>
                      <w:rFonts w:hint="eastAsia" w:cs="宋体"/>
                      <w:color w:val="auto"/>
                      <w:sz w:val="18"/>
                      <w:szCs w:val="18"/>
                      <w:highlight w:val="none"/>
                      <w:lang w:val="en-US" w:eastAsia="zh-CN"/>
                    </w:rPr>
                  </w:pPr>
                  <w:r>
                    <w:rPr>
                      <w:rFonts w:hint="eastAsia" w:cs="宋体"/>
                      <w:color w:val="auto"/>
                      <w:sz w:val="18"/>
                      <w:szCs w:val="18"/>
                      <w:highlight w:val="none"/>
                      <w:lang w:val="en-US" w:eastAsia="zh-CN"/>
                    </w:rPr>
                    <w:t>压铸</w:t>
                  </w:r>
                </w:p>
                <w:p w14:paraId="2C3549D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color w:val="auto"/>
                      <w:sz w:val="18"/>
                      <w:szCs w:val="18"/>
                      <w:highlight w:val="none"/>
                    </w:rPr>
                    <w:t>车间</w:t>
                  </w:r>
                </w:p>
              </w:tc>
              <w:tc>
                <w:tcPr>
                  <w:tcW w:w="837" w:type="dxa"/>
                  <w:vMerge w:val="restart"/>
                  <w:vAlign w:val="center"/>
                </w:tcPr>
                <w:p w14:paraId="5AF7DA8A">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val="en-US" w:eastAsia="zh-CN"/>
                    </w:rPr>
                  </w:pPr>
                  <w:r>
                    <w:rPr>
                      <w:rFonts w:hint="eastAsia" w:ascii="Times New Roman" w:hAnsi="Times New Roman" w:eastAsia="宋体" w:cs="宋体"/>
                      <w:color w:val="auto"/>
                      <w:spacing w:val="-4"/>
                      <w:sz w:val="18"/>
                      <w:szCs w:val="18"/>
                      <w:highlight w:val="none"/>
                      <w:lang w:val="en-US" w:eastAsia="zh-CN"/>
                    </w:rPr>
                    <w:t>压铸机</w:t>
                  </w:r>
                </w:p>
              </w:tc>
              <w:tc>
                <w:tcPr>
                  <w:tcW w:w="974" w:type="dxa"/>
                  <w:vMerge w:val="restart"/>
                  <w:vAlign w:val="center"/>
                </w:tcPr>
                <w:p w14:paraId="04C0C0E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pacing w:val="-4"/>
                      <w:sz w:val="18"/>
                      <w:szCs w:val="18"/>
                      <w:highlight w:val="none"/>
                      <w:lang w:val="en-US" w:eastAsia="zh-CN"/>
                    </w:rPr>
                  </w:pPr>
                  <w:r>
                    <w:rPr>
                      <w:rFonts w:hint="eastAsia" w:cs="宋体"/>
                      <w:color w:val="auto"/>
                      <w:spacing w:val="-4"/>
                      <w:sz w:val="18"/>
                      <w:szCs w:val="18"/>
                      <w:highlight w:val="none"/>
                      <w:lang w:val="en-US" w:eastAsia="zh-CN"/>
                    </w:rPr>
                    <w:t>900t</w:t>
                  </w:r>
                </w:p>
              </w:tc>
              <w:tc>
                <w:tcPr>
                  <w:tcW w:w="766" w:type="dxa"/>
                  <w:vMerge w:val="restart"/>
                  <w:vAlign w:val="center"/>
                </w:tcPr>
                <w:p w14:paraId="4F11CE05">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val="en-US" w:eastAsia="zh-CN"/>
                    </w:rPr>
                  </w:pPr>
                  <w:r>
                    <w:rPr>
                      <w:rFonts w:hint="eastAsia" w:ascii="Times New Roman" w:hAnsi="Times New Roman" w:eastAsia="宋体" w:cs="宋体"/>
                      <w:color w:val="auto"/>
                      <w:spacing w:val="-4"/>
                      <w:sz w:val="18"/>
                      <w:szCs w:val="18"/>
                      <w:highlight w:val="none"/>
                      <w:lang w:val="en-US" w:eastAsia="zh-CN"/>
                    </w:rPr>
                    <w:t>85</w:t>
                  </w:r>
                </w:p>
              </w:tc>
              <w:tc>
                <w:tcPr>
                  <w:tcW w:w="410" w:type="dxa"/>
                  <w:vMerge w:val="restart"/>
                  <w:vAlign w:val="center"/>
                </w:tcPr>
                <w:p w14:paraId="4FBBC45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color w:val="auto"/>
                      <w:sz w:val="18"/>
                      <w:szCs w:val="18"/>
                      <w:highlight w:val="none"/>
                    </w:rPr>
                    <w:t>设备基础减震、软连接、隔声罩</w:t>
                  </w:r>
                </w:p>
              </w:tc>
              <w:tc>
                <w:tcPr>
                  <w:tcW w:w="291" w:type="dxa"/>
                  <w:vMerge w:val="restart"/>
                  <w:vAlign w:val="center"/>
                </w:tcPr>
                <w:p w14:paraId="174F9FB8">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0</w:t>
                  </w:r>
                </w:p>
              </w:tc>
              <w:tc>
                <w:tcPr>
                  <w:tcW w:w="285" w:type="dxa"/>
                  <w:vMerge w:val="restart"/>
                  <w:vAlign w:val="center"/>
                </w:tcPr>
                <w:p w14:paraId="7A83AD8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-24</w:t>
                  </w:r>
                </w:p>
              </w:tc>
              <w:tc>
                <w:tcPr>
                  <w:tcW w:w="280" w:type="dxa"/>
                  <w:vMerge w:val="restart"/>
                  <w:vAlign w:val="center"/>
                </w:tcPr>
                <w:p w14:paraId="37395B13">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392" w:type="dxa"/>
                  <w:vAlign w:val="center"/>
                </w:tcPr>
                <w:p w14:paraId="5279D57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766EAC6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34</w:t>
                  </w:r>
                </w:p>
              </w:tc>
              <w:tc>
                <w:tcPr>
                  <w:tcW w:w="632" w:type="dxa"/>
                  <w:vAlign w:val="center"/>
                </w:tcPr>
                <w:p w14:paraId="71DFC41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63.1</w:t>
                  </w:r>
                </w:p>
              </w:tc>
              <w:tc>
                <w:tcPr>
                  <w:tcW w:w="372" w:type="dxa"/>
                  <w:vMerge w:val="restart"/>
                  <w:vAlign w:val="center"/>
                </w:tcPr>
                <w:p w14:paraId="6606F4C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昼</w:t>
                  </w:r>
                </w:p>
              </w:tc>
              <w:tc>
                <w:tcPr>
                  <w:tcW w:w="507" w:type="dxa"/>
                  <w:vMerge w:val="restart"/>
                  <w:vAlign w:val="center"/>
                </w:tcPr>
                <w:p w14:paraId="61F2E6C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20</w:t>
                  </w:r>
                </w:p>
              </w:tc>
              <w:tc>
                <w:tcPr>
                  <w:tcW w:w="666" w:type="dxa"/>
                  <w:vAlign w:val="center"/>
                </w:tcPr>
                <w:p w14:paraId="0DB44F4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37.1</w:t>
                  </w:r>
                </w:p>
              </w:tc>
              <w:tc>
                <w:tcPr>
                  <w:tcW w:w="423" w:type="dxa"/>
                  <w:vMerge w:val="restart"/>
                  <w:vAlign w:val="center"/>
                </w:tcPr>
                <w:p w14:paraId="6438463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1</w:t>
                  </w:r>
                </w:p>
              </w:tc>
            </w:tr>
            <w:tr w14:paraId="4127F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30FF7CA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4854FA7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33E101E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4B62702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22EB539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3372CB6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2C089A1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6F4037D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08540B5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67CF4B6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1F72CD1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28</w:t>
                  </w:r>
                </w:p>
              </w:tc>
              <w:tc>
                <w:tcPr>
                  <w:tcW w:w="632" w:type="dxa"/>
                  <w:vAlign w:val="center"/>
                </w:tcPr>
                <w:p w14:paraId="4EED4E2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63.2</w:t>
                  </w:r>
                </w:p>
              </w:tc>
              <w:tc>
                <w:tcPr>
                  <w:tcW w:w="372" w:type="dxa"/>
                  <w:vMerge w:val="continue"/>
                  <w:vAlign w:val="center"/>
                </w:tcPr>
                <w:p w14:paraId="34C8D95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4100398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279587D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37.2</w:t>
                  </w:r>
                </w:p>
              </w:tc>
              <w:tc>
                <w:tcPr>
                  <w:tcW w:w="423" w:type="dxa"/>
                  <w:vMerge w:val="continue"/>
                  <w:vAlign w:val="center"/>
                </w:tcPr>
                <w:p w14:paraId="2AC8E82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64A0F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403AE88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0529374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6760007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700272B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178FE69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02D6001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7C944B8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4F00BD9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4AD8A63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3142FED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56A8E15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36</w:t>
                  </w:r>
                </w:p>
              </w:tc>
              <w:tc>
                <w:tcPr>
                  <w:tcW w:w="632" w:type="dxa"/>
                  <w:vAlign w:val="center"/>
                </w:tcPr>
                <w:p w14:paraId="30D536A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63.0</w:t>
                  </w:r>
                </w:p>
              </w:tc>
              <w:tc>
                <w:tcPr>
                  <w:tcW w:w="372" w:type="dxa"/>
                  <w:vMerge w:val="continue"/>
                  <w:vAlign w:val="center"/>
                </w:tcPr>
                <w:p w14:paraId="14FBAF8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42742F3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6566FA2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37.0</w:t>
                  </w:r>
                </w:p>
              </w:tc>
              <w:tc>
                <w:tcPr>
                  <w:tcW w:w="423" w:type="dxa"/>
                  <w:vMerge w:val="continue"/>
                  <w:vAlign w:val="center"/>
                </w:tcPr>
                <w:p w14:paraId="121058E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616B7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251CECE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141A42C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483E758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06B9C73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276FFBB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32269BE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721DC26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76CDA6E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5D86BFA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6395C3E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41C26F07">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67</w:t>
                  </w:r>
                </w:p>
              </w:tc>
              <w:tc>
                <w:tcPr>
                  <w:tcW w:w="632" w:type="dxa"/>
                  <w:vAlign w:val="center"/>
                </w:tcPr>
                <w:p w14:paraId="27E651A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62.9</w:t>
                  </w:r>
                </w:p>
              </w:tc>
              <w:tc>
                <w:tcPr>
                  <w:tcW w:w="372" w:type="dxa"/>
                  <w:vMerge w:val="continue"/>
                  <w:vAlign w:val="center"/>
                </w:tcPr>
                <w:p w14:paraId="072BACC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089E5D5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2F380EB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423" w:type="dxa"/>
                  <w:vMerge w:val="continue"/>
                  <w:vAlign w:val="center"/>
                </w:tcPr>
                <w:p w14:paraId="3D76F2E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0AC7B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1AC04C1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2</w:t>
                  </w:r>
                </w:p>
              </w:tc>
              <w:tc>
                <w:tcPr>
                  <w:tcW w:w="692" w:type="dxa"/>
                  <w:vMerge w:val="continue"/>
                  <w:vAlign w:val="center"/>
                </w:tcPr>
                <w:p w14:paraId="4ED0E5D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restart"/>
                  <w:vAlign w:val="center"/>
                </w:tcPr>
                <w:p w14:paraId="6A6BDD40">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eastAsia="zh-CN"/>
                    </w:rPr>
                  </w:pPr>
                  <w:r>
                    <w:rPr>
                      <w:rFonts w:hint="eastAsia" w:ascii="Times New Roman" w:hAnsi="Times New Roman" w:eastAsia="宋体" w:cs="宋体"/>
                      <w:color w:val="auto"/>
                      <w:spacing w:val="-4"/>
                      <w:sz w:val="18"/>
                      <w:szCs w:val="18"/>
                      <w:highlight w:val="none"/>
                      <w:lang w:eastAsia="zh-CN"/>
                    </w:rPr>
                    <w:t>天然气熔化炉</w:t>
                  </w:r>
                </w:p>
              </w:tc>
              <w:tc>
                <w:tcPr>
                  <w:tcW w:w="974" w:type="dxa"/>
                  <w:vMerge w:val="restart"/>
                  <w:vAlign w:val="center"/>
                </w:tcPr>
                <w:p w14:paraId="3E69B47E">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cs="宋体"/>
                      <w:color w:val="auto"/>
                      <w:spacing w:val="-4"/>
                      <w:sz w:val="18"/>
                      <w:szCs w:val="18"/>
                      <w:highlight w:val="none"/>
                      <w:lang w:val="en-US" w:eastAsia="zh-CN"/>
                    </w:rPr>
                    <w:t>1000kg</w:t>
                  </w:r>
                </w:p>
              </w:tc>
              <w:tc>
                <w:tcPr>
                  <w:tcW w:w="766" w:type="dxa"/>
                  <w:vMerge w:val="restart"/>
                  <w:vAlign w:val="center"/>
                </w:tcPr>
                <w:p w14:paraId="0C8C665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80</w:t>
                  </w:r>
                </w:p>
              </w:tc>
              <w:tc>
                <w:tcPr>
                  <w:tcW w:w="410" w:type="dxa"/>
                  <w:vMerge w:val="continue"/>
                  <w:vAlign w:val="center"/>
                </w:tcPr>
                <w:p w14:paraId="387A6CB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6C09C4A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-19</w:t>
                  </w:r>
                </w:p>
              </w:tc>
              <w:tc>
                <w:tcPr>
                  <w:tcW w:w="285" w:type="dxa"/>
                  <w:vMerge w:val="restart"/>
                  <w:vAlign w:val="center"/>
                </w:tcPr>
                <w:p w14:paraId="0321B7B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-18</w:t>
                  </w:r>
                </w:p>
              </w:tc>
              <w:tc>
                <w:tcPr>
                  <w:tcW w:w="280" w:type="dxa"/>
                  <w:vMerge w:val="restart"/>
                  <w:vAlign w:val="center"/>
                </w:tcPr>
                <w:p w14:paraId="028E61AA">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392" w:type="dxa"/>
                  <w:vAlign w:val="center"/>
                </w:tcPr>
                <w:p w14:paraId="32B7686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063B7C2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52</w:t>
                  </w:r>
                </w:p>
              </w:tc>
              <w:tc>
                <w:tcPr>
                  <w:tcW w:w="632" w:type="dxa"/>
                  <w:vAlign w:val="center"/>
                </w:tcPr>
                <w:p w14:paraId="5392496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62.9</w:t>
                  </w:r>
                </w:p>
              </w:tc>
              <w:tc>
                <w:tcPr>
                  <w:tcW w:w="372" w:type="dxa"/>
                  <w:vMerge w:val="continue"/>
                  <w:vAlign w:val="center"/>
                </w:tcPr>
                <w:p w14:paraId="4D6DE06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2A9E2EB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2862A3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423" w:type="dxa"/>
                  <w:vMerge w:val="restart"/>
                  <w:vAlign w:val="center"/>
                </w:tcPr>
                <w:p w14:paraId="4422EE2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1</w:t>
                  </w:r>
                </w:p>
              </w:tc>
            </w:tr>
            <w:tr w14:paraId="1D098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322688A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1866ADA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33C78E9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0EAAE15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57BC371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6D9CC9C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742FBC2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55687C4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2047737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2D7239E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46EE0BD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26</w:t>
                  </w:r>
                </w:p>
              </w:tc>
              <w:tc>
                <w:tcPr>
                  <w:tcW w:w="632" w:type="dxa"/>
                  <w:vAlign w:val="center"/>
                </w:tcPr>
                <w:p w14:paraId="5CA79CF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63.3</w:t>
                  </w:r>
                </w:p>
              </w:tc>
              <w:tc>
                <w:tcPr>
                  <w:tcW w:w="372" w:type="dxa"/>
                  <w:vMerge w:val="continue"/>
                  <w:vAlign w:val="center"/>
                </w:tcPr>
                <w:p w14:paraId="43558AD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3ECCD9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339DB4C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37.3</w:t>
                  </w:r>
                </w:p>
              </w:tc>
              <w:tc>
                <w:tcPr>
                  <w:tcW w:w="423" w:type="dxa"/>
                  <w:vMerge w:val="continue"/>
                  <w:vAlign w:val="center"/>
                </w:tcPr>
                <w:p w14:paraId="38F8550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460BE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4B0B35A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0801696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4724966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2588D62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0208F53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50BCEC7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223E219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4A89EFC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17BDD3B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4F60A9F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7EDEC86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18</w:t>
                  </w:r>
                </w:p>
              </w:tc>
              <w:tc>
                <w:tcPr>
                  <w:tcW w:w="632" w:type="dxa"/>
                  <w:vAlign w:val="center"/>
                </w:tcPr>
                <w:p w14:paraId="0D31CDA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63.7</w:t>
                  </w:r>
                </w:p>
              </w:tc>
              <w:tc>
                <w:tcPr>
                  <w:tcW w:w="372" w:type="dxa"/>
                  <w:vMerge w:val="continue"/>
                  <w:vAlign w:val="center"/>
                </w:tcPr>
                <w:p w14:paraId="3213F02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284CFB7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5E8992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37.7</w:t>
                  </w:r>
                </w:p>
              </w:tc>
              <w:tc>
                <w:tcPr>
                  <w:tcW w:w="423" w:type="dxa"/>
                  <w:vMerge w:val="continue"/>
                  <w:vAlign w:val="center"/>
                </w:tcPr>
                <w:p w14:paraId="7639EC6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68F0D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4D696B1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69A4854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5C48917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19293F3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3B6C131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075D568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01F973D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389CF56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0C19763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1DCBECA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47FB712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68</w:t>
                  </w:r>
                </w:p>
              </w:tc>
              <w:tc>
                <w:tcPr>
                  <w:tcW w:w="632" w:type="dxa"/>
                  <w:vAlign w:val="center"/>
                </w:tcPr>
                <w:p w14:paraId="0E8D641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62.9</w:t>
                  </w:r>
                </w:p>
              </w:tc>
              <w:tc>
                <w:tcPr>
                  <w:tcW w:w="372" w:type="dxa"/>
                  <w:vMerge w:val="continue"/>
                  <w:vAlign w:val="center"/>
                </w:tcPr>
                <w:p w14:paraId="05B5E07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21A7593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543C6816">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423" w:type="dxa"/>
                  <w:vMerge w:val="continue"/>
                  <w:vAlign w:val="center"/>
                </w:tcPr>
                <w:p w14:paraId="1BDE4F4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111E8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3A19C50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3</w:t>
                  </w:r>
                </w:p>
              </w:tc>
              <w:tc>
                <w:tcPr>
                  <w:tcW w:w="692" w:type="dxa"/>
                  <w:vMerge w:val="restart"/>
                  <w:vAlign w:val="center"/>
                </w:tcPr>
                <w:p w14:paraId="4E09863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cs="宋体"/>
                      <w:color w:val="auto"/>
                      <w:sz w:val="18"/>
                      <w:szCs w:val="18"/>
                      <w:highlight w:val="none"/>
                      <w:lang w:val="en-US" w:eastAsia="zh-CN"/>
                    </w:rPr>
                    <w:t>机加工</w:t>
                  </w:r>
                  <w:r>
                    <w:rPr>
                      <w:rFonts w:hint="eastAsia" w:ascii="Times New Roman" w:hAnsi="Times New Roman" w:eastAsia="宋体" w:cs="宋体"/>
                      <w:color w:val="auto"/>
                      <w:sz w:val="18"/>
                      <w:szCs w:val="18"/>
                      <w:highlight w:val="none"/>
                    </w:rPr>
                    <w:t>车间</w:t>
                  </w:r>
                </w:p>
              </w:tc>
              <w:tc>
                <w:tcPr>
                  <w:tcW w:w="837" w:type="dxa"/>
                  <w:vMerge w:val="restart"/>
                  <w:vAlign w:val="center"/>
                </w:tcPr>
                <w:p w14:paraId="41291946">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eastAsia="zh-CN"/>
                    </w:rPr>
                  </w:pPr>
                  <w:r>
                    <w:rPr>
                      <w:rFonts w:hint="eastAsia" w:ascii="Times New Roman" w:hAnsi="Times New Roman" w:eastAsia="宋体" w:cs="宋体"/>
                      <w:color w:val="auto"/>
                      <w:spacing w:val="-4"/>
                      <w:sz w:val="18"/>
                      <w:szCs w:val="18"/>
                      <w:highlight w:val="none"/>
                      <w:lang w:eastAsia="zh-CN"/>
                    </w:rPr>
                    <w:t>数控车床</w:t>
                  </w:r>
                </w:p>
              </w:tc>
              <w:tc>
                <w:tcPr>
                  <w:tcW w:w="974" w:type="dxa"/>
                  <w:vMerge w:val="restart"/>
                  <w:vAlign w:val="center"/>
                </w:tcPr>
                <w:p w14:paraId="2220D032">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eastAsia="宋体" w:cs="宋体"/>
                      <w:color w:val="auto"/>
                      <w:sz w:val="18"/>
                      <w:szCs w:val="18"/>
                      <w:highlight w:val="none"/>
                      <w:lang w:val="en-US" w:eastAsia="zh-CN"/>
                    </w:rPr>
                    <w:t>/</w:t>
                  </w:r>
                </w:p>
              </w:tc>
              <w:tc>
                <w:tcPr>
                  <w:tcW w:w="766" w:type="dxa"/>
                  <w:vMerge w:val="restart"/>
                  <w:vAlign w:val="center"/>
                </w:tcPr>
                <w:p w14:paraId="1569F39D">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eastAsia="宋体" w:cs="宋体"/>
                      <w:color w:val="auto"/>
                      <w:sz w:val="18"/>
                      <w:szCs w:val="18"/>
                      <w:highlight w:val="none"/>
                    </w:rPr>
                    <w:t>8</w:t>
                  </w:r>
                  <w:r>
                    <w:rPr>
                      <w:rFonts w:hint="eastAsia" w:ascii="Times New Roman" w:hAnsi="Times New Roman" w:eastAsia="宋体" w:cs="宋体"/>
                      <w:color w:val="auto"/>
                      <w:sz w:val="18"/>
                      <w:szCs w:val="18"/>
                      <w:highlight w:val="none"/>
                      <w:lang w:val="en-US" w:eastAsia="zh-CN"/>
                    </w:rPr>
                    <w:t>2</w:t>
                  </w:r>
                </w:p>
              </w:tc>
              <w:tc>
                <w:tcPr>
                  <w:tcW w:w="410" w:type="dxa"/>
                  <w:vMerge w:val="continue"/>
                  <w:vAlign w:val="center"/>
                </w:tcPr>
                <w:p w14:paraId="0EEA15B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1AD44490">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8</w:t>
                  </w:r>
                </w:p>
              </w:tc>
              <w:tc>
                <w:tcPr>
                  <w:tcW w:w="285" w:type="dxa"/>
                  <w:vMerge w:val="restart"/>
                  <w:vAlign w:val="center"/>
                </w:tcPr>
                <w:p w14:paraId="237505A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11</w:t>
                  </w:r>
                </w:p>
              </w:tc>
              <w:tc>
                <w:tcPr>
                  <w:tcW w:w="280" w:type="dxa"/>
                  <w:vMerge w:val="restart"/>
                  <w:vAlign w:val="center"/>
                </w:tcPr>
                <w:p w14:paraId="4D765167">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392" w:type="dxa"/>
                  <w:vAlign w:val="center"/>
                </w:tcPr>
                <w:p w14:paraId="5AB6697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2B0108D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38</w:t>
                  </w:r>
                </w:p>
              </w:tc>
              <w:tc>
                <w:tcPr>
                  <w:tcW w:w="632" w:type="dxa"/>
                  <w:vAlign w:val="center"/>
                </w:tcPr>
                <w:p w14:paraId="0162918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58.3</w:t>
                  </w:r>
                </w:p>
              </w:tc>
              <w:tc>
                <w:tcPr>
                  <w:tcW w:w="372" w:type="dxa"/>
                  <w:vMerge w:val="continue"/>
                  <w:vAlign w:val="center"/>
                </w:tcPr>
                <w:p w14:paraId="4D9DA19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7F4F246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5532ABE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restart"/>
                  <w:vAlign w:val="center"/>
                </w:tcPr>
                <w:p w14:paraId="4BD588F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1</w:t>
                  </w:r>
                </w:p>
                <w:p w14:paraId="110734F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5FC87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752418C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5169288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7869031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0DC8961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1FF2097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1743DA3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6751FE7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32CC70A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096E575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5E82F2E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49C7243E">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61</w:t>
                  </w:r>
                </w:p>
              </w:tc>
              <w:tc>
                <w:tcPr>
                  <w:tcW w:w="632" w:type="dxa"/>
                  <w:vAlign w:val="center"/>
                </w:tcPr>
                <w:p w14:paraId="1B94C11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58.1</w:t>
                  </w:r>
                </w:p>
              </w:tc>
              <w:tc>
                <w:tcPr>
                  <w:tcW w:w="372" w:type="dxa"/>
                  <w:vMerge w:val="continue"/>
                  <w:vAlign w:val="center"/>
                </w:tcPr>
                <w:p w14:paraId="13D690A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181993A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1D3B8F7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32.1</w:t>
                  </w:r>
                </w:p>
              </w:tc>
              <w:tc>
                <w:tcPr>
                  <w:tcW w:w="423" w:type="dxa"/>
                  <w:vMerge w:val="continue"/>
                  <w:vAlign w:val="center"/>
                </w:tcPr>
                <w:p w14:paraId="2553115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64A2A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30FDD2F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70DD963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259F6B9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125C4AA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EC0917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1E6A678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6EB4B61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71A303C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7D95E6E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50C90E4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4020963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35</w:t>
                  </w:r>
                </w:p>
              </w:tc>
              <w:tc>
                <w:tcPr>
                  <w:tcW w:w="632" w:type="dxa"/>
                  <w:vAlign w:val="center"/>
                </w:tcPr>
                <w:p w14:paraId="0E8B9A5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58.3</w:t>
                  </w:r>
                </w:p>
              </w:tc>
              <w:tc>
                <w:tcPr>
                  <w:tcW w:w="372" w:type="dxa"/>
                  <w:vMerge w:val="continue"/>
                  <w:vAlign w:val="center"/>
                </w:tcPr>
                <w:p w14:paraId="7BEE3F8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07CD12C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479E3F8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continue"/>
                  <w:vAlign w:val="center"/>
                </w:tcPr>
                <w:p w14:paraId="54F548D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3053B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2233703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22F88E4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195F2DD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4B54E63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3B887DD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4BDAF36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0636E90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096C6CC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0D5F053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6565043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487EEA33">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31</w:t>
                  </w:r>
                </w:p>
              </w:tc>
              <w:tc>
                <w:tcPr>
                  <w:tcW w:w="632" w:type="dxa"/>
                  <w:vAlign w:val="center"/>
                </w:tcPr>
                <w:p w14:paraId="30FDBC33">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58.4</w:t>
                  </w:r>
                </w:p>
              </w:tc>
              <w:tc>
                <w:tcPr>
                  <w:tcW w:w="372" w:type="dxa"/>
                  <w:vMerge w:val="continue"/>
                  <w:vAlign w:val="center"/>
                </w:tcPr>
                <w:p w14:paraId="6A5F10A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A47E11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34CD467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32.4</w:t>
                  </w:r>
                </w:p>
              </w:tc>
              <w:tc>
                <w:tcPr>
                  <w:tcW w:w="423" w:type="dxa"/>
                  <w:vMerge w:val="continue"/>
                  <w:vAlign w:val="center"/>
                </w:tcPr>
                <w:p w14:paraId="7735700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28710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6FFC9F4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4</w:t>
                  </w:r>
                </w:p>
              </w:tc>
              <w:tc>
                <w:tcPr>
                  <w:tcW w:w="692" w:type="dxa"/>
                  <w:vMerge w:val="continue"/>
                  <w:vAlign w:val="center"/>
                </w:tcPr>
                <w:p w14:paraId="0009021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restart"/>
                  <w:vAlign w:val="center"/>
                </w:tcPr>
                <w:p w14:paraId="48965FE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pacing w:val="-4"/>
                      <w:sz w:val="18"/>
                      <w:szCs w:val="18"/>
                      <w:highlight w:val="none"/>
                      <w:lang w:val="en-US" w:eastAsia="zh-CN"/>
                    </w:rPr>
                  </w:pPr>
                  <w:r>
                    <w:rPr>
                      <w:rFonts w:hint="default" w:ascii="Times New Roman" w:hAnsi="Times New Roman" w:eastAsia="宋体" w:cs="宋体"/>
                      <w:color w:val="auto"/>
                      <w:spacing w:val="-4"/>
                      <w:sz w:val="18"/>
                      <w:szCs w:val="18"/>
                      <w:highlight w:val="none"/>
                      <w:lang w:val="en-US" w:eastAsia="zh-CN"/>
                    </w:rPr>
                    <w:t>加工中心</w:t>
                  </w:r>
                </w:p>
              </w:tc>
              <w:tc>
                <w:tcPr>
                  <w:tcW w:w="974" w:type="dxa"/>
                  <w:vMerge w:val="restart"/>
                  <w:vAlign w:val="center"/>
                </w:tcPr>
                <w:p w14:paraId="1DB91385">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eastAsia="宋体" w:cs="宋体"/>
                      <w:color w:val="auto"/>
                      <w:sz w:val="18"/>
                      <w:szCs w:val="18"/>
                      <w:highlight w:val="none"/>
                      <w:lang w:val="en-US" w:eastAsia="zh-CN"/>
                    </w:rPr>
                    <w:t>/</w:t>
                  </w:r>
                </w:p>
              </w:tc>
              <w:tc>
                <w:tcPr>
                  <w:tcW w:w="766" w:type="dxa"/>
                  <w:vMerge w:val="restart"/>
                  <w:vAlign w:val="center"/>
                </w:tcPr>
                <w:p w14:paraId="5111F6A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82</w:t>
                  </w:r>
                </w:p>
              </w:tc>
              <w:tc>
                <w:tcPr>
                  <w:tcW w:w="410" w:type="dxa"/>
                  <w:vMerge w:val="continue"/>
                  <w:vAlign w:val="center"/>
                </w:tcPr>
                <w:p w14:paraId="6256345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2421316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21</w:t>
                  </w:r>
                </w:p>
              </w:tc>
              <w:tc>
                <w:tcPr>
                  <w:tcW w:w="285" w:type="dxa"/>
                  <w:vMerge w:val="restart"/>
                  <w:vAlign w:val="center"/>
                </w:tcPr>
                <w:p w14:paraId="5B71EB5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25</w:t>
                  </w:r>
                </w:p>
              </w:tc>
              <w:tc>
                <w:tcPr>
                  <w:tcW w:w="280" w:type="dxa"/>
                  <w:vMerge w:val="restart"/>
                  <w:vAlign w:val="center"/>
                </w:tcPr>
                <w:p w14:paraId="2755F5EC">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392" w:type="dxa"/>
                  <w:vAlign w:val="center"/>
                </w:tcPr>
                <w:p w14:paraId="30DA10F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6137E66D">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32</w:t>
                  </w:r>
                </w:p>
              </w:tc>
              <w:tc>
                <w:tcPr>
                  <w:tcW w:w="632" w:type="dxa"/>
                  <w:vAlign w:val="center"/>
                </w:tcPr>
                <w:p w14:paraId="3D9D0719">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58.3</w:t>
                  </w:r>
                </w:p>
              </w:tc>
              <w:tc>
                <w:tcPr>
                  <w:tcW w:w="372" w:type="dxa"/>
                  <w:vMerge w:val="continue"/>
                  <w:vAlign w:val="center"/>
                </w:tcPr>
                <w:p w14:paraId="37B47E1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3BD950B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24EF9A0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restart"/>
                  <w:vAlign w:val="center"/>
                </w:tcPr>
                <w:p w14:paraId="1F2DB65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1</w:t>
                  </w:r>
                </w:p>
              </w:tc>
            </w:tr>
            <w:tr w14:paraId="7C069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2F95369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380C272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40816F6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7EA3901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8DC4FC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1D16217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4C8FB26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2C34A81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3D5B5E6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5F29593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34FF1C6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76</w:t>
                  </w:r>
                </w:p>
              </w:tc>
              <w:tc>
                <w:tcPr>
                  <w:tcW w:w="632" w:type="dxa"/>
                  <w:vAlign w:val="center"/>
                </w:tcPr>
                <w:p w14:paraId="717DF93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58.1</w:t>
                  </w:r>
                </w:p>
              </w:tc>
              <w:tc>
                <w:tcPr>
                  <w:tcW w:w="372" w:type="dxa"/>
                  <w:vMerge w:val="continue"/>
                  <w:vAlign w:val="center"/>
                </w:tcPr>
                <w:p w14:paraId="3F45731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32673BF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6C2D960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32.1</w:t>
                  </w:r>
                </w:p>
              </w:tc>
              <w:tc>
                <w:tcPr>
                  <w:tcW w:w="423" w:type="dxa"/>
                  <w:vMerge w:val="continue"/>
                  <w:vAlign w:val="center"/>
                </w:tcPr>
                <w:p w14:paraId="0924638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5AC73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1B8AEDE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115C69A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1A08199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532525C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3E3D73A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4137732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201A305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3ED7553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7E427D7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7F5C48E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2476326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38</w:t>
                  </w:r>
                </w:p>
              </w:tc>
              <w:tc>
                <w:tcPr>
                  <w:tcW w:w="632" w:type="dxa"/>
                  <w:vAlign w:val="center"/>
                </w:tcPr>
                <w:p w14:paraId="74A7FD8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58.3</w:t>
                  </w:r>
                </w:p>
              </w:tc>
              <w:tc>
                <w:tcPr>
                  <w:tcW w:w="372" w:type="dxa"/>
                  <w:vMerge w:val="continue"/>
                  <w:vAlign w:val="center"/>
                </w:tcPr>
                <w:p w14:paraId="3F28B56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37B4567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28F45B4A">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continue"/>
                  <w:vAlign w:val="center"/>
                </w:tcPr>
                <w:p w14:paraId="0E751CC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077B8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14EC9E3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2233A37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1FB6049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09D699A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721DC58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CD7E58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1B74F70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60832A9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793E07A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25B4518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7DA8194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15</w:t>
                  </w:r>
                </w:p>
              </w:tc>
              <w:tc>
                <w:tcPr>
                  <w:tcW w:w="632" w:type="dxa"/>
                  <w:vAlign w:val="center"/>
                </w:tcPr>
                <w:p w14:paraId="1422DC4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59.3</w:t>
                  </w:r>
                </w:p>
              </w:tc>
              <w:tc>
                <w:tcPr>
                  <w:tcW w:w="372" w:type="dxa"/>
                  <w:vMerge w:val="continue"/>
                  <w:vAlign w:val="center"/>
                </w:tcPr>
                <w:p w14:paraId="22622FC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4450F7F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B1C0A1B">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33.3</w:t>
                  </w:r>
                </w:p>
              </w:tc>
              <w:tc>
                <w:tcPr>
                  <w:tcW w:w="423" w:type="dxa"/>
                  <w:vMerge w:val="continue"/>
                  <w:vAlign w:val="center"/>
                </w:tcPr>
                <w:p w14:paraId="7EB2B2C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5E178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443A259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ascii="Times New Roman" w:hAnsi="Times New Roman" w:eastAsia="宋体" w:cs="宋体"/>
                      <w:color w:val="auto"/>
                      <w:sz w:val="18"/>
                      <w:szCs w:val="18"/>
                      <w:highlight w:val="none"/>
                    </w:rPr>
                    <w:t>5</w:t>
                  </w:r>
                </w:p>
              </w:tc>
              <w:tc>
                <w:tcPr>
                  <w:tcW w:w="692" w:type="dxa"/>
                  <w:vMerge w:val="continue"/>
                  <w:vAlign w:val="center"/>
                </w:tcPr>
                <w:p w14:paraId="7F68846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restart"/>
                  <w:vAlign w:val="center"/>
                </w:tcPr>
                <w:p w14:paraId="4EF9B115">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eastAsia="zh-CN"/>
                    </w:rPr>
                  </w:pPr>
                  <w:r>
                    <w:rPr>
                      <w:rFonts w:hint="eastAsia" w:ascii="Times New Roman" w:hAnsi="Times New Roman" w:eastAsia="宋体" w:cs="宋体"/>
                      <w:color w:val="auto"/>
                      <w:spacing w:val="-4"/>
                      <w:sz w:val="18"/>
                      <w:szCs w:val="18"/>
                      <w:highlight w:val="none"/>
                      <w:lang w:eastAsia="zh-CN"/>
                    </w:rPr>
                    <w:t>卧式打</w:t>
                  </w:r>
                </w:p>
                <w:p w14:paraId="0FFCCF84">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pacing w:val="-4"/>
                      <w:sz w:val="18"/>
                      <w:szCs w:val="18"/>
                      <w:highlight w:val="none"/>
                      <w:lang w:eastAsia="zh-CN"/>
                    </w:rPr>
                  </w:pPr>
                  <w:r>
                    <w:rPr>
                      <w:rFonts w:hint="eastAsia" w:ascii="Times New Roman" w:hAnsi="Times New Roman" w:eastAsia="宋体" w:cs="宋体"/>
                      <w:color w:val="auto"/>
                      <w:spacing w:val="-4"/>
                      <w:sz w:val="18"/>
                      <w:szCs w:val="18"/>
                      <w:highlight w:val="none"/>
                      <w:lang w:eastAsia="zh-CN"/>
                    </w:rPr>
                    <w:t>磨机</w:t>
                  </w:r>
                </w:p>
              </w:tc>
              <w:tc>
                <w:tcPr>
                  <w:tcW w:w="974" w:type="dxa"/>
                  <w:vMerge w:val="restart"/>
                  <w:vAlign w:val="center"/>
                </w:tcPr>
                <w:p w14:paraId="605F7F2C">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eastAsia="宋体" w:cs="宋体"/>
                      <w:color w:val="auto"/>
                      <w:sz w:val="18"/>
                      <w:szCs w:val="18"/>
                      <w:highlight w:val="none"/>
                      <w:lang w:val="en-US" w:eastAsia="zh-CN"/>
                    </w:rPr>
                    <w:t>/</w:t>
                  </w:r>
                </w:p>
              </w:tc>
              <w:tc>
                <w:tcPr>
                  <w:tcW w:w="766" w:type="dxa"/>
                  <w:vMerge w:val="restart"/>
                  <w:vAlign w:val="center"/>
                </w:tcPr>
                <w:p w14:paraId="603B3E3C">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eastAsia="zh-CN"/>
                    </w:rPr>
                  </w:pPr>
                  <w:r>
                    <w:rPr>
                      <w:rFonts w:hint="eastAsia" w:ascii="Times New Roman" w:hAnsi="Times New Roman" w:eastAsia="宋体" w:cs="宋体"/>
                      <w:color w:val="auto"/>
                      <w:sz w:val="18"/>
                      <w:szCs w:val="18"/>
                      <w:highlight w:val="none"/>
                    </w:rPr>
                    <w:t>8</w:t>
                  </w:r>
                  <w:r>
                    <w:rPr>
                      <w:rFonts w:hint="eastAsia" w:ascii="Times New Roman" w:hAnsi="Times New Roman" w:eastAsia="宋体" w:cs="宋体"/>
                      <w:color w:val="auto"/>
                      <w:sz w:val="18"/>
                      <w:szCs w:val="18"/>
                      <w:highlight w:val="none"/>
                      <w:lang w:val="en-US" w:eastAsia="zh-CN"/>
                    </w:rPr>
                    <w:t>5</w:t>
                  </w:r>
                </w:p>
              </w:tc>
              <w:tc>
                <w:tcPr>
                  <w:tcW w:w="410" w:type="dxa"/>
                  <w:vMerge w:val="continue"/>
                  <w:vAlign w:val="center"/>
                </w:tcPr>
                <w:p w14:paraId="6B7CBF7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15AA293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29</w:t>
                  </w:r>
                </w:p>
              </w:tc>
              <w:tc>
                <w:tcPr>
                  <w:tcW w:w="285" w:type="dxa"/>
                  <w:vMerge w:val="restart"/>
                  <w:vAlign w:val="center"/>
                </w:tcPr>
                <w:p w14:paraId="75E5AF4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32</w:t>
                  </w:r>
                </w:p>
              </w:tc>
              <w:tc>
                <w:tcPr>
                  <w:tcW w:w="280" w:type="dxa"/>
                  <w:vMerge w:val="restart"/>
                  <w:vAlign w:val="center"/>
                </w:tcPr>
                <w:p w14:paraId="7C97F6BC">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ascii="Times New Roman" w:hAnsi="Times New Roman" w:eastAsia="宋体" w:cs="宋体"/>
                      <w:color w:val="auto"/>
                      <w:sz w:val="18"/>
                      <w:szCs w:val="18"/>
                      <w:highlight w:val="none"/>
                      <w:lang w:val="en-US" w:eastAsia="zh-CN"/>
                    </w:rPr>
                    <w:t>1</w:t>
                  </w:r>
                </w:p>
              </w:tc>
              <w:tc>
                <w:tcPr>
                  <w:tcW w:w="392" w:type="dxa"/>
                  <w:vAlign w:val="center"/>
                </w:tcPr>
                <w:p w14:paraId="478A995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7705C1A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19</w:t>
                  </w:r>
                </w:p>
              </w:tc>
              <w:tc>
                <w:tcPr>
                  <w:tcW w:w="632" w:type="dxa"/>
                  <w:vAlign w:val="center"/>
                </w:tcPr>
                <w:p w14:paraId="2CD7415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63.6</w:t>
                  </w:r>
                </w:p>
              </w:tc>
              <w:tc>
                <w:tcPr>
                  <w:tcW w:w="372" w:type="dxa"/>
                  <w:vMerge w:val="continue"/>
                  <w:vAlign w:val="center"/>
                </w:tcPr>
                <w:p w14:paraId="3953053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6B22C3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B8272E8">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37.6</w:t>
                  </w:r>
                </w:p>
              </w:tc>
              <w:tc>
                <w:tcPr>
                  <w:tcW w:w="423" w:type="dxa"/>
                  <w:vMerge w:val="restart"/>
                  <w:vAlign w:val="center"/>
                </w:tcPr>
                <w:p w14:paraId="1FD58AA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hint="eastAsia" w:ascii="Times New Roman" w:hAnsi="Times New Roman" w:eastAsia="宋体" w:cs="宋体"/>
                      <w:bCs/>
                      <w:color w:val="auto"/>
                      <w:sz w:val="18"/>
                      <w:szCs w:val="18"/>
                      <w:highlight w:val="none"/>
                    </w:rPr>
                    <w:t>1</w:t>
                  </w:r>
                </w:p>
                <w:p w14:paraId="0DBEE1F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7AABB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53061FE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766162A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7B2B81D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15BEBD4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5A8DA3C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4076B4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55C5399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59FD58A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69BF787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7CB8C54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1D4D37F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80</w:t>
                  </w:r>
                </w:p>
              </w:tc>
              <w:tc>
                <w:tcPr>
                  <w:tcW w:w="632" w:type="dxa"/>
                  <w:vAlign w:val="center"/>
                </w:tcPr>
                <w:p w14:paraId="0834EE6F">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62.8</w:t>
                  </w:r>
                </w:p>
              </w:tc>
              <w:tc>
                <w:tcPr>
                  <w:tcW w:w="372" w:type="dxa"/>
                  <w:vMerge w:val="continue"/>
                  <w:vAlign w:val="center"/>
                </w:tcPr>
                <w:p w14:paraId="270C9A4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5888F9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B7095E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36.8</w:t>
                  </w:r>
                </w:p>
              </w:tc>
              <w:tc>
                <w:tcPr>
                  <w:tcW w:w="423" w:type="dxa"/>
                  <w:vMerge w:val="continue"/>
                  <w:vAlign w:val="center"/>
                </w:tcPr>
                <w:p w14:paraId="1FD8DA4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79ACD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19B392D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4EFFA4B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113EE4F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789461C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E8CDB1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EEA9F9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2846E7C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70478FA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566EADA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2637B69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13FFE6C4">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53</w:t>
                  </w:r>
                </w:p>
              </w:tc>
              <w:tc>
                <w:tcPr>
                  <w:tcW w:w="632" w:type="dxa"/>
                  <w:vAlign w:val="center"/>
                </w:tcPr>
                <w:p w14:paraId="101FEE9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62.9</w:t>
                  </w:r>
                </w:p>
              </w:tc>
              <w:tc>
                <w:tcPr>
                  <w:tcW w:w="372" w:type="dxa"/>
                  <w:vMerge w:val="continue"/>
                  <w:vAlign w:val="center"/>
                </w:tcPr>
                <w:p w14:paraId="339C4BD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1DF6B22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18560C10">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423" w:type="dxa"/>
                  <w:vMerge w:val="continue"/>
                  <w:vAlign w:val="center"/>
                </w:tcPr>
                <w:p w14:paraId="65F8CDF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3A459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7895E6F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316B20E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5A4A02A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22488B3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F52486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0A1E22E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73EBA5E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7C59A96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19C2E90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36860D5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13D164F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ascii="Times New Roman" w:hAnsi="Times New Roman" w:eastAsia="宋体" w:cs="宋体"/>
                      <w:bCs/>
                      <w:color w:val="auto"/>
                      <w:sz w:val="18"/>
                      <w:szCs w:val="18"/>
                      <w:highlight w:val="none"/>
                      <w:lang w:val="en-US" w:eastAsia="zh-CN"/>
                    </w:rPr>
                    <w:t>13</w:t>
                  </w:r>
                </w:p>
              </w:tc>
              <w:tc>
                <w:tcPr>
                  <w:tcW w:w="632" w:type="dxa"/>
                  <w:vAlign w:val="center"/>
                </w:tcPr>
                <w:p w14:paraId="03979C8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64.5</w:t>
                  </w:r>
                </w:p>
              </w:tc>
              <w:tc>
                <w:tcPr>
                  <w:tcW w:w="372" w:type="dxa"/>
                  <w:vMerge w:val="continue"/>
                  <w:vAlign w:val="center"/>
                </w:tcPr>
                <w:p w14:paraId="6ECE55D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7708761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5ADB8EB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ascii="Times New Roman" w:hAnsi="Times New Roman" w:eastAsia="宋体" w:cs="宋体"/>
                      <w:bCs/>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38.5</w:t>
                  </w:r>
                </w:p>
              </w:tc>
              <w:tc>
                <w:tcPr>
                  <w:tcW w:w="423" w:type="dxa"/>
                  <w:vMerge w:val="continue"/>
                  <w:vAlign w:val="center"/>
                </w:tcPr>
                <w:p w14:paraId="18ED700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1B85F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restart"/>
                  <w:vAlign w:val="center"/>
                </w:tcPr>
                <w:p w14:paraId="0038CC8D">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6</w:t>
                  </w:r>
                </w:p>
              </w:tc>
              <w:tc>
                <w:tcPr>
                  <w:tcW w:w="692" w:type="dxa"/>
                  <w:vMerge w:val="continue"/>
                  <w:vAlign w:val="center"/>
                </w:tcPr>
                <w:p w14:paraId="4ABAD23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restart"/>
                  <w:vAlign w:val="center"/>
                </w:tcPr>
                <w:p w14:paraId="06CC98E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r>
                    <w:rPr>
                      <w:rFonts w:hint="eastAsia" w:cs="Times New Roman"/>
                      <w:smallCaps w:val="0"/>
                      <w:color w:val="auto"/>
                      <w:kern w:val="2"/>
                      <w:sz w:val="18"/>
                      <w:szCs w:val="18"/>
                      <w:highlight w:val="none"/>
                      <w:lang w:val="en-US" w:eastAsia="zh-CN" w:bidi="ar-SA"/>
                    </w:rPr>
                    <w:t>振光机</w:t>
                  </w:r>
                </w:p>
              </w:tc>
              <w:tc>
                <w:tcPr>
                  <w:tcW w:w="974" w:type="dxa"/>
                  <w:vMerge w:val="restart"/>
                  <w:vAlign w:val="center"/>
                </w:tcPr>
                <w:p w14:paraId="6FFA36C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r>
                    <w:rPr>
                      <w:rFonts w:hint="eastAsia" w:cs="Times New Roman"/>
                      <w:smallCaps w:val="0"/>
                      <w:color w:val="auto"/>
                      <w:kern w:val="2"/>
                      <w:sz w:val="18"/>
                      <w:szCs w:val="18"/>
                      <w:highlight w:val="none"/>
                      <w:lang w:val="en-US" w:eastAsia="zh-CN" w:bidi="ar-SA"/>
                    </w:rPr>
                    <w:t>300L</w:t>
                  </w:r>
                </w:p>
              </w:tc>
              <w:tc>
                <w:tcPr>
                  <w:tcW w:w="766" w:type="dxa"/>
                  <w:vMerge w:val="restart"/>
                  <w:vAlign w:val="center"/>
                </w:tcPr>
                <w:p w14:paraId="5A52C61C">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85</w:t>
                  </w:r>
                </w:p>
              </w:tc>
              <w:tc>
                <w:tcPr>
                  <w:tcW w:w="410" w:type="dxa"/>
                  <w:vMerge w:val="continue"/>
                  <w:vAlign w:val="center"/>
                </w:tcPr>
                <w:p w14:paraId="74BB560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00BDBF55">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w:t>
                  </w:r>
                </w:p>
              </w:tc>
              <w:tc>
                <w:tcPr>
                  <w:tcW w:w="285" w:type="dxa"/>
                  <w:vMerge w:val="restart"/>
                  <w:vAlign w:val="center"/>
                </w:tcPr>
                <w:p w14:paraId="579F7AB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12</w:t>
                  </w:r>
                </w:p>
              </w:tc>
              <w:tc>
                <w:tcPr>
                  <w:tcW w:w="280" w:type="dxa"/>
                  <w:vMerge w:val="restart"/>
                  <w:vAlign w:val="center"/>
                </w:tcPr>
                <w:p w14:paraId="1A84F71B">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w:t>
                  </w:r>
                </w:p>
              </w:tc>
              <w:tc>
                <w:tcPr>
                  <w:tcW w:w="392" w:type="dxa"/>
                  <w:vAlign w:val="center"/>
                </w:tcPr>
                <w:p w14:paraId="24DC8A5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0C210710">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15</w:t>
                  </w:r>
                </w:p>
              </w:tc>
              <w:tc>
                <w:tcPr>
                  <w:tcW w:w="632" w:type="dxa"/>
                  <w:vAlign w:val="center"/>
                </w:tcPr>
                <w:p w14:paraId="31784D22">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64.3</w:t>
                  </w:r>
                </w:p>
              </w:tc>
              <w:tc>
                <w:tcPr>
                  <w:tcW w:w="372" w:type="dxa"/>
                  <w:vMerge w:val="continue"/>
                  <w:vAlign w:val="center"/>
                </w:tcPr>
                <w:p w14:paraId="679716C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727809A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03862E0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restart"/>
                  <w:vAlign w:val="center"/>
                </w:tcPr>
                <w:p w14:paraId="62192DA4">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1</w:t>
                  </w:r>
                </w:p>
              </w:tc>
            </w:tr>
            <w:tr w14:paraId="6B9DD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5C0140D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30BAC8D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0B67879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2CAB776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523D6C8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F2343D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1180628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4A755B7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51A8F33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2D404B3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2D7DF0C2">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23</w:t>
                  </w:r>
                </w:p>
              </w:tc>
              <w:tc>
                <w:tcPr>
                  <w:tcW w:w="632" w:type="dxa"/>
                  <w:vAlign w:val="center"/>
                </w:tcPr>
                <w:p w14:paraId="145E57C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61.2</w:t>
                  </w:r>
                </w:p>
              </w:tc>
              <w:tc>
                <w:tcPr>
                  <w:tcW w:w="372" w:type="dxa"/>
                  <w:vMerge w:val="continue"/>
                  <w:vAlign w:val="center"/>
                </w:tcPr>
                <w:p w14:paraId="6DD9C9F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785EDD2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51A5843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32.4</w:t>
                  </w:r>
                </w:p>
              </w:tc>
              <w:tc>
                <w:tcPr>
                  <w:tcW w:w="423" w:type="dxa"/>
                  <w:vMerge w:val="continue"/>
                  <w:vAlign w:val="center"/>
                </w:tcPr>
                <w:p w14:paraId="6A204B8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6AE7D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1D20560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049F696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6E1A50E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6BD63C1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E75FF7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6EE01A9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576B0DA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1C0B21F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1993DCF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7CCFE71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3D57AD1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42</w:t>
                  </w:r>
                </w:p>
              </w:tc>
              <w:tc>
                <w:tcPr>
                  <w:tcW w:w="632" w:type="dxa"/>
                  <w:vAlign w:val="center"/>
                </w:tcPr>
                <w:p w14:paraId="3E9D1FD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59.1</w:t>
                  </w:r>
                </w:p>
              </w:tc>
              <w:tc>
                <w:tcPr>
                  <w:tcW w:w="372" w:type="dxa"/>
                  <w:vMerge w:val="continue"/>
                  <w:vAlign w:val="center"/>
                </w:tcPr>
                <w:p w14:paraId="10A141A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40D84E6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1D6356D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32.3</w:t>
                  </w:r>
                </w:p>
              </w:tc>
              <w:tc>
                <w:tcPr>
                  <w:tcW w:w="423" w:type="dxa"/>
                  <w:vMerge w:val="continue"/>
                  <w:vAlign w:val="center"/>
                </w:tcPr>
                <w:p w14:paraId="2B33CCF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3BC63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3BC1491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38964B1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6CC3D75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7E72B31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3CF9022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0702D8D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7FBE9E3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7F94549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26D8C58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4BB7893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39FDCAFB">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26</w:t>
                  </w:r>
                </w:p>
              </w:tc>
              <w:tc>
                <w:tcPr>
                  <w:tcW w:w="632" w:type="dxa"/>
                  <w:vAlign w:val="center"/>
                </w:tcPr>
                <w:p w14:paraId="3546221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61.1</w:t>
                  </w:r>
                </w:p>
              </w:tc>
              <w:tc>
                <w:tcPr>
                  <w:tcW w:w="372" w:type="dxa"/>
                  <w:vMerge w:val="continue"/>
                  <w:vAlign w:val="center"/>
                </w:tcPr>
                <w:p w14:paraId="61DE237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0319D011">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3E79FAB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32.1</w:t>
                  </w:r>
                </w:p>
              </w:tc>
              <w:tc>
                <w:tcPr>
                  <w:tcW w:w="423" w:type="dxa"/>
                  <w:vMerge w:val="continue"/>
                  <w:vAlign w:val="center"/>
                </w:tcPr>
                <w:p w14:paraId="2BB8446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03DB5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234" w:type="dxa"/>
                  <w:vMerge w:val="restart"/>
                  <w:vAlign w:val="center"/>
                </w:tcPr>
                <w:p w14:paraId="7E6CA5DE">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7</w:t>
                  </w:r>
                </w:p>
              </w:tc>
              <w:tc>
                <w:tcPr>
                  <w:tcW w:w="692" w:type="dxa"/>
                  <w:vMerge w:val="continue"/>
                  <w:vAlign w:val="center"/>
                </w:tcPr>
                <w:p w14:paraId="2AF0C20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restart"/>
                  <w:vAlign w:val="center"/>
                </w:tcPr>
                <w:p w14:paraId="7B483A2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r>
                    <w:rPr>
                      <w:rFonts w:hint="eastAsia" w:cs="Times New Roman"/>
                      <w:smallCaps w:val="0"/>
                      <w:color w:val="auto"/>
                      <w:kern w:val="2"/>
                      <w:sz w:val="18"/>
                      <w:szCs w:val="18"/>
                      <w:highlight w:val="none"/>
                      <w:lang w:val="en-US" w:eastAsia="zh-CN" w:bidi="ar-SA"/>
                    </w:rPr>
                    <w:t>抛丸机</w:t>
                  </w:r>
                </w:p>
              </w:tc>
              <w:tc>
                <w:tcPr>
                  <w:tcW w:w="974" w:type="dxa"/>
                  <w:vMerge w:val="restart"/>
                  <w:vAlign w:val="center"/>
                </w:tcPr>
                <w:p w14:paraId="7E7F6A0F">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w:t>
                  </w:r>
                </w:p>
              </w:tc>
              <w:tc>
                <w:tcPr>
                  <w:tcW w:w="766" w:type="dxa"/>
                  <w:vMerge w:val="restart"/>
                  <w:vAlign w:val="center"/>
                </w:tcPr>
                <w:p w14:paraId="76ACD0E6">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85</w:t>
                  </w:r>
                </w:p>
              </w:tc>
              <w:tc>
                <w:tcPr>
                  <w:tcW w:w="410" w:type="dxa"/>
                  <w:vMerge w:val="continue"/>
                  <w:vAlign w:val="center"/>
                </w:tcPr>
                <w:p w14:paraId="0EEE800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restart"/>
                  <w:vAlign w:val="center"/>
                </w:tcPr>
                <w:p w14:paraId="099FFC09">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6</w:t>
                  </w:r>
                </w:p>
              </w:tc>
              <w:tc>
                <w:tcPr>
                  <w:tcW w:w="285" w:type="dxa"/>
                  <w:vMerge w:val="restart"/>
                  <w:vAlign w:val="center"/>
                </w:tcPr>
                <w:p w14:paraId="350172FF">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16</w:t>
                  </w:r>
                </w:p>
              </w:tc>
              <w:tc>
                <w:tcPr>
                  <w:tcW w:w="280" w:type="dxa"/>
                  <w:vMerge w:val="restart"/>
                  <w:vAlign w:val="center"/>
                </w:tcPr>
                <w:p w14:paraId="2A128907">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color w:val="auto"/>
                      <w:sz w:val="18"/>
                      <w:szCs w:val="18"/>
                      <w:highlight w:val="none"/>
                      <w:lang w:val="en-US" w:eastAsia="zh-CN"/>
                    </w:rPr>
                  </w:pPr>
                  <w:r>
                    <w:rPr>
                      <w:rFonts w:hint="eastAsia" w:cs="宋体"/>
                      <w:color w:val="auto"/>
                      <w:sz w:val="18"/>
                      <w:szCs w:val="18"/>
                      <w:highlight w:val="none"/>
                      <w:lang w:val="en-US" w:eastAsia="zh-CN"/>
                    </w:rPr>
                    <w:t>1</w:t>
                  </w:r>
                </w:p>
              </w:tc>
              <w:tc>
                <w:tcPr>
                  <w:tcW w:w="392" w:type="dxa"/>
                  <w:vAlign w:val="center"/>
                </w:tcPr>
                <w:p w14:paraId="6292479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东</w:t>
                  </w:r>
                </w:p>
              </w:tc>
              <w:tc>
                <w:tcPr>
                  <w:tcW w:w="393" w:type="dxa"/>
                  <w:vAlign w:val="center"/>
                </w:tcPr>
                <w:p w14:paraId="37AC40C1">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23</w:t>
                  </w:r>
                </w:p>
              </w:tc>
              <w:tc>
                <w:tcPr>
                  <w:tcW w:w="632" w:type="dxa"/>
                  <w:vAlign w:val="center"/>
                </w:tcPr>
                <w:p w14:paraId="52A247E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61.2</w:t>
                  </w:r>
                </w:p>
              </w:tc>
              <w:tc>
                <w:tcPr>
                  <w:tcW w:w="372" w:type="dxa"/>
                  <w:vMerge w:val="continue"/>
                  <w:vAlign w:val="center"/>
                </w:tcPr>
                <w:p w14:paraId="7182005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7DA9CC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576BE984">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37.0</w:t>
                  </w:r>
                </w:p>
              </w:tc>
              <w:tc>
                <w:tcPr>
                  <w:tcW w:w="423" w:type="dxa"/>
                  <w:vMerge w:val="restart"/>
                  <w:vAlign w:val="center"/>
                </w:tcPr>
                <w:p w14:paraId="00A88355">
                  <w:pPr>
                    <w:keepNext w:val="0"/>
                    <w:keepLines w:val="0"/>
                    <w:pageBreakBefore w:val="0"/>
                    <w:kinsoku/>
                    <w:wordWrap/>
                    <w:overflowPunct/>
                    <w:topLinePunct w:val="0"/>
                    <w:autoSpaceDE/>
                    <w:autoSpaceDN/>
                    <w:bidi w:val="0"/>
                    <w:adjustRightInd/>
                    <w:snapToGrid w:val="0"/>
                    <w:jc w:val="center"/>
                    <w:rPr>
                      <w:rFonts w:hint="eastAsia"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1</w:t>
                  </w:r>
                </w:p>
              </w:tc>
            </w:tr>
            <w:tr w14:paraId="20B5F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2BD0C06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121F637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27B195E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268EE47A">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5FEBDE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8B60DC2">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0CD310A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442D134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5D3E3D1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4D25004E">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南</w:t>
                  </w:r>
                </w:p>
              </w:tc>
              <w:tc>
                <w:tcPr>
                  <w:tcW w:w="393" w:type="dxa"/>
                  <w:vAlign w:val="center"/>
                </w:tcPr>
                <w:p w14:paraId="596A2715">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25</w:t>
                  </w:r>
                </w:p>
              </w:tc>
              <w:tc>
                <w:tcPr>
                  <w:tcW w:w="632" w:type="dxa"/>
                  <w:vAlign w:val="center"/>
                </w:tcPr>
                <w:p w14:paraId="567BD6CE">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60.9</w:t>
                  </w:r>
                </w:p>
              </w:tc>
              <w:tc>
                <w:tcPr>
                  <w:tcW w:w="372" w:type="dxa"/>
                  <w:vMerge w:val="continue"/>
                  <w:vAlign w:val="center"/>
                </w:tcPr>
                <w:p w14:paraId="45B265E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DE7042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6B063565">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36.9</w:t>
                  </w:r>
                </w:p>
              </w:tc>
              <w:tc>
                <w:tcPr>
                  <w:tcW w:w="423" w:type="dxa"/>
                  <w:vMerge w:val="continue"/>
                  <w:vAlign w:val="center"/>
                </w:tcPr>
                <w:p w14:paraId="637A0F1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1FAB7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5704809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573750FB">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79AEF4A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31D4630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60C21305">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7644DC3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29E0B7FF">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595ADF1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64AE1316">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50521954">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西</w:t>
                  </w:r>
                </w:p>
              </w:tc>
              <w:tc>
                <w:tcPr>
                  <w:tcW w:w="393" w:type="dxa"/>
                  <w:vAlign w:val="center"/>
                </w:tcPr>
                <w:p w14:paraId="5A3FDDAA">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18</w:t>
                  </w:r>
                </w:p>
              </w:tc>
              <w:tc>
                <w:tcPr>
                  <w:tcW w:w="632" w:type="dxa"/>
                  <w:vAlign w:val="center"/>
                </w:tcPr>
                <w:p w14:paraId="46F9881C">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63.9</w:t>
                  </w:r>
                </w:p>
              </w:tc>
              <w:tc>
                <w:tcPr>
                  <w:tcW w:w="372" w:type="dxa"/>
                  <w:vMerge w:val="continue"/>
                  <w:vAlign w:val="center"/>
                </w:tcPr>
                <w:p w14:paraId="0CAA9A33">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7F20708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4D0231D1">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7</w:t>
                  </w:r>
                  <w:r>
                    <w:rPr>
                      <w:rFonts w:hint="default" w:ascii="Times New Roman" w:hAnsi="Times New Roman" w:eastAsia="宋体" w:cs="Times New Roman"/>
                      <w:i w:val="0"/>
                      <w:iCs w:val="0"/>
                      <w:color w:val="auto"/>
                      <w:kern w:val="0"/>
                      <w:sz w:val="18"/>
                      <w:szCs w:val="18"/>
                      <w:u w:val="none"/>
                      <w:lang w:val="en-US" w:eastAsia="zh-CN" w:bidi="ar"/>
                    </w:rPr>
                    <w:t>.9</w:t>
                  </w:r>
                </w:p>
              </w:tc>
              <w:tc>
                <w:tcPr>
                  <w:tcW w:w="423" w:type="dxa"/>
                  <w:vMerge w:val="continue"/>
                  <w:vAlign w:val="center"/>
                </w:tcPr>
                <w:p w14:paraId="461BF8C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r w14:paraId="20B29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34" w:type="dxa"/>
                  <w:vMerge w:val="continue"/>
                  <w:vAlign w:val="center"/>
                </w:tcPr>
                <w:p w14:paraId="1D51C4D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692" w:type="dxa"/>
                  <w:vMerge w:val="continue"/>
                  <w:vAlign w:val="center"/>
                </w:tcPr>
                <w:p w14:paraId="046D827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837" w:type="dxa"/>
                  <w:vMerge w:val="continue"/>
                  <w:vAlign w:val="center"/>
                </w:tcPr>
                <w:p w14:paraId="022C912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pacing w:val="-4"/>
                      <w:sz w:val="18"/>
                      <w:szCs w:val="18"/>
                      <w:highlight w:val="none"/>
                    </w:rPr>
                  </w:pPr>
                </w:p>
              </w:tc>
              <w:tc>
                <w:tcPr>
                  <w:tcW w:w="974" w:type="dxa"/>
                  <w:vMerge w:val="continue"/>
                  <w:vAlign w:val="center"/>
                </w:tcPr>
                <w:p w14:paraId="61C80D5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766" w:type="dxa"/>
                  <w:vMerge w:val="continue"/>
                  <w:vAlign w:val="center"/>
                </w:tcPr>
                <w:p w14:paraId="7112731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410" w:type="dxa"/>
                  <w:vMerge w:val="continue"/>
                  <w:vAlign w:val="center"/>
                </w:tcPr>
                <w:p w14:paraId="196B652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91" w:type="dxa"/>
                  <w:vMerge w:val="continue"/>
                  <w:vAlign w:val="center"/>
                </w:tcPr>
                <w:p w14:paraId="565C485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5" w:type="dxa"/>
                  <w:vMerge w:val="continue"/>
                  <w:vAlign w:val="center"/>
                </w:tcPr>
                <w:p w14:paraId="1272B6C9">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280" w:type="dxa"/>
                  <w:vMerge w:val="continue"/>
                  <w:vAlign w:val="center"/>
                </w:tcPr>
                <w:p w14:paraId="4EBB6038">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392" w:type="dxa"/>
                  <w:vAlign w:val="center"/>
                </w:tcPr>
                <w:p w14:paraId="67801130">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r>
                    <w:rPr>
                      <w:rFonts w:ascii="Times New Roman" w:hAnsi="Times New Roman" w:eastAsia="宋体" w:cs="宋体"/>
                      <w:bCs/>
                      <w:color w:val="auto"/>
                      <w:sz w:val="18"/>
                      <w:szCs w:val="18"/>
                      <w:highlight w:val="none"/>
                    </w:rPr>
                    <w:t>北</w:t>
                  </w:r>
                </w:p>
              </w:tc>
              <w:tc>
                <w:tcPr>
                  <w:tcW w:w="393" w:type="dxa"/>
                  <w:vAlign w:val="center"/>
                </w:tcPr>
                <w:p w14:paraId="05A31DE9">
                  <w:pPr>
                    <w:keepNext w:val="0"/>
                    <w:keepLines w:val="0"/>
                    <w:pageBreakBefore w:val="0"/>
                    <w:kinsoku/>
                    <w:wordWrap/>
                    <w:overflowPunct/>
                    <w:topLinePunct w:val="0"/>
                    <w:autoSpaceDE/>
                    <w:autoSpaceDN/>
                    <w:bidi w:val="0"/>
                    <w:adjustRightInd/>
                    <w:snapToGrid w:val="0"/>
                    <w:jc w:val="center"/>
                    <w:rPr>
                      <w:rFonts w:hint="default" w:ascii="Times New Roman" w:hAnsi="Times New Roman" w:eastAsia="宋体" w:cs="宋体"/>
                      <w:bCs/>
                      <w:color w:val="auto"/>
                      <w:sz w:val="18"/>
                      <w:szCs w:val="18"/>
                      <w:highlight w:val="none"/>
                      <w:lang w:val="en-US" w:eastAsia="zh-CN"/>
                    </w:rPr>
                  </w:pPr>
                  <w:r>
                    <w:rPr>
                      <w:rFonts w:hint="eastAsia" w:cs="宋体"/>
                      <w:bCs/>
                      <w:color w:val="auto"/>
                      <w:sz w:val="18"/>
                      <w:szCs w:val="18"/>
                      <w:highlight w:val="none"/>
                      <w:lang w:val="en-US" w:eastAsia="zh-CN"/>
                    </w:rPr>
                    <w:t>31</w:t>
                  </w:r>
                </w:p>
              </w:tc>
              <w:tc>
                <w:tcPr>
                  <w:tcW w:w="632" w:type="dxa"/>
                  <w:vAlign w:val="center"/>
                </w:tcPr>
                <w:p w14:paraId="4DEC57FD">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60.5</w:t>
                  </w:r>
                </w:p>
              </w:tc>
              <w:tc>
                <w:tcPr>
                  <w:tcW w:w="372" w:type="dxa"/>
                  <w:vMerge w:val="continue"/>
                  <w:vAlign w:val="center"/>
                </w:tcPr>
                <w:p w14:paraId="1A5C204D">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color w:val="auto"/>
                      <w:sz w:val="18"/>
                      <w:szCs w:val="18"/>
                      <w:highlight w:val="none"/>
                    </w:rPr>
                  </w:pPr>
                </w:p>
              </w:tc>
              <w:tc>
                <w:tcPr>
                  <w:tcW w:w="507" w:type="dxa"/>
                  <w:vMerge w:val="continue"/>
                  <w:vAlign w:val="center"/>
                </w:tcPr>
                <w:p w14:paraId="65A88F3C">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c>
                <w:tcPr>
                  <w:tcW w:w="666" w:type="dxa"/>
                  <w:vAlign w:val="center"/>
                </w:tcPr>
                <w:p w14:paraId="18020AB7">
                  <w:pPr>
                    <w:keepNext w:val="0"/>
                    <w:keepLines w:val="0"/>
                    <w:pageBreakBefore w:val="0"/>
                    <w:widowControl/>
                    <w:suppressLineNumbers w:val="0"/>
                    <w:kinsoku/>
                    <w:wordWrap/>
                    <w:overflowPunct/>
                    <w:topLinePunct w:val="0"/>
                    <w:autoSpaceDE/>
                    <w:autoSpaceDN/>
                    <w:bidi w:val="0"/>
                    <w:adjustRightInd/>
                    <w:snapToGrid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37.3</w:t>
                  </w:r>
                </w:p>
              </w:tc>
              <w:tc>
                <w:tcPr>
                  <w:tcW w:w="423" w:type="dxa"/>
                  <w:vMerge w:val="continue"/>
                  <w:vAlign w:val="center"/>
                </w:tcPr>
                <w:p w14:paraId="29DE54E7">
                  <w:pPr>
                    <w:keepNext w:val="0"/>
                    <w:keepLines w:val="0"/>
                    <w:pageBreakBefore w:val="0"/>
                    <w:kinsoku/>
                    <w:wordWrap/>
                    <w:overflowPunct/>
                    <w:topLinePunct w:val="0"/>
                    <w:autoSpaceDE/>
                    <w:autoSpaceDN/>
                    <w:bidi w:val="0"/>
                    <w:adjustRightInd/>
                    <w:snapToGrid w:val="0"/>
                    <w:jc w:val="center"/>
                    <w:rPr>
                      <w:rFonts w:ascii="Times New Roman" w:hAnsi="Times New Roman" w:eastAsia="宋体" w:cs="宋体"/>
                      <w:bCs/>
                      <w:color w:val="auto"/>
                      <w:sz w:val="18"/>
                      <w:szCs w:val="18"/>
                      <w:highlight w:val="none"/>
                    </w:rPr>
                  </w:pPr>
                </w:p>
              </w:tc>
            </w:tr>
          </w:tbl>
          <w:p w14:paraId="087F1E6F">
            <w:pPr>
              <w:ind w:firstLine="360" w:firstLineChars="200"/>
              <w:rPr>
                <w:rFonts w:ascii="Times New Roman" w:hAnsi="Times New Roman" w:eastAsia="宋体" w:cs="宋体"/>
                <w:color w:val="auto"/>
                <w:kern w:val="0"/>
                <w:sz w:val="18"/>
                <w:szCs w:val="21"/>
                <w:highlight w:val="none"/>
              </w:rPr>
            </w:pPr>
            <w:r>
              <w:rPr>
                <w:rFonts w:ascii="Times New Roman" w:hAnsi="Times New Roman" w:eastAsia="宋体" w:cs="宋体"/>
                <w:color w:val="auto"/>
                <w:kern w:val="0"/>
                <w:sz w:val="18"/>
                <w:szCs w:val="21"/>
                <w:highlight w:val="none"/>
              </w:rPr>
              <w:t>注：表中坐标以厂界中心为坐标原点，正东向为X轴正方向，正北向为Y轴正方向</w:t>
            </w:r>
            <w:r>
              <w:rPr>
                <w:rFonts w:hint="eastAsia" w:ascii="Times New Roman" w:hAnsi="Times New Roman" w:eastAsia="宋体" w:cs="宋体"/>
                <w:color w:val="auto"/>
                <w:kern w:val="0"/>
                <w:sz w:val="18"/>
                <w:szCs w:val="21"/>
                <w:highlight w:val="none"/>
              </w:rPr>
              <w:t>，</w:t>
            </w:r>
            <w:r>
              <w:rPr>
                <w:rFonts w:ascii="Times New Roman" w:hAnsi="Times New Roman" w:eastAsia="宋体" w:cs="宋体"/>
                <w:color w:val="auto"/>
                <w:kern w:val="0"/>
                <w:sz w:val="18"/>
                <w:szCs w:val="21"/>
                <w:highlight w:val="none"/>
              </w:rPr>
              <w:t>门窗吸声系数数据来源于《环境工程手册环境噪声控制卷》（郑长聚主编，高等教育出版社，2000年）。</w:t>
            </w:r>
          </w:p>
          <w:p w14:paraId="512B6956">
            <w:pPr>
              <w:autoSpaceDE w:val="0"/>
              <w:autoSpaceDN w:val="0"/>
              <w:spacing w:line="360" w:lineRule="auto"/>
              <w:ind w:firstLine="480" w:firstLineChars="200"/>
              <w:jc w:val="left"/>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（2）污染防治措施</w:t>
            </w:r>
          </w:p>
          <w:p w14:paraId="5B41FA2B">
            <w:pPr>
              <w:spacing w:line="360" w:lineRule="auto"/>
              <w:ind w:firstLine="480" w:firstLineChars="200"/>
              <w:rPr>
                <w:rFonts w:hint="eastAsia"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针对不同类别的噪声，本项目拟采取以下措施：</w:t>
            </w:r>
          </w:p>
          <w:p w14:paraId="236990FB">
            <w:pPr>
              <w:spacing w:line="360" w:lineRule="auto"/>
              <w:ind w:firstLine="480" w:firstLineChars="200"/>
              <w:rPr>
                <w:rFonts w:hint="eastAsia" w:ascii="Times New Roman" w:hAnsi="Times New Roman" w:eastAsia="宋体" w:cs="宋体"/>
                <w:color w:val="auto"/>
                <w:kern w:val="0"/>
                <w:sz w:val="24"/>
                <w:highlight w:val="none"/>
              </w:rPr>
            </w:pPr>
            <w:r>
              <w:rPr>
                <w:rFonts w:hint="eastAsia" w:cs="宋体"/>
                <w:color w:val="auto"/>
                <w:kern w:val="0"/>
                <w:sz w:val="24"/>
                <w:highlight w:val="none"/>
                <w:lang w:val="en-US" w:eastAsia="zh-CN"/>
              </w:rPr>
              <w:t>①</w:t>
            </w:r>
            <w:r>
              <w:rPr>
                <w:rFonts w:hint="eastAsia" w:ascii="Times New Roman" w:hAnsi="Times New Roman" w:eastAsia="宋体" w:cs="宋体"/>
                <w:color w:val="auto"/>
                <w:kern w:val="0"/>
                <w:sz w:val="24"/>
                <w:highlight w:val="none"/>
              </w:rPr>
              <w:t>首先考虑选用低噪声设备，并按照工业设备安装的有关规范进行安装，在源头上控制噪声污染；</w:t>
            </w:r>
          </w:p>
          <w:p w14:paraId="765E2B9E">
            <w:pPr>
              <w:spacing w:line="360" w:lineRule="auto"/>
              <w:ind w:firstLine="480" w:firstLineChars="200"/>
              <w:rPr>
                <w:rFonts w:hint="eastAsia" w:ascii="Times New Roman" w:hAnsi="Times New Roman" w:eastAsia="宋体" w:cs="宋体"/>
                <w:color w:val="auto"/>
                <w:kern w:val="0"/>
                <w:sz w:val="24"/>
                <w:highlight w:val="none"/>
              </w:rPr>
            </w:pPr>
            <w:r>
              <w:rPr>
                <w:rFonts w:hint="eastAsia" w:cs="宋体"/>
                <w:color w:val="auto"/>
                <w:kern w:val="0"/>
                <w:sz w:val="24"/>
                <w:highlight w:val="none"/>
                <w:lang w:val="en-US" w:eastAsia="zh-CN"/>
              </w:rPr>
              <w:t>②</w:t>
            </w:r>
            <w:r>
              <w:rPr>
                <w:rFonts w:hint="eastAsia" w:ascii="Times New Roman" w:hAnsi="Times New Roman" w:eastAsia="宋体" w:cs="宋体"/>
                <w:color w:val="auto"/>
                <w:kern w:val="0"/>
                <w:sz w:val="24"/>
                <w:highlight w:val="none"/>
              </w:rPr>
              <w:t>项目各类生产设备均布置在车间内，针对较大的设备噪声源，可通过对设备安装减振座、加设减振垫等方式来进行减振处理，同时通过车间隔声可有效的减轻设备噪声影响；</w:t>
            </w:r>
          </w:p>
          <w:p w14:paraId="3210B27D">
            <w:pPr>
              <w:spacing w:line="360" w:lineRule="auto"/>
              <w:ind w:firstLine="480" w:firstLineChars="200"/>
              <w:rPr>
                <w:rFonts w:hint="eastAsia" w:ascii="Times New Roman" w:hAnsi="Times New Roman" w:eastAsia="宋体" w:cs="宋体"/>
                <w:color w:val="auto"/>
                <w:kern w:val="0"/>
                <w:sz w:val="24"/>
                <w:highlight w:val="none"/>
              </w:rPr>
            </w:pPr>
            <w:r>
              <w:rPr>
                <w:rFonts w:hint="eastAsia" w:cs="宋体"/>
                <w:color w:val="auto"/>
                <w:kern w:val="0"/>
                <w:sz w:val="24"/>
                <w:highlight w:val="none"/>
                <w:lang w:val="en-US" w:eastAsia="zh-CN"/>
              </w:rPr>
              <w:t>③</w:t>
            </w:r>
            <w:r>
              <w:rPr>
                <w:rFonts w:hint="eastAsia" w:ascii="Times New Roman" w:hAnsi="Times New Roman" w:eastAsia="宋体" w:cs="宋体"/>
                <w:color w:val="auto"/>
                <w:kern w:val="0"/>
                <w:sz w:val="24"/>
                <w:highlight w:val="none"/>
              </w:rPr>
              <w:t>对新风系统配套的风机可以在风机风口安装消声器和隔声罩，平时对这类动力设备注意维护，防止其故障时噪声排放；</w:t>
            </w:r>
          </w:p>
          <w:p w14:paraId="0BDE4BE0">
            <w:pPr>
              <w:spacing w:line="360" w:lineRule="auto"/>
              <w:ind w:firstLine="480" w:firstLineChars="200"/>
              <w:rPr>
                <w:rFonts w:hint="eastAsia" w:ascii="Times New Roman" w:hAnsi="Times New Roman" w:eastAsia="宋体" w:cs="宋体"/>
                <w:color w:val="auto"/>
                <w:kern w:val="0"/>
                <w:sz w:val="24"/>
                <w:highlight w:val="none"/>
              </w:rPr>
            </w:pPr>
            <w:r>
              <w:rPr>
                <w:rFonts w:hint="eastAsia" w:cs="宋体"/>
                <w:color w:val="auto"/>
                <w:kern w:val="0"/>
                <w:sz w:val="24"/>
                <w:highlight w:val="none"/>
                <w:lang w:val="en-US" w:eastAsia="zh-CN"/>
              </w:rPr>
              <w:t>④</w:t>
            </w:r>
            <w:r>
              <w:rPr>
                <w:rFonts w:hint="eastAsia" w:ascii="Times New Roman" w:hAnsi="Times New Roman" w:eastAsia="宋体" w:cs="宋体"/>
                <w:color w:val="auto"/>
                <w:kern w:val="0"/>
                <w:sz w:val="24"/>
                <w:highlight w:val="none"/>
              </w:rPr>
              <w:t>保持设备处于良好的运转状态，防止因设备运转不正常而增大噪声，要经常进行保养，减少摩擦力，降低噪声；</w:t>
            </w:r>
          </w:p>
          <w:p w14:paraId="3102D65D">
            <w:pPr>
              <w:spacing w:line="360" w:lineRule="auto"/>
              <w:ind w:firstLine="480" w:firstLineChars="200"/>
              <w:rPr>
                <w:rFonts w:hint="eastAsia" w:ascii="Times New Roman" w:hAnsi="Times New Roman" w:eastAsia="宋体" w:cs="宋体"/>
                <w:color w:val="auto"/>
                <w:kern w:val="0"/>
                <w:sz w:val="24"/>
                <w:highlight w:val="none"/>
              </w:rPr>
            </w:pPr>
            <w:r>
              <w:rPr>
                <w:rFonts w:hint="eastAsia" w:cs="宋体"/>
                <w:color w:val="auto"/>
                <w:kern w:val="0"/>
                <w:sz w:val="24"/>
                <w:highlight w:val="none"/>
                <w:lang w:val="en-US" w:eastAsia="zh-CN"/>
              </w:rPr>
              <w:t>⑤</w:t>
            </w:r>
            <w:r>
              <w:rPr>
                <w:rFonts w:hint="eastAsia" w:ascii="Times New Roman" w:hAnsi="Times New Roman" w:eastAsia="宋体" w:cs="宋体"/>
                <w:color w:val="auto"/>
                <w:kern w:val="0"/>
                <w:sz w:val="24"/>
                <w:highlight w:val="none"/>
              </w:rPr>
              <w:t>作业期间不开启车间门，可通过对风机、空压机等安装减振座、加设减振垫等方式来进行处理，同时通过车间隔声可有效的减轻设备噪声影响；</w:t>
            </w:r>
          </w:p>
          <w:p w14:paraId="147E0959">
            <w:pPr>
              <w:spacing w:line="360" w:lineRule="auto"/>
              <w:ind w:firstLine="480" w:firstLineChars="200"/>
              <w:rPr>
                <w:rFonts w:ascii="Times New Roman" w:hAnsi="Times New Roman" w:eastAsia="宋体" w:cs="宋体"/>
                <w:color w:val="auto"/>
                <w:kern w:val="0"/>
                <w:sz w:val="24"/>
                <w:highlight w:val="none"/>
              </w:rPr>
            </w:pPr>
            <w:r>
              <w:rPr>
                <w:rFonts w:hint="eastAsia" w:cs="宋体"/>
                <w:color w:val="auto"/>
                <w:kern w:val="0"/>
                <w:sz w:val="24"/>
                <w:highlight w:val="none"/>
                <w:lang w:val="en-US" w:eastAsia="zh-CN"/>
              </w:rPr>
              <w:t>⑥</w:t>
            </w:r>
            <w:r>
              <w:rPr>
                <w:rFonts w:hint="eastAsia" w:ascii="Times New Roman" w:hAnsi="Times New Roman" w:eastAsia="宋体" w:cs="宋体"/>
                <w:color w:val="auto"/>
                <w:kern w:val="0"/>
                <w:sz w:val="24"/>
                <w:highlight w:val="none"/>
              </w:rPr>
              <w:t>总图合理布局，在满足工艺要求的前提下，考虑将高噪声设备集中布置，在总平面布置时做到远离厂界以减少高噪声源对厂界外环境的影响；同时设计中，尽量做到高噪声车间与非噪声产生的工作场所闹静分开。</w:t>
            </w:r>
          </w:p>
          <w:p w14:paraId="19636ACD">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（3）排放情况</w:t>
            </w:r>
          </w:p>
          <w:p w14:paraId="7B980D7B">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①单个室外点声源在预测点产生的声级计算公式</w:t>
            </w:r>
          </w:p>
          <w:p w14:paraId="1303093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已知声源的倍频带声功率级，预测点位置的倍频带声压级</w:t>
            </w:r>
            <w:r>
              <w:rPr>
                <w:rFonts w:hint="eastAsia" w:ascii="Times New Roman" w:hAnsi="Times New Roman" w:eastAsia="宋体" w:cs="宋体"/>
                <w:color w:val="auto"/>
                <w:kern w:val="0"/>
                <w:sz w:val="24"/>
                <w:highlight w:val="none"/>
              </w:rPr>
              <w:drawing>
                <wp:inline distT="0" distB="0" distL="114300" distR="114300">
                  <wp:extent cx="382270" cy="245745"/>
                  <wp:effectExtent l="0" t="0" r="17780" b="1905"/>
                  <wp:docPr id="57" name="图片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11"/>
                          <pic:cNvPicPr>
                            <a:picLocks noChangeAspect="1"/>
                          </pic:cNvPicPr>
                        </pic:nvPicPr>
                        <pic:blipFill>
                          <a:blip r:embed="rId22" cstate="print"/>
                          <a:stretch>
                            <a:fillRect/>
                          </a:stretch>
                        </pic:blipFill>
                        <pic:spPr>
                          <a:xfrm>
                            <a:off x="0" y="0"/>
                            <a:ext cx="382270"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可按下式计算：</w:t>
            </w:r>
          </w:p>
          <w:p w14:paraId="65B8484E">
            <w:pPr>
              <w:pStyle w:val="8"/>
              <w:spacing w:line="360" w:lineRule="auto"/>
              <w:jc w:val="center"/>
              <w:rPr>
                <w:rFonts w:ascii="Times New Roman" w:hAnsi="Times New Roman" w:eastAsia="宋体" w:cs="宋体"/>
                <w:color w:val="auto"/>
                <w:szCs w:val="28"/>
                <w:highlight w:val="none"/>
              </w:rPr>
            </w:pPr>
            <w:r>
              <w:rPr>
                <w:rFonts w:ascii="Times New Roman" w:hAnsi="Times New Roman" w:eastAsia="宋体" w:cs="宋体"/>
                <w:color w:val="auto"/>
                <w:szCs w:val="28"/>
                <w:highlight w:val="none"/>
              </w:rPr>
              <w:drawing>
                <wp:inline distT="0" distB="0" distL="114300" distR="114300">
                  <wp:extent cx="1242060" cy="231775"/>
                  <wp:effectExtent l="0" t="0" r="15240" b="16510"/>
                  <wp:docPr id="58" name="图片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12"/>
                          <pic:cNvPicPr>
                            <a:picLocks noChangeAspect="1"/>
                          </pic:cNvPicPr>
                        </pic:nvPicPr>
                        <pic:blipFill>
                          <a:blip r:embed="rId23" cstate="print"/>
                          <a:stretch>
                            <a:fillRect/>
                          </a:stretch>
                        </pic:blipFill>
                        <pic:spPr>
                          <a:xfrm>
                            <a:off x="0" y="0"/>
                            <a:ext cx="1242060" cy="231775"/>
                          </a:xfrm>
                          <a:prstGeom prst="rect">
                            <a:avLst/>
                          </a:prstGeom>
                          <a:noFill/>
                          <a:ln>
                            <a:noFill/>
                          </a:ln>
                        </pic:spPr>
                      </pic:pic>
                    </a:graphicData>
                  </a:graphic>
                </wp:inline>
              </w:drawing>
            </w:r>
          </w:p>
          <w:p w14:paraId="776475A4">
            <w:pPr>
              <w:pStyle w:val="8"/>
              <w:spacing w:line="360" w:lineRule="auto"/>
              <w:jc w:val="center"/>
              <w:rPr>
                <w:rFonts w:ascii="Times New Roman" w:hAnsi="Times New Roman" w:eastAsia="宋体" w:cs="宋体"/>
                <w:color w:val="auto"/>
                <w:szCs w:val="28"/>
                <w:highlight w:val="none"/>
              </w:rPr>
            </w:pPr>
            <w:r>
              <w:rPr>
                <w:rFonts w:ascii="Times New Roman" w:hAnsi="Times New Roman" w:eastAsia="宋体" w:cs="宋体"/>
                <w:color w:val="auto"/>
                <w:szCs w:val="28"/>
                <w:highlight w:val="none"/>
              </w:rPr>
              <w:drawing>
                <wp:inline distT="0" distB="0" distL="114300" distR="114300">
                  <wp:extent cx="1999615" cy="245745"/>
                  <wp:effectExtent l="0" t="0" r="635" b="1270"/>
                  <wp:docPr id="59"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13"/>
                          <pic:cNvPicPr>
                            <a:picLocks noChangeAspect="1"/>
                          </pic:cNvPicPr>
                        </pic:nvPicPr>
                        <pic:blipFill>
                          <a:blip r:embed="rId24" cstate="print"/>
                          <a:stretch>
                            <a:fillRect/>
                          </a:stretch>
                        </pic:blipFill>
                        <pic:spPr>
                          <a:xfrm>
                            <a:off x="0" y="0"/>
                            <a:ext cx="1999615" cy="245745"/>
                          </a:xfrm>
                          <a:prstGeom prst="rect">
                            <a:avLst/>
                          </a:prstGeom>
                          <a:noFill/>
                          <a:ln>
                            <a:noFill/>
                          </a:ln>
                        </pic:spPr>
                      </pic:pic>
                    </a:graphicData>
                  </a:graphic>
                </wp:inline>
              </w:drawing>
            </w:r>
          </w:p>
          <w:p w14:paraId="5AB4A6C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式中：</w:t>
            </w:r>
          </w:p>
          <w:p w14:paraId="3AFC10C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object>
                <v:shape id="_x0000_i1025" o:spt="75" type="#_x0000_t75" style="height:14.3pt;width:18.85pt;" o:ole="t" filled="f" o:preferrelative="t" stroked="f" coordsize="21600,21600">
                  <v:path/>
                  <v:fill on="f" focussize="0,0"/>
                  <v:stroke on="f" joinstyle="miter"/>
                  <v:imagedata r:id="rId26" o:title=""/>
                  <o:lock v:ext="edit" aspectratio="t"/>
                  <w10:wrap type="none"/>
                  <w10:anchorlock/>
                </v:shape>
                <o:OLEObject Type="Embed" ProgID="Equation.DSMT4" ShapeID="_x0000_i1025" DrawAspect="Content" ObjectID="_1468075726" r:id="rId25">
                  <o:LockedField>false</o:LockedField>
                </o:OLEObject>
              </w:object>
            </w:r>
            <w:r>
              <w:rPr>
                <w:rFonts w:hint="eastAsia" w:ascii="Times New Roman" w:hAnsi="Times New Roman" w:eastAsia="宋体" w:cs="宋体"/>
                <w:color w:val="auto"/>
                <w:kern w:val="0"/>
                <w:sz w:val="24"/>
                <w:highlight w:val="none"/>
              </w:rPr>
              <w:t>——倍频带声功率级，dB；</w:t>
            </w:r>
          </w:p>
          <w:p w14:paraId="0B22CA79">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object>
                <v:shape id="_x0000_i1026" o:spt="75" type="#_x0000_t75" style="height:14.3pt;width:18.85pt;" o:ole="t" filled="f" o:preferrelative="t" stroked="f" coordsize="21600,21600">
                  <v:path/>
                  <v:fill on="f" focussize="0,0"/>
                  <v:stroke on="f" joinstyle="miter"/>
                  <v:imagedata r:id="rId28" o:title=""/>
                  <o:lock v:ext="edit" aspectratio="t"/>
                  <w10:wrap type="none"/>
                  <w10:anchorlock/>
                </v:shape>
                <o:OLEObject Type="Embed" ProgID="Equation.DSMT4" ShapeID="_x0000_i1026" DrawAspect="Content" ObjectID="_1468075727" r:id="rId27">
                  <o:LockedField>false</o:LockedField>
                </o:OLEObject>
              </w:object>
            </w:r>
            <w:r>
              <w:rPr>
                <w:rFonts w:hint="eastAsia" w:ascii="Times New Roman" w:hAnsi="Times New Roman" w:eastAsia="宋体" w:cs="宋体"/>
                <w:color w:val="auto"/>
                <w:kern w:val="0"/>
                <w:sz w:val="24"/>
                <w:highlight w:val="none"/>
              </w:rPr>
              <w:t>——指向性校正，dB，对辐射到自由空间的全向点声源，</w:t>
            </w:r>
            <w:r>
              <w:rPr>
                <w:rFonts w:hint="eastAsia" w:ascii="Times New Roman" w:hAnsi="Times New Roman" w:eastAsia="宋体" w:cs="宋体"/>
                <w:color w:val="auto"/>
                <w:kern w:val="0"/>
                <w:sz w:val="24"/>
                <w:highlight w:val="none"/>
              </w:rPr>
              <w:object>
                <v:shape id="_x0000_i1027" o:spt="75" type="#_x0000_t75" style="height:14.3pt;width:18.85pt;" o:ole="t" filled="f" o:preferrelative="t" stroked="f" coordsize="21600,21600">
                  <v:path/>
                  <v:fill on="f" focussize="0,0"/>
                  <v:stroke on="f" joinstyle="miter"/>
                  <v:imagedata r:id="rId28" o:title=""/>
                  <o:lock v:ext="edit" aspectratio="t"/>
                  <w10:wrap type="none"/>
                  <w10:anchorlock/>
                </v:shape>
                <o:OLEObject Type="Embed" ProgID="Equation.DSMT4" ShapeID="_x0000_i1027" DrawAspect="Content" ObjectID="_1468075728" r:id="rId29">
                  <o:LockedField>false</o:LockedField>
                </o:OLEObject>
              </w:object>
            </w:r>
            <w:r>
              <w:rPr>
                <w:rFonts w:hint="eastAsia" w:ascii="Times New Roman" w:hAnsi="Times New Roman" w:eastAsia="宋体" w:cs="宋体"/>
                <w:color w:val="auto"/>
                <w:kern w:val="0"/>
                <w:sz w:val="24"/>
                <w:highlight w:val="none"/>
              </w:rPr>
              <w:t>=0dB；</w:t>
            </w:r>
          </w:p>
          <w:p w14:paraId="69CAEA7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object>
                <v:shape id="_x0000_i1028" o:spt="75" type="#_x0000_t75" style="height:11.45pt;width:11.45pt;" o:ole="t" filled="f" o:preferrelative="t" stroked="f" coordsize="21600,21600">
                  <v:path/>
                  <v:fill on="f" focussize="0,0"/>
                  <v:stroke on="f" joinstyle="miter"/>
                  <v:imagedata r:id="rId31" o:title=""/>
                  <o:lock v:ext="edit" aspectratio="t"/>
                  <w10:wrap type="none"/>
                  <w10:anchorlock/>
                </v:shape>
                <o:OLEObject Type="Embed" ProgID="Equation.DSMT4" ShapeID="_x0000_i1028" DrawAspect="Content" ObjectID="_1468075729" r:id="rId30">
                  <o:LockedField>false</o:LockedField>
                </o:OLEObject>
              </w:object>
            </w:r>
            <w:r>
              <w:rPr>
                <w:rFonts w:hint="eastAsia" w:ascii="Times New Roman" w:hAnsi="Times New Roman" w:eastAsia="宋体" w:cs="宋体"/>
                <w:color w:val="auto"/>
                <w:kern w:val="0"/>
                <w:sz w:val="24"/>
                <w:highlight w:val="none"/>
              </w:rPr>
              <w:t>——倍频带衰减，dB；</w:t>
            </w:r>
          </w:p>
          <w:p w14:paraId="46C50ED4">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object>
                <v:shape id="_x0000_i1029" o:spt="75" type="#_x0000_t75" style="height:18.3pt;width:20.55pt;" o:ole="t" filled="f" o:preferrelative="t" stroked="f" coordsize="21600,21600">
                  <v:path/>
                  <v:fill on="f" focussize="0,0"/>
                  <v:stroke on="f" joinstyle="miter"/>
                  <v:imagedata r:id="rId33" o:title=""/>
                  <o:lock v:ext="edit" aspectratio="t"/>
                  <w10:wrap type="none"/>
                  <w10:anchorlock/>
                </v:shape>
                <o:OLEObject Type="Embed" ProgID="Equation.DSMT4" ShapeID="_x0000_i1029" DrawAspect="Content" ObjectID="_1468075730" r:id="rId32">
                  <o:LockedField>false</o:LockedField>
                </o:OLEObject>
              </w:objec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0" o:spt="75" type="#_x0000_t75" style="height:18.3pt;width:22.3pt;" o:ole="t" filled="f" o:preferrelative="t" stroked="f" coordsize="21600,21600">
                  <v:path/>
                  <v:fill on="f" focussize="0,0"/>
                  <v:stroke on="f" joinstyle="miter"/>
                  <v:imagedata r:id="rId35" o:title=""/>
                  <o:lock v:ext="edit" aspectratio="t"/>
                  <w10:wrap type="none"/>
                  <w10:anchorlock/>
                </v:shape>
                <o:OLEObject Type="Embed" ProgID="Equation.DSMT4" ShapeID="_x0000_i1030" DrawAspect="Content" ObjectID="_1468075731" r:id="rId34">
                  <o:LockedField>false</o:LockedField>
                </o:OLEObject>
              </w:objec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1" o:spt="75" type="#_x0000_t75" style="height:18.85pt;width:18.3pt;" o:ole="t" filled="f" o:preferrelative="t" stroked="f" coordsize="21600,21600">
                  <v:path/>
                  <v:fill on="f" focussize="0,0"/>
                  <v:stroke on="f" joinstyle="miter"/>
                  <v:imagedata r:id="rId37" o:title=""/>
                  <o:lock v:ext="edit" aspectratio="t"/>
                  <w10:wrap type="none"/>
                  <w10:anchorlock/>
                </v:shape>
                <o:OLEObject Type="Embed" ProgID="Equation.DSMT4" ShapeID="_x0000_i1031" DrawAspect="Content" ObjectID="_1468075732" r:id="rId36">
                  <o:LockedField>false</o:LockedField>
                </o:OLEObject>
              </w:objec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2" o:spt="75" type="#_x0000_t75" style="height:18.3pt;width:20.55pt;" o:ole="t" filled="f" o:preferrelative="t" stroked="f" coordsize="21600,21600">
                  <v:path/>
                  <v:fill on="f" focussize="0,0"/>
                  <v:stroke on="f" joinstyle="miter"/>
                  <v:imagedata r:id="rId39" o:title=""/>
                  <o:lock v:ext="edit" aspectratio="t"/>
                  <w10:wrap type="none"/>
                  <w10:anchorlock/>
                </v:shape>
                <o:OLEObject Type="Embed" ProgID="Equation.DSMT4" ShapeID="_x0000_i1032" DrawAspect="Content" ObjectID="_1468075733" r:id="rId38">
                  <o:LockedField>false</o:LockedField>
                </o:OLEObject>
              </w:objec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3" o:spt="75" type="#_x0000_t75" style="height:18.85pt;width:22.85pt;" o:ole="t" filled="f" o:preferrelative="t" stroked="f" coordsize="21600,21600">
                  <v:path/>
                  <v:fill on="f" focussize="0,0"/>
                  <v:stroke on="f" joinstyle="miter"/>
                  <v:imagedata r:id="rId41" o:title=""/>
                  <o:lock v:ext="edit" aspectratio="t"/>
                  <w10:wrap type="none"/>
                  <w10:anchorlock/>
                </v:shape>
                <o:OLEObject Type="Embed" ProgID="Equation.DSMT4" ShapeID="_x0000_i1033" DrawAspect="Content" ObjectID="_1468075734" r:id="rId40">
                  <o:LockedField>false</o:LockedField>
                </o:OLEObject>
              </w:object>
            </w:r>
            <w:r>
              <w:rPr>
                <w:rFonts w:hint="eastAsia" w:ascii="Times New Roman" w:hAnsi="Times New Roman" w:eastAsia="宋体" w:cs="宋体"/>
                <w:color w:val="auto"/>
                <w:kern w:val="0"/>
                <w:sz w:val="24"/>
                <w:highlight w:val="none"/>
              </w:rPr>
              <w:t>——分别指几何发散、大气吸收、地面效应、声屏障、其他多方面引起的倍频带衰减量，dB，衰减项计算按《环境影响评价技术导则 声环境》（HJ2.4-2021）中相关模式计算。</w:t>
            </w:r>
          </w:p>
          <w:p w14:paraId="0D432450">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在不能取得声源倍频带声功率级或倍频带声压级，只能获得A声功率级或某点的A声级时，可按下式做近似计算：</w:t>
            </w:r>
          </w:p>
          <w:p w14:paraId="03E30F2E">
            <w:pPr>
              <w:pStyle w:val="8"/>
              <w:spacing w:line="360" w:lineRule="auto"/>
              <w:jc w:val="center"/>
              <w:rPr>
                <w:rFonts w:ascii="Times New Roman" w:hAnsi="Times New Roman" w:eastAsia="宋体" w:cs="宋体"/>
                <w:color w:val="auto"/>
                <w:sz w:val="32"/>
                <w:szCs w:val="36"/>
                <w:highlight w:val="none"/>
              </w:rPr>
            </w:pPr>
            <w:r>
              <w:rPr>
                <w:rFonts w:ascii="Times New Roman" w:hAnsi="Times New Roman" w:eastAsia="宋体" w:cs="宋体"/>
                <w:color w:val="auto"/>
                <w:sz w:val="32"/>
                <w:szCs w:val="36"/>
                <w:highlight w:val="none"/>
              </w:rPr>
              <w:drawing>
                <wp:inline distT="0" distB="0" distL="114300" distR="114300">
                  <wp:extent cx="1296670" cy="231775"/>
                  <wp:effectExtent l="0" t="0" r="17780" b="16510"/>
                  <wp:docPr id="60" name="图片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23"/>
                          <pic:cNvPicPr>
                            <a:picLocks noChangeAspect="1"/>
                          </pic:cNvPicPr>
                        </pic:nvPicPr>
                        <pic:blipFill>
                          <a:blip r:embed="rId42" cstate="print"/>
                          <a:stretch>
                            <a:fillRect/>
                          </a:stretch>
                        </pic:blipFill>
                        <pic:spPr>
                          <a:xfrm>
                            <a:off x="0" y="0"/>
                            <a:ext cx="1296670" cy="231775"/>
                          </a:xfrm>
                          <a:prstGeom prst="rect">
                            <a:avLst/>
                          </a:prstGeom>
                          <a:noFill/>
                          <a:ln>
                            <a:noFill/>
                          </a:ln>
                        </pic:spPr>
                      </pic:pic>
                    </a:graphicData>
                  </a:graphic>
                </wp:inline>
              </w:drawing>
            </w:r>
            <w:r>
              <w:rPr>
                <w:rFonts w:hint="eastAsia" w:ascii="Times New Roman" w:hAnsi="Times New Roman" w:eastAsia="宋体" w:cs="宋体"/>
                <w:color w:val="auto"/>
                <w:sz w:val="32"/>
                <w:szCs w:val="36"/>
                <w:highlight w:val="none"/>
              </w:rPr>
              <w:t>或</w:t>
            </w:r>
            <w:r>
              <w:rPr>
                <w:rFonts w:ascii="Times New Roman" w:hAnsi="Times New Roman" w:eastAsia="宋体" w:cs="宋体"/>
                <w:color w:val="auto"/>
                <w:sz w:val="32"/>
                <w:szCs w:val="36"/>
                <w:highlight w:val="none"/>
              </w:rPr>
              <w:drawing>
                <wp:inline distT="0" distB="0" distL="114300" distR="114300">
                  <wp:extent cx="1146175" cy="231775"/>
                  <wp:effectExtent l="0" t="0" r="0" b="16510"/>
                  <wp:docPr id="61" name="图片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24"/>
                          <pic:cNvPicPr>
                            <a:picLocks noChangeAspect="1"/>
                          </pic:cNvPicPr>
                        </pic:nvPicPr>
                        <pic:blipFill>
                          <a:blip r:embed="rId43" cstate="print"/>
                          <a:stretch>
                            <a:fillRect/>
                          </a:stretch>
                        </pic:blipFill>
                        <pic:spPr>
                          <a:xfrm>
                            <a:off x="0" y="0"/>
                            <a:ext cx="1146175" cy="231775"/>
                          </a:xfrm>
                          <a:prstGeom prst="rect">
                            <a:avLst/>
                          </a:prstGeom>
                          <a:noFill/>
                          <a:ln>
                            <a:noFill/>
                          </a:ln>
                        </pic:spPr>
                      </pic:pic>
                    </a:graphicData>
                  </a:graphic>
                </wp:inline>
              </w:drawing>
            </w:r>
          </w:p>
          <w:p w14:paraId="0200EDB3">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149860" cy="170815"/>
                  <wp:effectExtent l="0" t="0" r="2540" b="635"/>
                  <wp:docPr id="62" name="图片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525"/>
                          <pic:cNvPicPr>
                            <a:picLocks noChangeAspect="1"/>
                          </pic:cNvPicPr>
                        </pic:nvPicPr>
                        <pic:blipFill>
                          <a:blip r:embed="rId44" cstate="print"/>
                          <a:stretch>
                            <a:fillRect/>
                          </a:stretch>
                        </pic:blipFill>
                        <pic:spPr>
                          <a:xfrm>
                            <a:off x="0" y="0"/>
                            <a:ext cx="149860" cy="17081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可选择对</w:t>
            </w:r>
            <w:r>
              <w:rPr>
                <w:rFonts w:hint="eastAsia" w:ascii="Times New Roman" w:hAnsi="Times New Roman" w:eastAsia="宋体" w:cs="宋体"/>
                <w:color w:val="auto"/>
                <w:kern w:val="0"/>
                <w:sz w:val="24"/>
                <w:highlight w:val="none"/>
              </w:rPr>
              <w:drawing>
                <wp:inline distT="0" distB="0" distL="114300" distR="114300">
                  <wp:extent cx="149860" cy="170815"/>
                  <wp:effectExtent l="0" t="0" r="2540" b="635"/>
                  <wp:docPr id="63" name="图片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26"/>
                          <pic:cNvPicPr>
                            <a:picLocks noChangeAspect="1"/>
                          </pic:cNvPicPr>
                        </pic:nvPicPr>
                        <pic:blipFill>
                          <a:blip r:embed="rId44" cstate="print"/>
                          <a:stretch>
                            <a:fillRect/>
                          </a:stretch>
                        </pic:blipFill>
                        <pic:spPr>
                          <a:xfrm>
                            <a:off x="0" y="0"/>
                            <a:ext cx="149860" cy="17081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声级影响最大的倍频带计算，一般可选中心频率为500Hz的倍频带</w:t>
            </w:r>
            <w:r>
              <w:rPr>
                <w:rFonts w:hint="eastAsia" w:cs="宋体"/>
                <w:color w:val="auto"/>
                <w:kern w:val="0"/>
                <w:sz w:val="24"/>
                <w:highlight w:val="none"/>
                <w:lang w:eastAsia="zh-CN"/>
              </w:rPr>
              <w:t>做</w:t>
            </w:r>
            <w:r>
              <w:rPr>
                <w:rFonts w:hint="eastAsia" w:ascii="Times New Roman" w:hAnsi="Times New Roman" w:eastAsia="宋体" w:cs="宋体"/>
                <w:color w:val="auto"/>
                <w:kern w:val="0"/>
                <w:sz w:val="24"/>
                <w:highlight w:val="none"/>
              </w:rPr>
              <w:t>估算。</w:t>
            </w:r>
          </w:p>
          <w:p w14:paraId="7C31C6CF">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②室内声源等效室外声源声功率级计算方法</w:t>
            </w:r>
          </w:p>
          <w:p w14:paraId="5F235AF2">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如图所示，声源位于室内，室内声源可采用等效室外声源声功率级法进行计算。设靠近开口处（或窗户）室内、室外某倍频带的声压级分别为</w:t>
            </w:r>
            <w:r>
              <w:rPr>
                <w:rFonts w:hint="eastAsia" w:ascii="Times New Roman" w:hAnsi="Times New Roman" w:eastAsia="宋体" w:cs="宋体"/>
                <w:color w:val="auto"/>
                <w:kern w:val="0"/>
                <w:sz w:val="24"/>
                <w:highlight w:val="none"/>
              </w:rPr>
              <w:drawing>
                <wp:inline distT="0" distB="0" distL="114300" distR="114300">
                  <wp:extent cx="231775" cy="245745"/>
                  <wp:effectExtent l="0" t="0" r="0" b="1270"/>
                  <wp:docPr id="64" name="图片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27"/>
                          <pic:cNvPicPr>
                            <a:picLocks noChangeAspect="1"/>
                          </pic:cNvPicPr>
                        </pic:nvPicPr>
                        <pic:blipFill>
                          <a:blip r:embed="rId45" cstate="print"/>
                          <a:stretch>
                            <a:fillRect/>
                          </a:stretch>
                        </pic:blipFill>
                        <pic:spPr>
                          <a:xfrm>
                            <a:off x="0" y="0"/>
                            <a:ext cx="231775"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drawing>
                <wp:inline distT="0" distB="0" distL="114300" distR="114300">
                  <wp:extent cx="245745" cy="245745"/>
                  <wp:effectExtent l="0" t="0" r="0" b="1270"/>
                  <wp:docPr id="65" name="图片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528"/>
                          <pic:cNvPicPr>
                            <a:picLocks noChangeAspect="1"/>
                          </pic:cNvPicPr>
                        </pic:nvPicPr>
                        <pic:blipFill>
                          <a:blip r:embed="rId46" cstate="print"/>
                          <a:stretch>
                            <a:fillRect/>
                          </a:stretch>
                        </pic:blipFill>
                        <pic:spPr>
                          <a:xfrm>
                            <a:off x="0" y="0"/>
                            <a:ext cx="245745"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。若声源所在室内声场为近似扩散声场，则室外的倍频带声压级可按下式近似求出：</w:t>
            </w:r>
          </w:p>
          <w:p w14:paraId="78860A42">
            <w:pPr>
              <w:pStyle w:val="8"/>
              <w:spacing w:after="0" w:line="360" w:lineRule="auto"/>
              <w:ind w:left="0" w:leftChars="0"/>
              <w:jc w:val="center"/>
              <w:rPr>
                <w:rFonts w:ascii="Times New Roman" w:hAnsi="Times New Roman" w:eastAsia="宋体" w:cs="宋体"/>
                <w:color w:val="auto"/>
                <w:sz w:val="32"/>
                <w:szCs w:val="36"/>
                <w:highlight w:val="none"/>
              </w:rPr>
            </w:pPr>
            <w:r>
              <w:rPr>
                <w:rFonts w:ascii="Times New Roman" w:hAnsi="Times New Roman" w:eastAsia="宋体" w:cs="宋体"/>
                <w:color w:val="auto"/>
                <w:sz w:val="32"/>
                <w:szCs w:val="36"/>
                <w:highlight w:val="none"/>
              </w:rPr>
              <w:drawing>
                <wp:inline distT="0" distB="0" distL="114300" distR="114300">
                  <wp:extent cx="1160145" cy="252730"/>
                  <wp:effectExtent l="0" t="0" r="1905" b="14605"/>
                  <wp:docPr id="66" name="图片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29"/>
                          <pic:cNvPicPr>
                            <a:picLocks noChangeAspect="1"/>
                          </pic:cNvPicPr>
                        </pic:nvPicPr>
                        <pic:blipFill>
                          <a:blip r:embed="rId47" cstate="print"/>
                          <a:stretch>
                            <a:fillRect/>
                          </a:stretch>
                        </pic:blipFill>
                        <pic:spPr>
                          <a:xfrm>
                            <a:off x="0" y="0"/>
                            <a:ext cx="1160145" cy="252730"/>
                          </a:xfrm>
                          <a:prstGeom prst="rect">
                            <a:avLst/>
                          </a:prstGeom>
                          <a:noFill/>
                          <a:ln>
                            <a:noFill/>
                          </a:ln>
                        </pic:spPr>
                      </pic:pic>
                    </a:graphicData>
                  </a:graphic>
                </wp:inline>
              </w:drawing>
            </w:r>
          </w:p>
          <w:p w14:paraId="454CEB69">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式中：</w:t>
            </w:r>
          </w:p>
          <w:p w14:paraId="5665583E">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211455" cy="170815"/>
                  <wp:effectExtent l="0" t="0" r="17145" b="635"/>
                  <wp:docPr id="67" name="图片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30"/>
                          <pic:cNvPicPr>
                            <a:picLocks noChangeAspect="1"/>
                          </pic:cNvPicPr>
                        </pic:nvPicPr>
                        <pic:blipFill>
                          <a:blip r:embed="rId48" cstate="print"/>
                          <a:stretch>
                            <a:fillRect/>
                          </a:stretch>
                        </pic:blipFill>
                        <pic:spPr>
                          <a:xfrm>
                            <a:off x="0" y="0"/>
                            <a:ext cx="211455" cy="17081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——隔墙（或窗户）倍频带的隔声量，dB。</w:t>
            </w:r>
          </w:p>
          <w:p w14:paraId="419AD360">
            <w:pPr>
              <w:pStyle w:val="8"/>
              <w:spacing w:after="0" w:line="360" w:lineRule="auto"/>
              <w:ind w:left="0" w:leftChars="0"/>
              <w:jc w:val="center"/>
              <w:rPr>
                <w:rFonts w:ascii="Times New Roman" w:hAnsi="Times New Roman" w:eastAsia="宋体" w:cs="宋体"/>
                <w:color w:val="auto"/>
                <w:szCs w:val="28"/>
                <w:highlight w:val="none"/>
              </w:rPr>
            </w:pPr>
            <w:r>
              <w:rPr>
                <w:rFonts w:ascii="Times New Roman" w:hAnsi="Times New Roman" w:eastAsia="宋体" w:cs="宋体"/>
                <w:color w:val="auto"/>
                <w:highlight w:val="none"/>
              </w:rPr>
              <w:drawing>
                <wp:inline distT="0" distB="0" distL="114300" distR="114300">
                  <wp:extent cx="3310255" cy="1711325"/>
                  <wp:effectExtent l="0" t="0" r="4445" b="317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49" cstate="print"/>
                          <a:stretch>
                            <a:fillRect/>
                          </a:stretch>
                        </pic:blipFill>
                        <pic:spPr>
                          <a:xfrm>
                            <a:off x="0" y="0"/>
                            <a:ext cx="3310255" cy="1711325"/>
                          </a:xfrm>
                          <a:prstGeom prst="rect">
                            <a:avLst/>
                          </a:prstGeom>
                          <a:noFill/>
                          <a:ln>
                            <a:noFill/>
                          </a:ln>
                        </pic:spPr>
                      </pic:pic>
                    </a:graphicData>
                  </a:graphic>
                </wp:inline>
              </w:drawing>
            </w:r>
          </w:p>
          <w:p w14:paraId="2A7AA65A">
            <w:pPr>
              <w:tabs>
                <w:tab w:val="left" w:pos="960"/>
              </w:tabs>
              <w:jc w:val="center"/>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图4.3-1  室内声源等效为室外声源图例</w:t>
            </w:r>
          </w:p>
          <w:p w14:paraId="043DF8A1">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也可按下式计算某一室内声源靠近围护结构处产生的倍频带声压级：</w:t>
            </w:r>
          </w:p>
          <w:p w14:paraId="7D62E40F">
            <w:pPr>
              <w:pStyle w:val="8"/>
              <w:spacing w:after="0" w:line="360" w:lineRule="auto"/>
              <w:ind w:left="0" w:leftChars="0"/>
              <w:jc w:val="center"/>
              <w:rPr>
                <w:rFonts w:ascii="Times New Roman" w:hAnsi="Times New Roman" w:eastAsia="宋体" w:cs="宋体"/>
                <w:color w:val="auto"/>
                <w:szCs w:val="28"/>
                <w:highlight w:val="none"/>
              </w:rPr>
            </w:pPr>
            <w:r>
              <w:rPr>
                <w:rFonts w:ascii="Times New Roman" w:hAnsi="Times New Roman" w:eastAsia="宋体" w:cs="宋体"/>
                <w:color w:val="auto"/>
                <w:szCs w:val="28"/>
                <w:highlight w:val="none"/>
              </w:rPr>
              <w:drawing>
                <wp:inline distT="0" distB="0" distL="114300" distR="114300">
                  <wp:extent cx="1924050" cy="477520"/>
                  <wp:effectExtent l="0" t="0" r="0" b="1778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50" cstate="print"/>
                          <a:stretch>
                            <a:fillRect/>
                          </a:stretch>
                        </pic:blipFill>
                        <pic:spPr>
                          <a:xfrm>
                            <a:off x="0" y="0"/>
                            <a:ext cx="1924050" cy="477520"/>
                          </a:xfrm>
                          <a:prstGeom prst="rect">
                            <a:avLst/>
                          </a:prstGeom>
                          <a:noFill/>
                          <a:ln>
                            <a:noFill/>
                          </a:ln>
                        </pic:spPr>
                      </pic:pic>
                    </a:graphicData>
                  </a:graphic>
                </wp:inline>
              </w:drawing>
            </w:r>
          </w:p>
          <w:p w14:paraId="0DFAB02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式中：</w:t>
            </w:r>
          </w:p>
          <w:p w14:paraId="4227026F">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149860" cy="204470"/>
                  <wp:effectExtent l="0" t="0" r="2540" b="3810"/>
                  <wp:docPr id="69" name="图片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32"/>
                          <pic:cNvPicPr>
                            <a:picLocks noChangeAspect="1"/>
                          </pic:cNvPicPr>
                        </pic:nvPicPr>
                        <pic:blipFill>
                          <a:blip r:embed="rId51" cstate="print"/>
                          <a:stretch>
                            <a:fillRect/>
                          </a:stretch>
                        </pic:blipFill>
                        <pic:spPr>
                          <a:xfrm>
                            <a:off x="0" y="0"/>
                            <a:ext cx="149860" cy="204470"/>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——指向性因素；通常对无指向性声源，当声源放在房间中心时，Q=1；当放在一面墙的中心时，Q=2；当放在两面墙夹角处时，Q=4；当放在三面墙夹角处时，Q=8。</w:t>
            </w:r>
          </w:p>
          <w:p w14:paraId="2DC3727C">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object>
                <v:shape id="_x0000_i1034" o:spt="75" type="#_x0000_t75" style="height:13.15pt;width:12pt;" o:ole="t" filled="f" o:preferrelative="t" stroked="f" coordsize="21600,21600">
                  <v:path/>
                  <v:fill on="f" focussize="0,0"/>
                  <v:stroke on="f" joinstyle="miter"/>
                  <v:imagedata r:id="rId53" o:title=""/>
                  <o:lock v:ext="edit" aspectratio="t"/>
                  <w10:wrap type="none"/>
                  <w10:anchorlock/>
                </v:shape>
                <o:OLEObject Type="Embed" ProgID="Equation.DSMT4" ShapeID="_x0000_i1034" DrawAspect="Content" ObjectID="_1468075735" r:id="rId52">
                  <o:LockedField>false</o:LockedField>
                </o:OLEObject>
              </w:object>
            </w:r>
            <w:r>
              <w:rPr>
                <w:rFonts w:hint="eastAsia" w:ascii="Times New Roman" w:hAnsi="Times New Roman" w:eastAsia="宋体" w:cs="宋体"/>
                <w:color w:val="auto"/>
                <w:kern w:val="0"/>
                <w:sz w:val="24"/>
                <w:highlight w:val="none"/>
              </w:rPr>
              <w:t>——房间常数；</w:t>
            </w:r>
            <w:r>
              <w:rPr>
                <w:rFonts w:hint="eastAsia" w:ascii="Times New Roman" w:hAnsi="Times New Roman" w:eastAsia="宋体" w:cs="宋体"/>
                <w:color w:val="auto"/>
                <w:kern w:val="0"/>
                <w:sz w:val="24"/>
                <w:highlight w:val="none"/>
              </w:rPr>
              <w:object>
                <v:shape id="_x0000_i1035" o:spt="75" type="#_x0000_t75" style="height:16.55pt;width:76.55pt;" o:ole="t" filled="f" o:preferrelative="t" stroked="f" coordsize="21600,21600">
                  <v:path/>
                  <v:fill on="f" focussize="0,0"/>
                  <v:stroke on="f" joinstyle="miter"/>
                  <v:imagedata r:id="rId55" o:title=""/>
                  <o:lock v:ext="edit" aspectratio="t"/>
                  <w10:wrap type="none"/>
                  <w10:anchorlock/>
                </v:shape>
                <o:OLEObject Type="Embed" ProgID="Equation.DSMT4" ShapeID="_x0000_i1035" DrawAspect="Content" ObjectID="_1468075736" r:id="rId54">
                  <o:LockedField>false</o:LockedField>
                </o:OLEObject>
              </w:objec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6" o:spt="75" type="#_x0000_t75" style="height:13.15pt;width:10.3pt;" o:ole="t" filled="f" o:preferrelative="t" stroked="f" coordsize="21600,21600">
                  <v:path/>
                  <v:fill on="f" focussize="0,0"/>
                  <v:stroke on="f" joinstyle="miter"/>
                  <v:imagedata r:id="rId57" o:title=""/>
                  <o:lock v:ext="edit" aspectratio="t"/>
                  <w10:wrap type="none"/>
                  <w10:anchorlock/>
                </v:shape>
                <o:OLEObject Type="Embed" ProgID="Equation.DSMT4" ShapeID="_x0000_i1036" DrawAspect="Content" ObjectID="_1468075737" r:id="rId56">
                  <o:LockedField>false</o:LockedField>
                </o:OLEObject>
              </w:object>
            </w:r>
            <w:r>
              <w:rPr>
                <w:rFonts w:hint="eastAsia" w:ascii="Times New Roman" w:hAnsi="Times New Roman" w:eastAsia="宋体" w:cs="宋体"/>
                <w:color w:val="auto"/>
                <w:kern w:val="0"/>
                <w:sz w:val="24"/>
                <w:highlight w:val="none"/>
              </w:rPr>
              <w:t>为房间内表面面积，m</w:t>
            </w:r>
            <w:r>
              <w:rPr>
                <w:rFonts w:hint="eastAsia" w:ascii="Times New Roman" w:hAnsi="Times New Roman" w:eastAsia="宋体" w:cs="宋体"/>
                <w:color w:val="auto"/>
                <w:kern w:val="0"/>
                <w:sz w:val="24"/>
                <w:highlight w:val="none"/>
                <w:vertAlign w:val="superscript"/>
              </w:rPr>
              <w:t>2</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object>
                <v:shape id="_x0000_i1037" o:spt="75" type="#_x0000_t75" style="height:10.3pt;width:10.85pt;" o:ole="t" filled="f" o:preferrelative="t" stroked="f" coordsize="21600,21600">
                  <v:path/>
                  <v:fill on="f" focussize="0,0"/>
                  <v:stroke on="f" joinstyle="miter"/>
                  <v:imagedata r:id="rId59" o:title=""/>
                  <o:lock v:ext="edit" aspectratio="t"/>
                  <w10:wrap type="none"/>
                  <w10:anchorlock/>
                </v:shape>
                <o:OLEObject Type="Embed" ProgID="Equation.DSMT4" ShapeID="_x0000_i1037" DrawAspect="Content" ObjectID="_1468075738" r:id="rId58">
                  <o:LockedField>false</o:LockedField>
                </o:OLEObject>
              </w:object>
            </w:r>
            <w:r>
              <w:rPr>
                <w:rFonts w:hint="eastAsia" w:ascii="Times New Roman" w:hAnsi="Times New Roman" w:eastAsia="宋体" w:cs="宋体"/>
                <w:color w:val="auto"/>
                <w:kern w:val="0"/>
                <w:sz w:val="24"/>
                <w:highlight w:val="none"/>
              </w:rPr>
              <w:t>为平均吸声系数。</w:t>
            </w:r>
          </w:p>
          <w:p w14:paraId="041A6FE3">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r——声源到靠近维护结构某点处距离，m。</w:t>
            </w:r>
          </w:p>
          <w:p w14:paraId="68690A8D">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然后按下式计算出所有室内声源在围护结构处产生的i倍频带叠加声压级：</w:t>
            </w:r>
          </w:p>
          <w:p w14:paraId="27741873">
            <w:pPr>
              <w:pStyle w:val="8"/>
              <w:spacing w:after="0" w:line="360" w:lineRule="auto"/>
              <w:ind w:left="0" w:leftChars="0"/>
              <w:jc w:val="center"/>
              <w:rPr>
                <w:rFonts w:ascii="Times New Roman" w:hAnsi="Times New Roman" w:eastAsia="宋体" w:cs="宋体"/>
                <w:color w:val="auto"/>
                <w:sz w:val="32"/>
                <w:szCs w:val="36"/>
                <w:highlight w:val="none"/>
              </w:rPr>
            </w:pPr>
            <w:r>
              <w:rPr>
                <w:rFonts w:ascii="Times New Roman" w:hAnsi="Times New Roman" w:eastAsia="宋体" w:cs="宋体"/>
                <w:color w:val="auto"/>
                <w:sz w:val="32"/>
                <w:szCs w:val="36"/>
                <w:highlight w:val="none"/>
              </w:rPr>
              <w:drawing>
                <wp:inline distT="0" distB="0" distL="114300" distR="114300">
                  <wp:extent cx="1998980" cy="566420"/>
                  <wp:effectExtent l="0" t="0" r="1270" b="4445"/>
                  <wp:docPr id="70" name="图片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38"/>
                          <pic:cNvPicPr>
                            <a:picLocks noChangeAspect="1"/>
                          </pic:cNvPicPr>
                        </pic:nvPicPr>
                        <pic:blipFill>
                          <a:blip r:embed="rId60" cstate="print"/>
                          <a:stretch>
                            <a:fillRect/>
                          </a:stretch>
                        </pic:blipFill>
                        <pic:spPr>
                          <a:xfrm>
                            <a:off x="0" y="0"/>
                            <a:ext cx="1998980" cy="566420"/>
                          </a:xfrm>
                          <a:prstGeom prst="rect">
                            <a:avLst/>
                          </a:prstGeom>
                          <a:noFill/>
                          <a:ln>
                            <a:noFill/>
                          </a:ln>
                        </pic:spPr>
                      </pic:pic>
                    </a:graphicData>
                  </a:graphic>
                </wp:inline>
              </w:drawing>
            </w:r>
          </w:p>
          <w:p w14:paraId="49C45FA0">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式中：</w:t>
            </w:r>
          </w:p>
          <w:p w14:paraId="4B8F33F6">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470535" cy="245745"/>
                  <wp:effectExtent l="0" t="0" r="5715" b="1905"/>
                  <wp:docPr id="71" name="图片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39"/>
                          <pic:cNvPicPr>
                            <a:picLocks noChangeAspect="1"/>
                          </pic:cNvPicPr>
                        </pic:nvPicPr>
                        <pic:blipFill>
                          <a:blip r:embed="rId61" cstate="print"/>
                          <a:stretch>
                            <a:fillRect/>
                          </a:stretch>
                        </pic:blipFill>
                        <pic:spPr>
                          <a:xfrm>
                            <a:off x="0" y="0"/>
                            <a:ext cx="470535"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——靠近围护结构处室内N个声源i倍频带的叠加声压级，dB；</w:t>
            </w:r>
          </w:p>
          <w:p w14:paraId="462BE540">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307340" cy="245745"/>
                  <wp:effectExtent l="0" t="0" r="16510" b="1270"/>
                  <wp:docPr id="72" name="图片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40"/>
                          <pic:cNvPicPr>
                            <a:picLocks noChangeAspect="1"/>
                          </pic:cNvPicPr>
                        </pic:nvPicPr>
                        <pic:blipFill>
                          <a:blip r:embed="rId62" cstate="print"/>
                          <a:stretch>
                            <a:fillRect/>
                          </a:stretch>
                        </pic:blipFill>
                        <pic:spPr>
                          <a:xfrm>
                            <a:off x="0" y="0"/>
                            <a:ext cx="307340"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——室内j声源i倍频带的声压级，dB；</w:t>
            </w:r>
          </w:p>
          <w:p w14:paraId="45C14866">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184150" cy="184150"/>
                  <wp:effectExtent l="0" t="0" r="6350" b="5715"/>
                  <wp:docPr id="73" name="图片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41"/>
                          <pic:cNvPicPr>
                            <a:picLocks noChangeAspect="1"/>
                          </pic:cNvPicPr>
                        </pic:nvPicPr>
                        <pic:blipFill>
                          <a:blip r:embed="rId63" cstate="print"/>
                          <a:stretch>
                            <a:fillRect/>
                          </a:stretch>
                        </pic:blipFill>
                        <pic:spPr>
                          <a:xfrm>
                            <a:off x="0" y="0"/>
                            <a:ext cx="184150" cy="184150"/>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——室内声源总数。</w:t>
            </w:r>
          </w:p>
          <w:p w14:paraId="0E1B8248">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在室内近似为扩散声场时，按下式计算出靠近室外围护结构处的声压级：</w:t>
            </w:r>
          </w:p>
          <w:p w14:paraId="4B1B238E">
            <w:pPr>
              <w:pStyle w:val="8"/>
              <w:spacing w:after="0" w:line="360" w:lineRule="auto"/>
              <w:ind w:left="0" w:leftChars="0"/>
              <w:jc w:val="center"/>
              <w:rPr>
                <w:rFonts w:ascii="Times New Roman" w:hAnsi="Times New Roman" w:eastAsia="宋体" w:cs="宋体"/>
                <w:color w:val="auto"/>
                <w:sz w:val="32"/>
                <w:szCs w:val="36"/>
                <w:highlight w:val="none"/>
              </w:rPr>
            </w:pPr>
            <w:r>
              <w:rPr>
                <w:rFonts w:ascii="Times New Roman" w:hAnsi="Times New Roman" w:eastAsia="宋体" w:cs="宋体"/>
                <w:color w:val="auto"/>
                <w:sz w:val="32"/>
                <w:szCs w:val="36"/>
                <w:highlight w:val="none"/>
              </w:rPr>
              <w:drawing>
                <wp:inline distT="0" distB="0" distL="114300" distR="114300">
                  <wp:extent cx="1773555" cy="252730"/>
                  <wp:effectExtent l="0" t="0" r="17145" b="14605"/>
                  <wp:docPr id="74" name="图片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42"/>
                          <pic:cNvPicPr>
                            <a:picLocks noChangeAspect="1"/>
                          </pic:cNvPicPr>
                        </pic:nvPicPr>
                        <pic:blipFill>
                          <a:blip r:embed="rId64" cstate="print"/>
                          <a:stretch>
                            <a:fillRect/>
                          </a:stretch>
                        </pic:blipFill>
                        <pic:spPr>
                          <a:xfrm>
                            <a:off x="0" y="0"/>
                            <a:ext cx="1773555" cy="252730"/>
                          </a:xfrm>
                          <a:prstGeom prst="rect">
                            <a:avLst/>
                          </a:prstGeom>
                          <a:noFill/>
                          <a:ln>
                            <a:noFill/>
                          </a:ln>
                        </pic:spPr>
                      </pic:pic>
                    </a:graphicData>
                  </a:graphic>
                </wp:inline>
              </w:drawing>
            </w:r>
          </w:p>
          <w:p w14:paraId="29013AE5">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式中：</w:t>
            </w:r>
          </w:p>
          <w:p w14:paraId="0A2F9A7B">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497840" cy="245745"/>
                  <wp:effectExtent l="0" t="0" r="16510" b="1905"/>
                  <wp:docPr id="75" name="图片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543"/>
                          <pic:cNvPicPr>
                            <a:picLocks noChangeAspect="1"/>
                          </pic:cNvPicPr>
                        </pic:nvPicPr>
                        <pic:blipFill>
                          <a:blip r:embed="rId65" cstate="print"/>
                          <a:stretch>
                            <a:fillRect/>
                          </a:stretch>
                        </pic:blipFill>
                        <pic:spPr>
                          <a:xfrm>
                            <a:off x="0" y="0"/>
                            <a:ext cx="497840" cy="24574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——靠近围护结构处室外N个声源i倍频带的叠加声压级，dB；</w:t>
            </w:r>
          </w:p>
          <w:p w14:paraId="0B74A845">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drawing>
                <wp:inline distT="0" distB="0" distL="114300" distR="114300">
                  <wp:extent cx="231775" cy="231775"/>
                  <wp:effectExtent l="0" t="0" r="15875" b="16510"/>
                  <wp:docPr id="76" name="图片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44"/>
                          <pic:cNvPicPr>
                            <a:picLocks noChangeAspect="1"/>
                          </pic:cNvPicPr>
                        </pic:nvPicPr>
                        <pic:blipFill>
                          <a:blip r:embed="rId66" cstate="print"/>
                          <a:stretch>
                            <a:fillRect/>
                          </a:stretch>
                        </pic:blipFill>
                        <pic:spPr>
                          <a:xfrm>
                            <a:off x="0" y="0"/>
                            <a:ext cx="231775" cy="231775"/>
                          </a:xfrm>
                          <a:prstGeom prst="rect">
                            <a:avLst/>
                          </a:prstGeom>
                          <a:noFill/>
                          <a:ln>
                            <a:noFill/>
                          </a:ln>
                        </pic:spPr>
                      </pic:pic>
                    </a:graphicData>
                  </a:graphic>
                </wp:inline>
              </w:drawing>
            </w:r>
            <w:r>
              <w:rPr>
                <w:rFonts w:hint="eastAsia" w:ascii="Times New Roman" w:hAnsi="Times New Roman" w:eastAsia="宋体" w:cs="宋体"/>
                <w:color w:val="auto"/>
                <w:kern w:val="0"/>
                <w:sz w:val="24"/>
                <w:highlight w:val="none"/>
              </w:rPr>
              <w:t>——围护结构i倍频带的隔声量，dB。</w:t>
            </w:r>
          </w:p>
          <w:p w14:paraId="691E51FB">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然后按下式将室外声源的声压级和透过面积换算成等效的室外声源，计算出中心位置位于透声面积（S）处的等效声源的倍频带声功率级：</w:t>
            </w:r>
          </w:p>
          <w:p w14:paraId="07D86103">
            <w:pPr>
              <w:pStyle w:val="8"/>
              <w:spacing w:after="0" w:line="360" w:lineRule="auto"/>
              <w:ind w:left="0" w:leftChars="0"/>
              <w:jc w:val="center"/>
              <w:rPr>
                <w:rFonts w:ascii="Times New Roman" w:hAnsi="Times New Roman" w:eastAsia="宋体" w:cs="宋体"/>
                <w:color w:val="auto"/>
                <w:sz w:val="32"/>
                <w:szCs w:val="36"/>
                <w:highlight w:val="none"/>
              </w:rPr>
            </w:pPr>
            <w:r>
              <w:rPr>
                <w:rFonts w:ascii="Times New Roman" w:hAnsi="Times New Roman" w:eastAsia="宋体" w:cs="宋体"/>
                <w:color w:val="auto"/>
                <w:sz w:val="32"/>
                <w:szCs w:val="36"/>
                <w:highlight w:val="none"/>
              </w:rPr>
              <w:drawing>
                <wp:inline distT="0" distB="0" distL="114300" distR="114300">
                  <wp:extent cx="1317625" cy="252730"/>
                  <wp:effectExtent l="0" t="0" r="0" b="14605"/>
                  <wp:docPr id="77" name="图片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45"/>
                          <pic:cNvPicPr>
                            <a:picLocks noChangeAspect="1"/>
                          </pic:cNvPicPr>
                        </pic:nvPicPr>
                        <pic:blipFill>
                          <a:blip r:embed="rId67" cstate="print"/>
                          <a:stretch>
                            <a:fillRect/>
                          </a:stretch>
                        </pic:blipFill>
                        <pic:spPr>
                          <a:xfrm>
                            <a:off x="0" y="0"/>
                            <a:ext cx="1317625" cy="252730"/>
                          </a:xfrm>
                          <a:prstGeom prst="rect">
                            <a:avLst/>
                          </a:prstGeom>
                          <a:noFill/>
                          <a:ln>
                            <a:noFill/>
                          </a:ln>
                        </pic:spPr>
                      </pic:pic>
                    </a:graphicData>
                  </a:graphic>
                </wp:inline>
              </w:drawing>
            </w:r>
          </w:p>
          <w:p w14:paraId="021EE413">
            <w:pPr>
              <w:autoSpaceDE w:val="0"/>
              <w:autoSpaceDN w:val="0"/>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然后按室外声源预测方法计算预测点处的A声级。</w:t>
            </w:r>
          </w:p>
          <w:p w14:paraId="2906D113">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4.3-3 </w:t>
            </w:r>
            <w:r>
              <w:rPr>
                <w:rFonts w:ascii="Times New Roman" w:hAnsi="Times New Roman" w:eastAsia="宋体" w:cs="宋体"/>
                <w:b/>
                <w:bCs/>
                <w:color w:val="auto"/>
                <w:spacing w:val="-4"/>
                <w:szCs w:val="21"/>
                <w:highlight w:val="none"/>
              </w:rPr>
              <w:t xml:space="preserve"> </w:t>
            </w:r>
            <w:r>
              <w:rPr>
                <w:rFonts w:hint="eastAsia" w:ascii="Times New Roman" w:hAnsi="Times New Roman" w:eastAsia="宋体" w:cs="宋体"/>
                <w:b/>
                <w:bCs/>
                <w:color w:val="auto"/>
                <w:spacing w:val="-4"/>
                <w:szCs w:val="21"/>
                <w:highlight w:val="none"/>
              </w:rPr>
              <w:t>厂界贡献值计算</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125"/>
              <w:gridCol w:w="1085"/>
              <w:gridCol w:w="1086"/>
              <w:gridCol w:w="1086"/>
              <w:gridCol w:w="1057"/>
            </w:tblGrid>
            <w:tr w14:paraId="58789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pct"/>
                  <w:vAlign w:val="center"/>
                </w:tcPr>
                <w:p w14:paraId="577A2587">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生产车间厂界</w:t>
                  </w:r>
                </w:p>
              </w:tc>
              <w:tc>
                <w:tcPr>
                  <w:tcW w:w="643" w:type="pct"/>
                  <w:vAlign w:val="center"/>
                </w:tcPr>
                <w:p w14:paraId="0B7C4FED">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东</w:t>
                  </w:r>
                </w:p>
              </w:tc>
              <w:tc>
                <w:tcPr>
                  <w:tcW w:w="643" w:type="pct"/>
                  <w:vAlign w:val="center"/>
                </w:tcPr>
                <w:p w14:paraId="6693EDA9">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南</w:t>
                  </w:r>
                </w:p>
              </w:tc>
              <w:tc>
                <w:tcPr>
                  <w:tcW w:w="643" w:type="pct"/>
                  <w:vAlign w:val="center"/>
                </w:tcPr>
                <w:p w14:paraId="141CF136">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西</w:t>
                  </w:r>
                </w:p>
              </w:tc>
              <w:tc>
                <w:tcPr>
                  <w:tcW w:w="626" w:type="pct"/>
                  <w:vAlign w:val="center"/>
                </w:tcPr>
                <w:p w14:paraId="4B996404">
                  <w:pPr>
                    <w:snapToGrid w:val="0"/>
                    <w:jc w:val="center"/>
                    <w:rPr>
                      <w:rFonts w:ascii="Times New Roman" w:hAnsi="Times New Roman" w:eastAsia="宋体" w:cs="宋体"/>
                      <w:b/>
                      <w:bCs/>
                      <w:color w:val="auto"/>
                      <w:szCs w:val="21"/>
                      <w:highlight w:val="none"/>
                    </w:rPr>
                  </w:pPr>
                  <w:r>
                    <w:rPr>
                      <w:rFonts w:hint="eastAsia" w:ascii="Times New Roman" w:hAnsi="Times New Roman" w:eastAsia="宋体" w:cs="宋体"/>
                      <w:b/>
                      <w:bCs/>
                      <w:color w:val="auto"/>
                      <w:szCs w:val="21"/>
                      <w:highlight w:val="none"/>
                    </w:rPr>
                    <w:t>北</w:t>
                  </w:r>
                </w:p>
              </w:tc>
            </w:tr>
            <w:tr w14:paraId="526D5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pct"/>
                  <w:vAlign w:val="center"/>
                </w:tcPr>
                <w:p w14:paraId="5A44B406">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总贡献值，dB（A）</w:t>
                  </w:r>
                </w:p>
              </w:tc>
              <w:tc>
                <w:tcPr>
                  <w:tcW w:w="643" w:type="pct"/>
                  <w:vAlign w:val="center"/>
                </w:tcPr>
                <w:p w14:paraId="4529B186">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5</w:t>
                  </w:r>
                  <w:r>
                    <w:rPr>
                      <w:rFonts w:hint="eastAsia" w:ascii="Times New Roman" w:hAnsi="Times New Roman" w:eastAsia="宋体" w:cs="宋体"/>
                      <w:bCs/>
                      <w:color w:val="auto"/>
                      <w:szCs w:val="21"/>
                      <w:highlight w:val="none"/>
                      <w:lang w:val="en-US" w:eastAsia="zh-CN"/>
                    </w:rPr>
                    <w:t>2.8</w:t>
                  </w:r>
                </w:p>
              </w:tc>
              <w:tc>
                <w:tcPr>
                  <w:tcW w:w="643" w:type="pct"/>
                  <w:vAlign w:val="center"/>
                </w:tcPr>
                <w:p w14:paraId="3A512B49">
                  <w:pPr>
                    <w:snapToGrid w:val="0"/>
                    <w:jc w:val="center"/>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5</w:t>
                  </w:r>
                  <w:r>
                    <w:rPr>
                      <w:rFonts w:hint="eastAsia" w:ascii="Times New Roman" w:hAnsi="Times New Roman" w:eastAsia="宋体" w:cs="宋体"/>
                      <w:color w:val="auto"/>
                      <w:spacing w:val="-4"/>
                      <w:szCs w:val="21"/>
                      <w:highlight w:val="none"/>
                      <w:lang w:val="en-US" w:eastAsia="zh-CN"/>
                    </w:rPr>
                    <w:t>2.7</w:t>
                  </w:r>
                </w:p>
              </w:tc>
              <w:tc>
                <w:tcPr>
                  <w:tcW w:w="643" w:type="pct"/>
                  <w:vAlign w:val="center"/>
                </w:tcPr>
                <w:p w14:paraId="72A44EA1">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w:t>
                  </w:r>
                  <w:r>
                    <w:rPr>
                      <w:rFonts w:hint="eastAsia" w:ascii="Times New Roman" w:hAnsi="Times New Roman" w:eastAsia="宋体" w:cs="宋体"/>
                      <w:color w:val="auto"/>
                      <w:szCs w:val="21"/>
                      <w:highlight w:val="none"/>
                      <w:lang w:val="en-US" w:eastAsia="zh-CN"/>
                    </w:rPr>
                    <w:t>2.8</w:t>
                  </w:r>
                </w:p>
              </w:tc>
              <w:tc>
                <w:tcPr>
                  <w:tcW w:w="626" w:type="pct"/>
                  <w:vAlign w:val="center"/>
                </w:tcPr>
                <w:p w14:paraId="708F2D23">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w:t>
                  </w:r>
                  <w:r>
                    <w:rPr>
                      <w:rFonts w:hint="eastAsia" w:ascii="Times New Roman" w:hAnsi="Times New Roman" w:eastAsia="宋体" w:cs="宋体"/>
                      <w:color w:val="auto"/>
                      <w:szCs w:val="21"/>
                      <w:highlight w:val="none"/>
                      <w:lang w:val="en-US" w:eastAsia="zh-CN"/>
                    </w:rPr>
                    <w:t>3.1</w:t>
                  </w:r>
                </w:p>
              </w:tc>
            </w:tr>
            <w:tr w14:paraId="2E5B1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pct"/>
                  <w:vAlign w:val="center"/>
                </w:tcPr>
                <w:p w14:paraId="36C9342D">
                  <w:pPr>
                    <w:snapToGrid w:val="0"/>
                    <w:jc w:val="center"/>
                    <w:rPr>
                      <w:rFonts w:ascii="Times New Roman" w:hAnsi="Times New Roman" w:eastAsia="宋体" w:cs="宋体"/>
                      <w:color w:val="auto"/>
                      <w:szCs w:val="21"/>
                      <w:highlight w:val="none"/>
                    </w:rPr>
                  </w:pPr>
                  <w:r>
                    <w:rPr>
                      <w:rFonts w:hint="eastAsia" w:cs="宋体"/>
                      <w:color w:val="auto"/>
                      <w:szCs w:val="21"/>
                      <w:highlight w:val="none"/>
                      <w:lang w:val="en-US" w:eastAsia="zh-CN"/>
                    </w:rPr>
                    <w:t>昼间</w:t>
                  </w:r>
                  <w:r>
                    <w:rPr>
                      <w:rFonts w:hint="eastAsia" w:ascii="Times New Roman" w:hAnsi="Times New Roman" w:eastAsia="宋体" w:cs="宋体"/>
                      <w:color w:val="auto"/>
                      <w:szCs w:val="21"/>
                      <w:highlight w:val="none"/>
                    </w:rPr>
                    <w:t>标准限值，dB（A）</w:t>
                  </w:r>
                </w:p>
              </w:tc>
              <w:tc>
                <w:tcPr>
                  <w:tcW w:w="643" w:type="pct"/>
                  <w:vAlign w:val="center"/>
                </w:tcPr>
                <w:p w14:paraId="2179ED88">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65</w:t>
                  </w:r>
                </w:p>
              </w:tc>
              <w:tc>
                <w:tcPr>
                  <w:tcW w:w="643" w:type="pct"/>
                  <w:vAlign w:val="center"/>
                </w:tcPr>
                <w:p w14:paraId="0E88E123">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65</w:t>
                  </w:r>
                </w:p>
              </w:tc>
              <w:tc>
                <w:tcPr>
                  <w:tcW w:w="643" w:type="pct"/>
                  <w:vAlign w:val="center"/>
                </w:tcPr>
                <w:p w14:paraId="6E63061F">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65</w:t>
                  </w:r>
                </w:p>
              </w:tc>
              <w:tc>
                <w:tcPr>
                  <w:tcW w:w="626" w:type="pct"/>
                  <w:vAlign w:val="center"/>
                </w:tcPr>
                <w:p w14:paraId="64C84A72">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65</w:t>
                  </w:r>
                </w:p>
              </w:tc>
            </w:tr>
            <w:tr w14:paraId="6D8E8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pct"/>
                  <w:vAlign w:val="center"/>
                </w:tcPr>
                <w:p w14:paraId="1CE0D540">
                  <w:pPr>
                    <w:snapToGrid w:val="0"/>
                    <w:jc w:val="center"/>
                    <w:rPr>
                      <w:rFonts w:hint="eastAsia" w:ascii="Times New Roman" w:hAnsi="Times New Roman" w:eastAsia="宋体" w:cs="宋体"/>
                      <w:color w:val="auto"/>
                      <w:szCs w:val="21"/>
                      <w:highlight w:val="none"/>
                    </w:rPr>
                  </w:pPr>
                  <w:r>
                    <w:rPr>
                      <w:rFonts w:hint="eastAsia" w:cs="宋体"/>
                      <w:color w:val="auto"/>
                      <w:szCs w:val="21"/>
                      <w:highlight w:val="none"/>
                      <w:lang w:val="en-US" w:eastAsia="zh-CN"/>
                    </w:rPr>
                    <w:t>夜间</w:t>
                  </w:r>
                  <w:r>
                    <w:rPr>
                      <w:rFonts w:hint="eastAsia" w:ascii="Times New Roman" w:hAnsi="Times New Roman" w:eastAsia="宋体" w:cs="宋体"/>
                      <w:color w:val="auto"/>
                      <w:szCs w:val="21"/>
                      <w:highlight w:val="none"/>
                    </w:rPr>
                    <w:t>标准限值，dB（A）</w:t>
                  </w:r>
                </w:p>
              </w:tc>
              <w:tc>
                <w:tcPr>
                  <w:tcW w:w="643" w:type="pct"/>
                  <w:vAlign w:val="center"/>
                </w:tcPr>
                <w:p w14:paraId="21074C14">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55</w:t>
                  </w:r>
                </w:p>
              </w:tc>
              <w:tc>
                <w:tcPr>
                  <w:tcW w:w="643" w:type="pct"/>
                  <w:vAlign w:val="center"/>
                </w:tcPr>
                <w:p w14:paraId="208CB7A2">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55</w:t>
                  </w:r>
                </w:p>
              </w:tc>
              <w:tc>
                <w:tcPr>
                  <w:tcW w:w="643" w:type="pct"/>
                  <w:vAlign w:val="center"/>
                </w:tcPr>
                <w:p w14:paraId="6DF5260F">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55</w:t>
                  </w:r>
                </w:p>
              </w:tc>
              <w:tc>
                <w:tcPr>
                  <w:tcW w:w="626" w:type="pct"/>
                  <w:vAlign w:val="center"/>
                </w:tcPr>
                <w:p w14:paraId="55811D9D">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55</w:t>
                  </w:r>
                </w:p>
              </w:tc>
            </w:tr>
            <w:tr w14:paraId="0D542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44" w:type="pct"/>
                  <w:vAlign w:val="center"/>
                </w:tcPr>
                <w:p w14:paraId="07880B59">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达标情况</w:t>
                  </w:r>
                </w:p>
              </w:tc>
              <w:tc>
                <w:tcPr>
                  <w:tcW w:w="643" w:type="pct"/>
                  <w:vAlign w:val="center"/>
                </w:tcPr>
                <w:p w14:paraId="36852698">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达标</w:t>
                  </w:r>
                </w:p>
              </w:tc>
              <w:tc>
                <w:tcPr>
                  <w:tcW w:w="643" w:type="pct"/>
                  <w:vAlign w:val="center"/>
                </w:tcPr>
                <w:p w14:paraId="1794837C">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达标</w:t>
                  </w:r>
                </w:p>
              </w:tc>
              <w:tc>
                <w:tcPr>
                  <w:tcW w:w="643" w:type="pct"/>
                  <w:vAlign w:val="center"/>
                </w:tcPr>
                <w:p w14:paraId="7DA4A8CB">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达标</w:t>
                  </w:r>
                </w:p>
              </w:tc>
              <w:tc>
                <w:tcPr>
                  <w:tcW w:w="626" w:type="pct"/>
                  <w:vAlign w:val="center"/>
                </w:tcPr>
                <w:p w14:paraId="103DCD9F">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达标</w:t>
                  </w:r>
                </w:p>
              </w:tc>
            </w:tr>
          </w:tbl>
          <w:p w14:paraId="1AE58382">
            <w:pPr>
              <w:keepNext w:val="0"/>
              <w:keepLines w:val="0"/>
              <w:pageBreakBefore w:val="0"/>
              <w:widowControl w:val="0"/>
              <w:kinsoku/>
              <w:wordWrap/>
              <w:overflowPunct/>
              <w:topLinePunct w:val="0"/>
              <w:bidi w:val="0"/>
              <w:adjustRightInd/>
              <w:spacing w:line="360" w:lineRule="auto"/>
              <w:ind w:firstLine="480" w:firstLineChars="200"/>
              <w:textAlignment w:val="auto"/>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经预测</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本项目建成后，</w:t>
            </w:r>
            <w:r>
              <w:rPr>
                <w:rFonts w:hint="eastAsia" w:ascii="Times New Roman" w:hAnsi="Times New Roman" w:eastAsia="宋体" w:cs="宋体"/>
                <w:color w:val="auto"/>
                <w:sz w:val="24"/>
                <w:highlight w:val="none"/>
              </w:rPr>
              <w:t>东、南、西、北</w:t>
            </w:r>
            <w:r>
              <w:rPr>
                <w:rFonts w:ascii="Times New Roman" w:hAnsi="Times New Roman" w:eastAsia="宋体" w:cs="宋体"/>
                <w:color w:val="auto"/>
                <w:sz w:val="24"/>
                <w:highlight w:val="none"/>
              </w:rPr>
              <w:t>厂界</w:t>
            </w:r>
            <w:r>
              <w:rPr>
                <w:rFonts w:hint="eastAsia" w:ascii="Times New Roman" w:hAnsi="Times New Roman" w:eastAsia="宋体" w:cs="宋体"/>
                <w:color w:val="auto"/>
                <w:sz w:val="24"/>
                <w:highlight w:val="none"/>
              </w:rPr>
              <w:t>贡献值</w:t>
            </w:r>
            <w:r>
              <w:rPr>
                <w:rFonts w:ascii="Times New Roman" w:hAnsi="Times New Roman" w:eastAsia="宋体" w:cs="宋体"/>
                <w:color w:val="auto"/>
                <w:sz w:val="24"/>
                <w:highlight w:val="none"/>
              </w:rPr>
              <w:t>均能达到《工业企业厂界环境噪声排放标准》（GB12348-2008）中的</w:t>
            </w:r>
            <w:r>
              <w:rPr>
                <w:rFonts w:hint="eastAsia" w:cs="宋体"/>
                <w:color w:val="auto"/>
                <w:sz w:val="24"/>
                <w:highlight w:val="none"/>
                <w:lang w:val="en-US" w:eastAsia="zh-CN"/>
              </w:rPr>
              <w:t>3</w:t>
            </w:r>
            <w:r>
              <w:rPr>
                <w:rFonts w:hint="eastAsia" w:ascii="Times New Roman" w:hAnsi="Times New Roman" w:eastAsia="宋体" w:cs="宋体"/>
                <w:color w:val="auto"/>
                <w:sz w:val="24"/>
                <w:highlight w:val="none"/>
              </w:rPr>
              <w:t>类</w:t>
            </w:r>
            <w:r>
              <w:rPr>
                <w:rFonts w:ascii="Times New Roman" w:hAnsi="Times New Roman" w:eastAsia="宋体" w:cs="宋体"/>
                <w:color w:val="auto"/>
                <w:sz w:val="24"/>
                <w:highlight w:val="none"/>
              </w:rPr>
              <w:t>标准，即昼间≤</w:t>
            </w:r>
            <w:r>
              <w:rPr>
                <w:rFonts w:hint="eastAsia" w:ascii="Times New Roman" w:hAnsi="Times New Roman" w:eastAsia="宋体" w:cs="宋体"/>
                <w:color w:val="auto"/>
                <w:sz w:val="24"/>
                <w:highlight w:val="none"/>
              </w:rPr>
              <w:t>6</w:t>
            </w:r>
            <w:r>
              <w:rPr>
                <w:rFonts w:hint="eastAsia" w:cs="宋体"/>
                <w:color w:val="auto"/>
                <w:sz w:val="24"/>
                <w:highlight w:val="none"/>
                <w:lang w:val="en-US" w:eastAsia="zh-CN"/>
              </w:rPr>
              <w:t>5</w:t>
            </w:r>
            <w:r>
              <w:rPr>
                <w:rFonts w:ascii="Times New Roman" w:hAnsi="Times New Roman" w:eastAsia="宋体" w:cs="宋体"/>
                <w:color w:val="auto"/>
                <w:sz w:val="24"/>
                <w:highlight w:val="none"/>
              </w:rPr>
              <w:t>dB（A）</w:t>
            </w:r>
            <w:r>
              <w:rPr>
                <w:rFonts w:hint="eastAsia" w:cs="宋体"/>
                <w:color w:val="auto"/>
                <w:sz w:val="24"/>
                <w:highlight w:val="none"/>
                <w:lang w:eastAsia="zh-CN"/>
              </w:rPr>
              <w:t>、</w:t>
            </w:r>
            <w:r>
              <w:rPr>
                <w:rFonts w:hint="eastAsia" w:cs="宋体"/>
                <w:color w:val="auto"/>
                <w:sz w:val="24"/>
                <w:highlight w:val="none"/>
                <w:lang w:val="en-US" w:eastAsia="zh-CN"/>
              </w:rPr>
              <w:t>夜</w:t>
            </w:r>
            <w:r>
              <w:rPr>
                <w:rFonts w:ascii="Times New Roman" w:hAnsi="Times New Roman" w:eastAsia="宋体" w:cs="宋体"/>
                <w:color w:val="auto"/>
                <w:sz w:val="24"/>
                <w:highlight w:val="none"/>
              </w:rPr>
              <w:t>间≤</w:t>
            </w:r>
            <w:r>
              <w:rPr>
                <w:rFonts w:hint="eastAsia" w:cs="宋体"/>
                <w:color w:val="auto"/>
                <w:sz w:val="24"/>
                <w:highlight w:val="none"/>
                <w:lang w:val="en-US" w:eastAsia="zh-CN"/>
              </w:rPr>
              <w:t>55</w:t>
            </w:r>
            <w:r>
              <w:rPr>
                <w:rFonts w:ascii="Times New Roman" w:hAnsi="Times New Roman" w:eastAsia="宋体" w:cs="宋体"/>
                <w:color w:val="auto"/>
                <w:sz w:val="24"/>
                <w:highlight w:val="none"/>
              </w:rPr>
              <w:t>dB（A）。</w:t>
            </w:r>
          </w:p>
          <w:p w14:paraId="402C7860">
            <w:pPr>
              <w:keepNext w:val="0"/>
              <w:keepLines w:val="0"/>
              <w:pageBreakBefore w:val="0"/>
              <w:widowControl w:val="0"/>
              <w:numPr>
                <w:ilvl w:val="0"/>
                <w:numId w:val="0"/>
              </w:numPr>
              <w:kinsoku/>
              <w:wordWrap/>
              <w:overflowPunct/>
              <w:topLinePunct w:val="0"/>
              <w:autoSpaceDE w:val="0"/>
              <w:autoSpaceDN w:val="0"/>
              <w:bidi w:val="0"/>
              <w:adjustRightInd/>
              <w:spacing w:line="360" w:lineRule="auto"/>
              <w:ind w:firstLine="480" w:firstLineChars="200"/>
              <w:jc w:val="left"/>
              <w:textAlignment w:val="auto"/>
              <w:rPr>
                <w:color w:val="auto"/>
              </w:rPr>
            </w:pPr>
            <w:r>
              <w:rPr>
                <w:rFonts w:ascii="Times New Roman" w:hAnsi="Times New Roman" w:eastAsia="宋体" w:cs="Times New Roman"/>
                <w:color w:val="auto"/>
                <w:kern w:val="2"/>
                <w:sz w:val="24"/>
                <w:szCs w:val="24"/>
                <w:lang w:val="en-US" w:eastAsia="zh-CN" w:bidi="ar-SA"/>
              </w:rPr>
              <w:t>（4）</w:t>
            </w:r>
            <w:r>
              <w:rPr>
                <w:rFonts w:hint="eastAsia" w:ascii="Times New Roman" w:hAnsi="Times New Roman" w:eastAsia="宋体" w:cs="宋体"/>
                <w:color w:val="auto"/>
                <w:kern w:val="0"/>
                <w:sz w:val="24"/>
                <w:highlight w:val="none"/>
              </w:rPr>
              <w:t>监测计划</w:t>
            </w:r>
          </w:p>
          <w:p w14:paraId="32BE31E9">
            <w:pPr>
              <w:pStyle w:val="28"/>
              <w:keepNext w:val="0"/>
              <w:keepLines w:val="0"/>
              <w:pageBreakBefore w:val="0"/>
              <w:widowControl w:val="0"/>
              <w:numPr>
                <w:ilvl w:val="0"/>
                <w:numId w:val="0"/>
              </w:numPr>
              <w:kinsoku/>
              <w:wordWrap/>
              <w:overflowPunct/>
              <w:topLinePunct w:val="0"/>
              <w:bidi w:val="0"/>
              <w:adjustRightInd/>
              <w:spacing w:line="360" w:lineRule="auto"/>
              <w:ind w:firstLine="480" w:firstLineChars="200"/>
              <w:textAlignment w:val="auto"/>
              <w:rPr>
                <w:color w:val="auto"/>
                <w:sz w:val="24"/>
                <w:szCs w:val="24"/>
              </w:rPr>
            </w:pPr>
            <w:r>
              <w:rPr>
                <w:rFonts w:hint="eastAsia"/>
                <w:color w:val="auto"/>
                <w:sz w:val="24"/>
                <w:szCs w:val="24"/>
                <w:lang w:val="en-US" w:eastAsia="zh-CN"/>
              </w:rPr>
              <w:t>根据《排污单位自行监测技术指南 金属铸造工业》（HJ1251-2022），本项目噪声监测计划如下：</w:t>
            </w:r>
          </w:p>
          <w:p w14:paraId="741B3D50">
            <w:pPr>
              <w:keepNext w:val="0"/>
              <w:keepLines w:val="0"/>
              <w:pageBreakBefore w:val="0"/>
              <w:widowControl w:val="0"/>
              <w:tabs>
                <w:tab w:val="left" w:pos="960"/>
              </w:tabs>
              <w:kinsoku/>
              <w:wordWrap/>
              <w:overflowPunct/>
              <w:topLinePunct w:val="0"/>
              <w:bidi w:val="0"/>
              <w:adjustRightInd/>
              <w:jc w:val="center"/>
              <w:textAlignment w:val="auto"/>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4.3-4  噪声监测计划</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22"/>
              <w:gridCol w:w="1662"/>
              <w:gridCol w:w="2055"/>
            </w:tblGrid>
            <w:tr w14:paraId="7DCE4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8" w:type="pct"/>
                  <w:vAlign w:val="center"/>
                </w:tcPr>
                <w:p w14:paraId="4828AAA8">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w:t>
                  </w:r>
                  <w:r>
                    <w:rPr>
                      <w:rFonts w:hint="eastAsia" w:ascii="Times New Roman" w:hAnsi="Times New Roman" w:eastAsia="宋体" w:cs="宋体"/>
                      <w:b/>
                      <w:color w:val="auto"/>
                      <w:szCs w:val="21"/>
                      <w:highlight w:val="none"/>
                    </w:rPr>
                    <w:t>点位</w:t>
                  </w:r>
                </w:p>
              </w:tc>
              <w:tc>
                <w:tcPr>
                  <w:tcW w:w="985" w:type="pct"/>
                  <w:vAlign w:val="center"/>
                </w:tcPr>
                <w:p w14:paraId="48B4F1B9">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监测因子</w:t>
                  </w:r>
                </w:p>
              </w:tc>
              <w:tc>
                <w:tcPr>
                  <w:tcW w:w="1217" w:type="pct"/>
                  <w:vAlign w:val="center"/>
                </w:tcPr>
                <w:p w14:paraId="26875327">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监测频次</w:t>
                  </w:r>
                </w:p>
              </w:tc>
            </w:tr>
            <w:tr w14:paraId="4A43A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8" w:type="pct"/>
                  <w:vAlign w:val="center"/>
                </w:tcPr>
                <w:p w14:paraId="17235376">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bCs/>
                      <w:color w:val="auto"/>
                      <w:szCs w:val="21"/>
                      <w:highlight w:val="none"/>
                    </w:rPr>
                  </w:pPr>
                  <w:r>
                    <w:rPr>
                      <w:rFonts w:ascii="Times New Roman" w:hAnsi="Times New Roman" w:eastAsia="宋体" w:cs="宋体"/>
                      <w:bCs/>
                      <w:color w:val="auto"/>
                      <w:szCs w:val="21"/>
                      <w:highlight w:val="none"/>
                    </w:rPr>
                    <w:t>南、西厂界外1m</w:t>
                  </w:r>
                </w:p>
              </w:tc>
              <w:tc>
                <w:tcPr>
                  <w:tcW w:w="985" w:type="pct"/>
                  <w:vAlign w:val="center"/>
                </w:tcPr>
                <w:p w14:paraId="6B6A8175">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Leq(A)</w:t>
                  </w:r>
                </w:p>
              </w:tc>
              <w:tc>
                <w:tcPr>
                  <w:tcW w:w="1217" w:type="pct"/>
                  <w:vAlign w:val="center"/>
                </w:tcPr>
                <w:p w14:paraId="3F0FABAA">
                  <w:pPr>
                    <w:keepNext w:val="0"/>
                    <w:keepLines w:val="0"/>
                    <w:pageBreakBefore w:val="0"/>
                    <w:widowControl w:val="0"/>
                    <w:kinsoku/>
                    <w:wordWrap/>
                    <w:overflowPunct/>
                    <w:topLinePunct w:val="0"/>
                    <w:bidi w:val="0"/>
                    <w:adjustRightInd/>
                    <w:snapToGrid w:val="0"/>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1次/季度</w:t>
                  </w:r>
                </w:p>
              </w:tc>
            </w:tr>
          </w:tbl>
          <w:p w14:paraId="6EE7D38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宋体"/>
                <w:b w:val="0"/>
                <w:bCs/>
                <w:color w:val="auto"/>
                <w:sz w:val="21"/>
                <w:szCs w:val="21"/>
                <w:highlight w:val="none"/>
                <w:lang w:val="en-US" w:eastAsia="zh-CN"/>
              </w:rPr>
            </w:pPr>
            <w:r>
              <w:rPr>
                <w:rFonts w:hint="eastAsia" w:cs="宋体"/>
                <w:b/>
                <w:color w:val="auto"/>
                <w:sz w:val="21"/>
                <w:szCs w:val="21"/>
                <w:highlight w:val="none"/>
                <w:lang w:val="en-US" w:eastAsia="zh-CN"/>
              </w:rPr>
              <w:t>注：</w:t>
            </w:r>
            <w:r>
              <w:rPr>
                <w:rFonts w:hint="eastAsia" w:cs="宋体"/>
                <w:b w:val="0"/>
                <w:bCs/>
                <w:color w:val="auto"/>
                <w:sz w:val="21"/>
                <w:szCs w:val="21"/>
                <w:highlight w:val="none"/>
                <w:lang w:val="en-US" w:eastAsia="zh-CN"/>
              </w:rPr>
              <w:t>本项目厂区东侧紧邻常州正隆粉体工程有限公司，北侧紧邻常州市勤邦新材料科技有限公司，不具备噪声检测条件。</w:t>
            </w:r>
          </w:p>
          <w:p w14:paraId="57B8BE7C">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Times New Roman" w:hAnsi="Times New Roman" w:eastAsia="宋体" w:cs="宋体"/>
                <w:b/>
                <w:color w:val="auto"/>
                <w:sz w:val="24"/>
                <w:highlight w:val="none"/>
              </w:rPr>
            </w:pPr>
            <w:r>
              <w:rPr>
                <w:rFonts w:ascii="Times New Roman" w:hAnsi="Times New Roman" w:eastAsia="宋体" w:cs="宋体"/>
                <w:b/>
                <w:color w:val="auto"/>
                <w:sz w:val="24"/>
                <w:highlight w:val="none"/>
              </w:rPr>
              <w:t>4</w:t>
            </w:r>
            <w:r>
              <w:rPr>
                <w:rFonts w:hint="eastAsia" w:ascii="Times New Roman" w:hAnsi="Times New Roman" w:eastAsia="宋体" w:cs="宋体"/>
                <w:b/>
                <w:color w:val="auto"/>
                <w:sz w:val="24"/>
                <w:highlight w:val="none"/>
              </w:rPr>
              <w:t>、</w:t>
            </w:r>
            <w:r>
              <w:rPr>
                <w:rFonts w:ascii="Times New Roman" w:hAnsi="Times New Roman" w:eastAsia="宋体" w:cs="宋体"/>
                <w:b/>
                <w:color w:val="auto"/>
                <w:sz w:val="24"/>
                <w:highlight w:val="none"/>
              </w:rPr>
              <w:t>固体废物</w:t>
            </w:r>
          </w:p>
          <w:p w14:paraId="45FB79E7">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ascii="Times New Roman" w:hAnsi="Times New Roman" w:eastAsia="宋体" w:cs="宋体"/>
                <w:color w:val="auto"/>
                <w:kern w:val="0"/>
                <w:sz w:val="24"/>
                <w:highlight w:val="none"/>
              </w:rPr>
            </w:pPr>
            <w:r>
              <w:rPr>
                <w:rFonts w:ascii="Times New Roman" w:hAnsi="Times New Roman" w:eastAsia="宋体" w:cs="宋体"/>
                <w:color w:val="auto"/>
                <w:sz w:val="24"/>
                <w:highlight w:val="none"/>
              </w:rPr>
              <w:t>（1）</w:t>
            </w:r>
            <w:r>
              <w:rPr>
                <w:rFonts w:ascii="Times New Roman" w:hAnsi="Times New Roman" w:eastAsia="宋体" w:cs="宋体"/>
                <w:color w:val="auto"/>
                <w:kern w:val="0"/>
                <w:sz w:val="24"/>
                <w:highlight w:val="none"/>
              </w:rPr>
              <w:t>产生情况</w:t>
            </w:r>
          </w:p>
          <w:p w14:paraId="27BCECA3">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①一般固废</w:t>
            </w:r>
          </w:p>
          <w:p w14:paraId="5778A52E">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ascii="Times New Roman" w:hAnsi="Times New Roman" w:eastAsia="宋体" w:cs="宋体"/>
                <w:color w:val="auto"/>
                <w:kern w:val="0"/>
                <w:sz w:val="24"/>
                <w:highlight w:val="none"/>
              </w:rPr>
            </w:pPr>
            <w:r>
              <w:rPr>
                <w:rFonts w:hint="eastAsia" w:cs="宋体"/>
                <w:b/>
                <w:bCs/>
                <w:color w:val="auto"/>
                <w:kern w:val="0"/>
                <w:sz w:val="24"/>
                <w:highlight w:val="none"/>
                <w:lang w:val="en-US" w:eastAsia="zh-CN"/>
              </w:rPr>
              <w:t>废打磨</w:t>
            </w:r>
            <w:r>
              <w:rPr>
                <w:rFonts w:hint="eastAsia" w:ascii="Times New Roman" w:hAnsi="Times New Roman" w:eastAsia="宋体" w:cs="宋体"/>
                <w:b/>
                <w:bCs/>
                <w:color w:val="auto"/>
                <w:kern w:val="0"/>
                <w:sz w:val="24"/>
                <w:highlight w:val="none"/>
              </w:rPr>
              <w:t>边角料S</w:t>
            </w:r>
            <w:r>
              <w:rPr>
                <w:rFonts w:hint="eastAsia" w:cs="宋体"/>
                <w:b/>
                <w:bCs/>
                <w:color w:val="auto"/>
                <w:kern w:val="0"/>
                <w:sz w:val="24"/>
                <w:highlight w:val="none"/>
                <w:lang w:val="en-US" w:eastAsia="zh-CN"/>
              </w:rPr>
              <w:t>3</w:t>
            </w:r>
            <w:r>
              <w:rPr>
                <w:rFonts w:hint="eastAsia" w:ascii="Times New Roman" w:hAnsi="Times New Roman" w:eastAsia="宋体" w:cs="宋体"/>
                <w:b/>
                <w:bCs/>
                <w:color w:val="auto"/>
                <w:kern w:val="0"/>
                <w:sz w:val="24"/>
                <w:highlight w:val="none"/>
              </w:rPr>
              <w:t>：</w:t>
            </w:r>
            <w:r>
              <w:rPr>
                <w:rFonts w:hint="eastAsia" w:cs="宋体"/>
                <w:color w:val="auto"/>
                <w:kern w:val="0"/>
                <w:sz w:val="24"/>
                <w:highlight w:val="none"/>
                <w:lang w:val="en-US" w:eastAsia="zh-CN"/>
              </w:rPr>
              <w:t>根据企业实际生产经验，打磨</w:t>
            </w:r>
            <w:r>
              <w:rPr>
                <w:rFonts w:hint="eastAsia" w:ascii="Times New Roman" w:hAnsi="Times New Roman" w:eastAsia="宋体" w:cs="宋体"/>
                <w:color w:val="auto"/>
                <w:kern w:val="0"/>
                <w:sz w:val="24"/>
                <w:highlight w:val="none"/>
              </w:rPr>
              <w:t>工序边角料产生率约</w:t>
            </w:r>
            <w:r>
              <w:rPr>
                <w:rFonts w:hint="eastAsia" w:ascii="Times New Roman" w:hAnsi="Times New Roman" w:eastAsia="宋体" w:cs="宋体"/>
                <w:color w:val="auto"/>
                <w:kern w:val="0"/>
                <w:sz w:val="24"/>
                <w:highlight w:val="none"/>
                <w:lang w:val="en-US" w:eastAsia="zh-CN"/>
              </w:rPr>
              <w:t>5</w:t>
            </w:r>
            <w:r>
              <w:rPr>
                <w:rFonts w:hint="eastAsia" w:ascii="Times New Roman" w:hAnsi="Times New Roman" w:eastAsia="宋体" w:cs="宋体"/>
                <w:color w:val="auto"/>
                <w:kern w:val="0"/>
                <w:sz w:val="24"/>
                <w:highlight w:val="none"/>
              </w:rPr>
              <w:t>%，即</w:t>
            </w:r>
            <w:r>
              <w:rPr>
                <w:rFonts w:hint="eastAsia" w:cs="宋体"/>
                <w:color w:val="auto"/>
                <w:kern w:val="0"/>
                <w:sz w:val="24"/>
                <w:highlight w:val="none"/>
                <w:lang w:val="en-US" w:eastAsia="zh-CN"/>
              </w:rPr>
              <w:t>30</w:t>
            </w:r>
            <w:r>
              <w:rPr>
                <w:rFonts w:hint="eastAsia" w:ascii="Times New Roman" w:hAnsi="Times New Roman" w:eastAsia="宋体" w:cs="宋体"/>
                <w:color w:val="auto"/>
                <w:kern w:val="0"/>
                <w:sz w:val="24"/>
                <w:highlight w:val="none"/>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收集后回用于熔化工序</w:t>
            </w:r>
            <w:r>
              <w:rPr>
                <w:rFonts w:hint="eastAsia" w:ascii="Times New Roman" w:hAnsi="Times New Roman" w:eastAsia="宋体" w:cs="宋体"/>
                <w:color w:val="auto"/>
                <w:kern w:val="0"/>
                <w:sz w:val="24"/>
                <w:highlight w:val="none"/>
              </w:rPr>
              <w:t>。</w:t>
            </w:r>
          </w:p>
          <w:p w14:paraId="4C7750A5">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ascii="Times New Roman" w:hAnsi="Times New Roman" w:eastAsia="宋体" w:cs="宋体"/>
                <w:color w:val="auto"/>
                <w:kern w:val="0"/>
                <w:sz w:val="24"/>
                <w:highlight w:val="none"/>
              </w:rPr>
            </w:pPr>
            <w:r>
              <w:rPr>
                <w:rFonts w:hint="eastAsia" w:cs="宋体"/>
                <w:b/>
                <w:bCs/>
                <w:color w:val="auto"/>
                <w:kern w:val="0"/>
                <w:sz w:val="24"/>
                <w:highlight w:val="none"/>
                <w:lang w:val="en-US" w:eastAsia="zh-CN"/>
              </w:rPr>
              <w:t>废机加工边角料S4</w:t>
            </w:r>
            <w:r>
              <w:rPr>
                <w:rFonts w:hint="eastAsia" w:ascii="Times New Roman" w:hAnsi="Times New Roman" w:eastAsia="宋体" w:cs="宋体"/>
                <w:b/>
                <w:bCs/>
                <w:color w:val="auto"/>
                <w:kern w:val="0"/>
                <w:sz w:val="24"/>
                <w:highlight w:val="none"/>
                <w:lang w:val="en-US" w:eastAsia="zh-CN"/>
              </w:rPr>
              <w:t>：</w:t>
            </w:r>
            <w:r>
              <w:rPr>
                <w:rFonts w:hint="eastAsia" w:cs="宋体"/>
                <w:color w:val="auto"/>
                <w:kern w:val="0"/>
                <w:sz w:val="24"/>
                <w:highlight w:val="none"/>
                <w:lang w:val="en-US" w:eastAsia="zh-CN"/>
              </w:rPr>
              <w:t>根据企业实际生产经验，机加工</w:t>
            </w:r>
            <w:r>
              <w:rPr>
                <w:rFonts w:hint="eastAsia" w:ascii="Times New Roman" w:hAnsi="Times New Roman" w:eastAsia="宋体" w:cs="宋体"/>
                <w:color w:val="auto"/>
                <w:kern w:val="0"/>
                <w:sz w:val="24"/>
                <w:highlight w:val="none"/>
              </w:rPr>
              <w:t>工序边角料产生率约</w:t>
            </w:r>
            <w:r>
              <w:rPr>
                <w:rFonts w:hint="eastAsia" w:ascii="Times New Roman" w:hAnsi="Times New Roman" w:eastAsia="宋体" w:cs="宋体"/>
                <w:color w:val="auto"/>
                <w:kern w:val="0"/>
                <w:sz w:val="24"/>
                <w:highlight w:val="none"/>
                <w:lang w:val="en-US" w:eastAsia="zh-CN"/>
              </w:rPr>
              <w:t>1</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，产生量</w:t>
            </w:r>
            <w:r>
              <w:rPr>
                <w:rFonts w:hint="eastAsia" w:cs="宋体"/>
                <w:color w:val="auto"/>
                <w:kern w:val="0"/>
                <w:sz w:val="24"/>
                <w:highlight w:val="none"/>
                <w:lang w:val="en-US" w:eastAsia="zh-CN"/>
              </w:rPr>
              <w:t>为6t/a，收集后外售综合利用</w:t>
            </w:r>
            <w:r>
              <w:rPr>
                <w:rFonts w:hint="eastAsia" w:ascii="Times New Roman" w:hAnsi="Times New Roman" w:eastAsia="宋体" w:cs="宋体"/>
                <w:color w:val="auto"/>
                <w:kern w:val="0"/>
                <w:sz w:val="24"/>
                <w:highlight w:val="none"/>
              </w:rPr>
              <w:t>。</w:t>
            </w:r>
          </w:p>
          <w:p w14:paraId="733CF9E2">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default" w:ascii="Times New Roman" w:hAnsi="Times New Roman" w:eastAsia="宋体" w:cs="宋体"/>
                <w:color w:val="auto"/>
                <w:kern w:val="0"/>
                <w:sz w:val="24"/>
                <w:highlight w:val="none"/>
                <w:lang w:val="en-US" w:eastAsia="zh-CN"/>
              </w:rPr>
            </w:pPr>
            <w:r>
              <w:rPr>
                <w:rFonts w:hint="eastAsia" w:cs="宋体"/>
                <w:b/>
                <w:bCs/>
                <w:color w:val="auto"/>
                <w:kern w:val="0"/>
                <w:sz w:val="24"/>
                <w:highlight w:val="none"/>
                <w:lang w:val="en-US" w:eastAsia="zh-CN"/>
              </w:rPr>
              <w:t>不合格品S6</w:t>
            </w:r>
            <w:r>
              <w:rPr>
                <w:rFonts w:hint="eastAsia" w:ascii="Times New Roman" w:hAnsi="Times New Roman" w:eastAsia="宋体" w:cs="宋体"/>
                <w:b/>
                <w:bCs/>
                <w:color w:val="auto"/>
                <w:kern w:val="0"/>
                <w:sz w:val="24"/>
                <w:highlight w:val="none"/>
                <w:lang w:val="en-US" w:eastAsia="zh-CN"/>
              </w:rPr>
              <w:t>：</w:t>
            </w:r>
            <w:r>
              <w:rPr>
                <w:rFonts w:hint="eastAsia" w:cs="宋体"/>
                <w:color w:val="auto"/>
                <w:kern w:val="0"/>
                <w:sz w:val="24"/>
                <w:highlight w:val="none"/>
                <w:lang w:val="en-US" w:eastAsia="zh-CN"/>
              </w:rPr>
              <w:t>根据企业实际生产经验，检验工序不良率为</w:t>
            </w:r>
            <w:r>
              <w:rPr>
                <w:rFonts w:hint="eastAsia" w:ascii="Times New Roman" w:hAnsi="Times New Roman" w:eastAsia="宋体" w:cs="宋体"/>
                <w:color w:val="auto"/>
                <w:kern w:val="0"/>
                <w:sz w:val="24"/>
                <w:highlight w:val="none"/>
                <w:lang w:val="en-US" w:eastAsia="zh-CN"/>
              </w:rPr>
              <w:t>1</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，产生量为</w:t>
            </w:r>
            <w:r>
              <w:rPr>
                <w:rFonts w:hint="eastAsia" w:cs="宋体"/>
                <w:color w:val="auto"/>
                <w:kern w:val="0"/>
                <w:sz w:val="24"/>
                <w:highlight w:val="none"/>
                <w:lang w:val="en-US" w:eastAsia="zh-CN"/>
              </w:rPr>
              <w:t>6</w:t>
            </w:r>
            <w:r>
              <w:rPr>
                <w:rFonts w:hint="eastAsia" w:ascii="Times New Roman" w:hAnsi="Times New Roman" w:eastAsia="宋体" w:cs="宋体"/>
                <w:color w:val="auto"/>
                <w:kern w:val="0"/>
                <w:sz w:val="24"/>
                <w:highlight w:val="none"/>
                <w:lang w:val="en-US" w:eastAsia="zh-CN"/>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收集后回用于熔化工序</w:t>
            </w:r>
            <w:r>
              <w:rPr>
                <w:rFonts w:hint="eastAsia" w:ascii="Times New Roman" w:hAnsi="Times New Roman" w:eastAsia="宋体" w:cs="宋体"/>
                <w:color w:val="auto"/>
                <w:kern w:val="0"/>
                <w:sz w:val="24"/>
                <w:highlight w:val="none"/>
                <w:lang w:val="en-US" w:eastAsia="zh-CN"/>
              </w:rPr>
              <w:t>。</w:t>
            </w:r>
          </w:p>
          <w:p w14:paraId="35CB6F53">
            <w:pPr>
              <w:keepNext w:val="0"/>
              <w:keepLines w:val="0"/>
              <w:pageBreakBefore w:val="0"/>
              <w:widowControl w:val="0"/>
              <w:kinsoku/>
              <w:wordWrap/>
              <w:overflowPunct/>
              <w:topLinePunct w:val="0"/>
              <w:autoSpaceDE w:val="0"/>
              <w:autoSpaceDN w:val="0"/>
              <w:bidi w:val="0"/>
              <w:adjustRightInd/>
              <w:snapToGrid/>
              <w:spacing w:line="480" w:lineRule="exact"/>
              <w:ind w:firstLine="482" w:firstLineChars="200"/>
              <w:textAlignment w:val="auto"/>
              <w:rPr>
                <w:rFonts w:hint="default" w:ascii="Times New Roman" w:hAnsi="Times New Roman" w:eastAsia="宋体" w:cs="宋体"/>
                <w:color w:val="auto"/>
                <w:kern w:val="0"/>
                <w:sz w:val="24"/>
                <w:highlight w:val="none"/>
                <w:lang w:val="en-US" w:eastAsia="zh-CN"/>
              </w:rPr>
            </w:pPr>
            <w:r>
              <w:rPr>
                <w:rFonts w:hint="eastAsia" w:cs="宋体"/>
                <w:b/>
                <w:bCs/>
                <w:color w:val="auto"/>
                <w:kern w:val="0"/>
                <w:sz w:val="24"/>
                <w:highlight w:val="none"/>
                <w:lang w:val="en-US" w:eastAsia="zh-CN"/>
              </w:rPr>
              <w:t>除尘器收尘：</w:t>
            </w:r>
            <w:r>
              <w:rPr>
                <w:rFonts w:hint="eastAsia" w:cs="宋体"/>
                <w:color w:val="auto"/>
                <w:kern w:val="0"/>
                <w:sz w:val="24"/>
                <w:highlight w:val="none"/>
                <w:lang w:val="en-US" w:eastAsia="zh-CN"/>
              </w:rPr>
              <w:t>本项目除尘器收尘主要来源于打磨和抛丸工序废气处理，其中打磨粉尘经湿式打磨台或水膜除尘器处理，抛丸粉尘经湿式除尘设施处理，打磨粉尘的产生量为1.314t/a，收集率为90%、去除率为90%；抛丸粉尘产生量为1.314t/a，收集率为95%、去除率为90%，则除尘器收尘产生量为2.187t/a，收集后外售综合利用</w:t>
            </w:r>
            <w:r>
              <w:rPr>
                <w:rFonts w:hint="eastAsia" w:ascii="Times New Roman" w:hAnsi="Times New Roman" w:eastAsia="宋体" w:cs="宋体"/>
                <w:color w:val="auto"/>
                <w:kern w:val="0"/>
                <w:sz w:val="24"/>
                <w:highlight w:val="none"/>
              </w:rPr>
              <w:t>。</w:t>
            </w:r>
          </w:p>
          <w:p w14:paraId="53F4D3E6">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textAlignment w:val="auto"/>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②危险废物</w:t>
            </w:r>
          </w:p>
          <w:p w14:paraId="66CC7618">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eastAsia="宋体" w:cs="宋体"/>
                <w:color w:val="auto"/>
                <w:sz w:val="24"/>
                <w:highlight w:val="none"/>
                <w:lang w:val="en-US" w:eastAsia="zh-CN"/>
              </w:rPr>
            </w:pPr>
            <w:r>
              <w:rPr>
                <w:rFonts w:hint="eastAsia" w:cs="宋体"/>
                <w:b/>
                <w:bCs/>
                <w:color w:val="auto"/>
                <w:sz w:val="24"/>
                <w:highlight w:val="none"/>
                <w:lang w:val="en-US" w:eastAsia="zh-CN"/>
              </w:rPr>
              <w:t>铝灰渣S1：</w:t>
            </w:r>
            <w:r>
              <w:rPr>
                <w:rFonts w:hint="eastAsia" w:cs="宋体"/>
                <w:color w:val="auto"/>
                <w:kern w:val="0"/>
                <w:sz w:val="24"/>
                <w:highlight w:val="none"/>
                <w:lang w:val="en-US" w:eastAsia="zh-CN"/>
              </w:rPr>
              <w:t>根据企业实际生产经验，铝灰渣产生量为铝锭使用量（600t/a）的为3</w:t>
            </w:r>
            <w:r>
              <w:rPr>
                <w:rFonts w:hint="eastAsia"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lang w:val="en-US" w:eastAsia="zh-CN"/>
              </w:rPr>
              <w:t>，产生量为</w:t>
            </w:r>
            <w:r>
              <w:rPr>
                <w:rFonts w:hint="eastAsia" w:cs="宋体"/>
                <w:color w:val="auto"/>
                <w:kern w:val="0"/>
                <w:sz w:val="24"/>
                <w:highlight w:val="none"/>
                <w:lang w:val="en-US" w:eastAsia="zh-CN"/>
              </w:rPr>
              <w:t>18.0</w:t>
            </w:r>
            <w:r>
              <w:rPr>
                <w:rFonts w:hint="eastAsia" w:ascii="Times New Roman" w:hAnsi="Times New Roman" w:eastAsia="宋体" w:cs="宋体"/>
                <w:color w:val="auto"/>
                <w:kern w:val="0"/>
                <w:sz w:val="24"/>
                <w:highlight w:val="none"/>
                <w:lang w:val="en-US" w:eastAsia="zh-CN"/>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kern w:val="0"/>
                <w:sz w:val="24"/>
                <w:highlight w:val="none"/>
                <w:lang w:val="en-US" w:eastAsia="zh-CN"/>
              </w:rPr>
              <w:t>。</w:t>
            </w:r>
          </w:p>
          <w:p w14:paraId="2DF51313">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cs="宋体"/>
                <w:color w:val="auto"/>
                <w:sz w:val="24"/>
                <w:highlight w:val="none"/>
                <w:lang w:val="en-US" w:eastAsia="zh-CN"/>
              </w:rPr>
            </w:pPr>
            <w:r>
              <w:rPr>
                <w:rFonts w:hint="eastAsia" w:cs="宋体"/>
                <w:b/>
                <w:bCs/>
                <w:color w:val="auto"/>
                <w:sz w:val="24"/>
                <w:highlight w:val="none"/>
                <w:lang w:val="en-US" w:eastAsia="zh-CN"/>
              </w:rPr>
              <w:t>脱模废液S2：</w:t>
            </w:r>
            <w:r>
              <w:rPr>
                <w:rFonts w:hint="eastAsia" w:cs="宋体"/>
                <w:color w:val="auto"/>
                <w:sz w:val="24"/>
                <w:highlight w:val="none"/>
                <w:lang w:val="en-US" w:eastAsia="zh-CN"/>
              </w:rPr>
              <w:t>本项目脱模剂回收槽槽体大小为1.5m*1m*1m，槽体利用率为80%，回收槽每年倒槽更换一次，则脱模废液产生量为1.2t/a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kern w:val="0"/>
                <w:sz w:val="24"/>
                <w:highlight w:val="none"/>
                <w:lang w:val="en-US" w:eastAsia="zh-CN"/>
              </w:rPr>
              <w:t>。</w:t>
            </w:r>
          </w:p>
          <w:p w14:paraId="323F5AAE">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eastAsia="宋体" w:cs="宋体"/>
                <w:color w:val="auto"/>
                <w:sz w:val="24"/>
                <w:highlight w:val="none"/>
                <w:lang w:val="en-US" w:eastAsia="zh-CN"/>
              </w:rPr>
            </w:pPr>
            <w:r>
              <w:rPr>
                <w:rFonts w:hint="eastAsia" w:cs="宋体"/>
                <w:b/>
                <w:bCs/>
                <w:color w:val="auto"/>
                <w:sz w:val="24"/>
                <w:highlight w:val="none"/>
                <w:lang w:val="en-US" w:eastAsia="zh-CN"/>
              </w:rPr>
              <w:t>废乳化液S5：</w:t>
            </w:r>
            <w:r>
              <w:rPr>
                <w:rFonts w:hint="eastAsia" w:cs="宋体"/>
                <w:color w:val="auto"/>
                <w:kern w:val="0"/>
                <w:sz w:val="24"/>
                <w:highlight w:val="none"/>
                <w:lang w:val="en-US" w:eastAsia="zh-CN"/>
              </w:rPr>
              <w:t>本项目车加工工序采用湿式机加工，乳化液与水配置比例为1：14，乳化液年用量0.5t/a，乳化液循环使用，定期更换，废乳化液</w:t>
            </w:r>
            <w:r>
              <w:rPr>
                <w:rFonts w:hint="eastAsia" w:ascii="Times New Roman" w:hAnsi="Times New Roman" w:eastAsia="宋体" w:cs="宋体"/>
                <w:color w:val="auto"/>
                <w:kern w:val="0"/>
                <w:sz w:val="24"/>
                <w:highlight w:val="none"/>
                <w:lang w:val="en-US" w:eastAsia="zh-CN"/>
              </w:rPr>
              <w:t>产生量为</w:t>
            </w:r>
            <w:r>
              <w:rPr>
                <w:rFonts w:hint="eastAsia" w:cs="宋体"/>
                <w:color w:val="auto"/>
                <w:kern w:val="0"/>
                <w:sz w:val="24"/>
                <w:highlight w:val="none"/>
                <w:lang w:val="en-US" w:eastAsia="zh-CN"/>
              </w:rPr>
              <w:t>7.5</w:t>
            </w:r>
            <w:r>
              <w:rPr>
                <w:rFonts w:hint="eastAsia" w:ascii="Times New Roman" w:hAnsi="Times New Roman" w:eastAsia="宋体" w:cs="宋体"/>
                <w:color w:val="auto"/>
                <w:kern w:val="0"/>
                <w:sz w:val="24"/>
                <w:highlight w:val="none"/>
                <w:lang w:val="en-US" w:eastAsia="zh-CN"/>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kern w:val="0"/>
                <w:sz w:val="24"/>
                <w:highlight w:val="none"/>
                <w:lang w:val="en-US" w:eastAsia="zh-CN"/>
              </w:rPr>
              <w:t>。</w:t>
            </w:r>
          </w:p>
          <w:p w14:paraId="21D09FC1">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ascii="Times New Roman" w:hAnsi="Times New Roman" w:eastAsia="宋体" w:cs="宋体"/>
                <w:color w:val="auto"/>
                <w:sz w:val="24"/>
                <w:highlight w:val="none"/>
                <w:lang w:val="en-US" w:eastAsia="zh-CN"/>
              </w:rPr>
            </w:pPr>
            <w:r>
              <w:rPr>
                <w:rFonts w:hint="eastAsia" w:cs="宋体"/>
                <w:b/>
                <w:bCs/>
                <w:color w:val="auto"/>
                <w:sz w:val="24"/>
                <w:highlight w:val="none"/>
                <w:lang w:val="en-US" w:eastAsia="zh-CN"/>
              </w:rPr>
              <w:t>RO浓液</w:t>
            </w:r>
            <w:r>
              <w:rPr>
                <w:rFonts w:hint="eastAsia" w:ascii="Times New Roman" w:hAnsi="Times New Roman" w:eastAsia="宋体" w:cs="宋体"/>
                <w:b/>
                <w:bCs/>
                <w:color w:val="auto"/>
                <w:sz w:val="24"/>
                <w:highlight w:val="none"/>
                <w:lang w:val="en-US" w:eastAsia="zh-CN"/>
              </w:rPr>
              <w:t>：</w:t>
            </w:r>
            <w:r>
              <w:rPr>
                <w:rFonts w:hint="eastAsia" w:cs="宋体"/>
                <w:color w:val="auto"/>
                <w:sz w:val="24"/>
                <w:highlight w:val="none"/>
                <w:lang w:val="en-US" w:eastAsia="zh-CN"/>
              </w:rPr>
              <w:t>本项目废水处理设施处理废水141.12t/a，RO膜分离废水过程中产生约10%的浓液，</w:t>
            </w:r>
            <w:r>
              <w:rPr>
                <w:rFonts w:hint="eastAsia" w:ascii="Times New Roman" w:hAnsi="Times New Roman" w:eastAsia="宋体" w:cs="宋体"/>
                <w:color w:val="auto"/>
                <w:sz w:val="24"/>
                <w:highlight w:val="none"/>
                <w:lang w:val="en-US" w:eastAsia="zh-CN"/>
              </w:rPr>
              <w:t>则</w:t>
            </w:r>
            <w:r>
              <w:rPr>
                <w:rFonts w:hint="eastAsia" w:cs="宋体"/>
                <w:color w:val="auto"/>
                <w:sz w:val="24"/>
                <w:highlight w:val="none"/>
                <w:lang w:val="en-US" w:eastAsia="zh-CN"/>
              </w:rPr>
              <w:t>RO浓液</w:t>
            </w:r>
            <w:r>
              <w:rPr>
                <w:rFonts w:hint="eastAsia" w:ascii="Times New Roman" w:hAnsi="Times New Roman" w:eastAsia="宋体" w:cs="宋体"/>
                <w:color w:val="auto"/>
                <w:sz w:val="24"/>
                <w:highlight w:val="none"/>
                <w:lang w:val="en-US" w:eastAsia="zh-CN"/>
              </w:rPr>
              <w:t>产生量约</w:t>
            </w:r>
            <w:r>
              <w:rPr>
                <w:rFonts w:hint="eastAsia" w:cs="宋体"/>
                <w:color w:val="auto"/>
                <w:sz w:val="24"/>
                <w:highlight w:val="none"/>
                <w:lang w:val="en-US" w:eastAsia="zh-CN"/>
              </w:rPr>
              <w:t>14.11</w:t>
            </w:r>
            <w:r>
              <w:rPr>
                <w:rFonts w:hint="eastAsia" w:ascii="Times New Roman" w:hAnsi="Times New Roman" w:eastAsia="宋体" w:cs="宋体"/>
                <w:color w:val="auto"/>
                <w:sz w:val="24"/>
                <w:highlight w:val="none"/>
                <w:lang w:val="en-US" w:eastAsia="zh-CN"/>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sz w:val="24"/>
                <w:highlight w:val="none"/>
                <w:lang w:val="en-US" w:eastAsia="zh-CN"/>
              </w:rPr>
              <w:t>。</w:t>
            </w:r>
          </w:p>
          <w:p w14:paraId="611BF69E">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cs="宋体"/>
                <w:color w:val="auto"/>
                <w:sz w:val="24"/>
                <w:highlight w:val="none"/>
                <w:lang w:val="en-US" w:eastAsia="zh-CN"/>
              </w:rPr>
            </w:pPr>
            <w:r>
              <w:rPr>
                <w:rFonts w:hint="eastAsia" w:cs="宋体"/>
                <w:b/>
                <w:bCs/>
                <w:color w:val="auto"/>
                <w:sz w:val="24"/>
                <w:highlight w:val="none"/>
                <w:lang w:val="en-US" w:eastAsia="zh-CN"/>
              </w:rPr>
              <w:t>废过滤介质：</w:t>
            </w:r>
            <w:r>
              <w:rPr>
                <w:rFonts w:hint="eastAsia" w:cs="宋体"/>
                <w:color w:val="auto"/>
                <w:sz w:val="24"/>
                <w:highlight w:val="none"/>
                <w:lang w:val="en-US" w:eastAsia="zh-CN"/>
              </w:rPr>
              <w:t>本项目废水处理设施的RO膜、活性炭等属于耗材，每年定期更换一次，更换下的废过滤介质约0.2t/a，</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sz w:val="24"/>
                <w:highlight w:val="none"/>
                <w:lang w:val="en-US" w:eastAsia="zh-CN"/>
              </w:rPr>
              <w:t>。</w:t>
            </w:r>
          </w:p>
          <w:p w14:paraId="5969C623">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ascii="Times New Roman" w:hAnsi="Times New Roman" w:eastAsia="宋体" w:cs="宋体"/>
                <w:color w:val="auto"/>
                <w:sz w:val="24"/>
                <w:highlight w:val="none"/>
              </w:rPr>
            </w:pPr>
            <w:r>
              <w:rPr>
                <w:rFonts w:hint="eastAsia" w:cs="宋体"/>
                <w:b/>
                <w:bCs/>
                <w:color w:val="auto"/>
                <w:sz w:val="24"/>
                <w:highlight w:val="none"/>
                <w:lang w:val="en-US" w:eastAsia="zh-CN"/>
              </w:rPr>
              <w:t>除尘渣</w:t>
            </w:r>
            <w:r>
              <w:rPr>
                <w:rFonts w:hint="eastAsia" w:ascii="Times New Roman" w:hAnsi="Times New Roman" w:eastAsia="宋体" w:cs="宋体"/>
                <w:b/>
                <w:bCs/>
                <w:color w:val="auto"/>
                <w:sz w:val="24"/>
                <w:highlight w:val="none"/>
              </w:rPr>
              <w:t>：</w:t>
            </w:r>
            <w:r>
              <w:rPr>
                <w:rFonts w:hint="eastAsia" w:cs="宋体"/>
                <w:color w:val="auto"/>
                <w:sz w:val="24"/>
                <w:highlight w:val="none"/>
                <w:lang w:val="en-US" w:eastAsia="zh-CN"/>
              </w:rPr>
              <w:t>本项目除尘渣来源于熔化及压铸工序，熔化烟尘、压铸烟尘分别经水喷淋装置进行处理，不再使用布袋除尘器，沉渣</w:t>
            </w:r>
            <w:r>
              <w:rPr>
                <w:rFonts w:hint="eastAsia" w:ascii="Times New Roman" w:hAnsi="Times New Roman" w:eastAsia="宋体" w:cs="宋体"/>
                <w:color w:val="auto"/>
                <w:sz w:val="24"/>
                <w:highlight w:val="none"/>
              </w:rPr>
              <w:t>产生量约</w:t>
            </w:r>
            <w:r>
              <w:rPr>
                <w:rFonts w:hint="eastAsia" w:cs="宋体"/>
                <w:color w:val="auto"/>
                <w:sz w:val="24"/>
                <w:highlight w:val="none"/>
                <w:lang w:val="en-US" w:eastAsia="zh-CN"/>
              </w:rPr>
              <w:t>0.606</w:t>
            </w:r>
            <w:r>
              <w:rPr>
                <w:rFonts w:hint="eastAsia" w:ascii="Times New Roman" w:hAnsi="Times New Roman" w:eastAsia="宋体" w:cs="宋体"/>
                <w:color w:val="auto"/>
                <w:sz w:val="24"/>
                <w:highlight w:val="none"/>
              </w:rPr>
              <w:t>t/a</w:t>
            </w:r>
            <w:r>
              <w:rPr>
                <w:rFonts w:hint="eastAsia" w:cs="宋体"/>
                <w:color w:val="auto"/>
                <w:kern w:val="0"/>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sz w:val="24"/>
                <w:highlight w:val="none"/>
              </w:rPr>
              <w:t>。</w:t>
            </w:r>
          </w:p>
          <w:p w14:paraId="249E0242">
            <w:pPr>
              <w:keepNext w:val="0"/>
              <w:keepLines w:val="0"/>
              <w:pageBreakBefore w:val="0"/>
              <w:widowControl w:val="0"/>
              <w:kinsoku/>
              <w:wordWrap/>
              <w:overflowPunct/>
              <w:topLinePunct w:val="0"/>
              <w:bidi w:val="0"/>
              <w:adjustRightInd/>
              <w:snapToGrid/>
              <w:spacing w:line="480" w:lineRule="exact"/>
              <w:ind w:firstLine="482" w:firstLineChars="200"/>
              <w:textAlignment w:val="auto"/>
              <w:rPr>
                <w:rFonts w:hint="default" w:cs="宋体"/>
                <w:color w:val="auto"/>
                <w:sz w:val="24"/>
                <w:highlight w:val="none"/>
                <w:lang w:val="en-US" w:eastAsia="zh-CN"/>
              </w:rPr>
            </w:pPr>
            <w:r>
              <w:rPr>
                <w:rFonts w:hint="eastAsia" w:ascii="Times New Roman" w:hAnsi="Times New Roman" w:eastAsia="宋体" w:cs="宋体"/>
                <w:b/>
                <w:bCs/>
                <w:color w:val="auto"/>
                <w:sz w:val="24"/>
                <w:highlight w:val="none"/>
              </w:rPr>
              <w:t>废活性炭：</w:t>
            </w:r>
            <w:r>
              <w:rPr>
                <w:rFonts w:hint="eastAsia" w:cs="宋体"/>
                <w:color w:val="auto"/>
                <w:sz w:val="24"/>
                <w:highlight w:val="none"/>
                <w:lang w:val="en-US" w:eastAsia="zh-CN"/>
              </w:rPr>
              <w:t>本项目脱模、压铸工序产生的废气经静电除油+水喷淋+除湿+</w:t>
            </w:r>
            <w:r>
              <w:rPr>
                <w:rFonts w:hint="eastAsia" w:ascii="Times New Roman" w:hAnsi="Times New Roman" w:eastAsia="宋体" w:cs="宋体"/>
                <w:color w:val="auto"/>
                <w:sz w:val="24"/>
                <w:highlight w:val="none"/>
                <w:lang w:val="en-US" w:eastAsia="zh-CN"/>
              </w:rPr>
              <w:t>二级活性炭吸附装置</w:t>
            </w:r>
            <w:r>
              <w:rPr>
                <w:rFonts w:hint="eastAsia" w:cs="宋体"/>
                <w:color w:val="auto"/>
                <w:sz w:val="24"/>
                <w:highlight w:val="none"/>
                <w:lang w:val="en-US" w:eastAsia="zh-CN"/>
              </w:rPr>
              <w:t>进行处理，其中静电除油对非甲烷总烃的去除率50%，二级活性炭对非甲烷总烃的去除率为80%。</w:t>
            </w:r>
          </w:p>
          <w:p w14:paraId="2908B5D4">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根据《</w:t>
            </w:r>
            <w:r>
              <w:rPr>
                <w:rFonts w:hint="eastAsia" w:ascii="Times New Roman" w:hAnsi="Times New Roman" w:eastAsia="宋体" w:cs="宋体"/>
                <w:bCs/>
                <w:color w:val="auto"/>
                <w:sz w:val="24"/>
                <w:highlight w:val="none"/>
              </w:rPr>
              <w:t>省生态环境厅关于将排污单位活性炭使用更换纳入排污许可管理的通知</w:t>
            </w: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中附件涉活性炭吸附排污单位的排污许可管理要求</w:t>
            </w: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公式</w:t>
            </w:r>
            <w:r>
              <w:rPr>
                <w:rFonts w:ascii="Times New Roman" w:hAnsi="Times New Roman" w:eastAsia="宋体" w:cs="宋体"/>
                <w:color w:val="auto"/>
                <w:sz w:val="24"/>
                <w:highlight w:val="none"/>
              </w:rPr>
              <w:t>如下</w:t>
            </w:r>
            <w:r>
              <w:rPr>
                <w:rFonts w:hint="eastAsia" w:ascii="Times New Roman" w:hAnsi="Times New Roman" w:eastAsia="宋体" w:cs="宋体"/>
                <w:color w:val="auto"/>
                <w:sz w:val="24"/>
                <w:highlight w:val="none"/>
              </w:rPr>
              <w:t>。</w:t>
            </w:r>
          </w:p>
          <w:p w14:paraId="1ECFFF3C">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T=m×s÷（c×10</w:t>
            </w:r>
            <w:r>
              <w:rPr>
                <w:rFonts w:hint="eastAsia" w:ascii="Times New Roman" w:hAnsi="Times New Roman" w:eastAsia="宋体" w:cs="宋体"/>
                <w:color w:val="auto"/>
                <w:sz w:val="24"/>
                <w:highlight w:val="none"/>
                <w:vertAlign w:val="superscript"/>
              </w:rPr>
              <w:t>-6</w:t>
            </w:r>
            <w:r>
              <w:rPr>
                <w:rFonts w:hint="eastAsia" w:ascii="Times New Roman" w:hAnsi="Times New Roman" w:eastAsia="宋体" w:cs="宋体"/>
                <w:color w:val="auto"/>
                <w:sz w:val="24"/>
                <w:highlight w:val="none"/>
              </w:rPr>
              <w:t>×Q×t）</w:t>
            </w:r>
          </w:p>
          <w:p w14:paraId="0E6588B1">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式中：</w:t>
            </w:r>
          </w:p>
          <w:p w14:paraId="5ACAC929">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color w:val="auto"/>
                <w:sz w:val="24"/>
                <w:highlight w:val="none"/>
              </w:rPr>
              <w:t>T</w:t>
            </w:r>
            <w:r>
              <w:rPr>
                <w:rFonts w:hint="eastAsia" w:ascii="Times New Roman" w:hAnsi="Times New Roman" w:eastAsia="宋体" w:cs="宋体"/>
                <w:bCs/>
                <w:color w:val="auto"/>
                <w:sz w:val="24"/>
                <w:highlight w:val="none"/>
              </w:rPr>
              <w:t>—更换周期，天；</w:t>
            </w:r>
          </w:p>
          <w:p w14:paraId="268705FC">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m—活性炭的用量，kg；</w:t>
            </w:r>
          </w:p>
          <w:p w14:paraId="11567A60">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s—动态吸附量，%，一般取值10%；</w:t>
            </w:r>
          </w:p>
          <w:p w14:paraId="1511188E">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c—活性炭削减的VOCs浓度，mg/m</w:t>
            </w:r>
            <w:r>
              <w:rPr>
                <w:rFonts w:hint="eastAsia" w:ascii="Times New Roman" w:hAnsi="Times New Roman" w:eastAsia="宋体" w:cs="宋体"/>
                <w:bCs/>
                <w:color w:val="auto"/>
                <w:sz w:val="24"/>
                <w:highlight w:val="none"/>
                <w:vertAlign w:val="superscript"/>
              </w:rPr>
              <w:t>3</w:t>
            </w:r>
            <w:r>
              <w:rPr>
                <w:rFonts w:hint="eastAsia" w:ascii="Times New Roman" w:hAnsi="Times New Roman" w:eastAsia="宋体" w:cs="宋体"/>
                <w:bCs/>
                <w:color w:val="auto"/>
                <w:sz w:val="24"/>
                <w:highlight w:val="none"/>
              </w:rPr>
              <w:t>；</w:t>
            </w:r>
          </w:p>
          <w:p w14:paraId="20E54151">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Q—风量，m</w:t>
            </w:r>
            <w:r>
              <w:rPr>
                <w:rFonts w:hint="eastAsia" w:ascii="Times New Roman" w:hAnsi="Times New Roman" w:eastAsia="宋体" w:cs="宋体"/>
                <w:bCs/>
                <w:color w:val="auto"/>
                <w:sz w:val="24"/>
                <w:highlight w:val="none"/>
                <w:vertAlign w:val="superscript"/>
              </w:rPr>
              <w:t>3</w:t>
            </w:r>
            <w:r>
              <w:rPr>
                <w:rFonts w:hint="eastAsia" w:ascii="Times New Roman" w:hAnsi="Times New Roman" w:eastAsia="宋体" w:cs="宋体"/>
                <w:bCs/>
                <w:color w:val="auto"/>
                <w:sz w:val="24"/>
                <w:highlight w:val="none"/>
              </w:rPr>
              <w:t>/h；</w:t>
            </w:r>
          </w:p>
          <w:p w14:paraId="39486017">
            <w:pPr>
              <w:keepNext w:val="0"/>
              <w:keepLines w:val="0"/>
              <w:pageBreakBefore w:val="0"/>
              <w:widowControl w:val="0"/>
              <w:kinsoku/>
              <w:wordWrap/>
              <w:overflowPunct/>
              <w:topLinePunct w:val="0"/>
              <w:bidi w:val="0"/>
              <w:adjustRightInd/>
              <w:snapToGrid/>
              <w:spacing w:line="480" w:lineRule="exact"/>
              <w:ind w:firstLine="480" w:firstLineChars="200"/>
              <w:textAlignment w:val="auto"/>
              <w:rPr>
                <w:rFonts w:ascii="Times New Roman" w:hAnsi="Times New Roman" w:eastAsia="宋体" w:cs="宋体"/>
                <w:bCs/>
                <w:color w:val="auto"/>
                <w:sz w:val="24"/>
                <w:highlight w:val="none"/>
              </w:rPr>
            </w:pPr>
            <w:r>
              <w:rPr>
                <w:rFonts w:hint="eastAsia" w:ascii="Times New Roman" w:hAnsi="Times New Roman" w:eastAsia="宋体" w:cs="宋体"/>
                <w:bCs/>
                <w:color w:val="auto"/>
                <w:sz w:val="24"/>
                <w:highlight w:val="none"/>
              </w:rPr>
              <w:t>t—运行时间，h/d。</w:t>
            </w:r>
          </w:p>
          <w:p w14:paraId="70F57D34">
            <w:pPr>
              <w:keepNext w:val="0"/>
              <w:keepLines w:val="0"/>
              <w:pageBreakBefore w:val="0"/>
              <w:widowControl w:val="0"/>
              <w:tabs>
                <w:tab w:val="left" w:pos="960"/>
              </w:tabs>
              <w:kinsoku/>
              <w:wordWrap/>
              <w:overflowPunct/>
              <w:topLinePunct w:val="0"/>
              <w:bidi w:val="0"/>
              <w:adjustRightInd/>
              <w:snapToGrid/>
              <w:spacing w:line="480" w:lineRule="exact"/>
              <w:jc w:val="center"/>
              <w:textAlignment w:val="auto"/>
              <w:rPr>
                <w:rFonts w:ascii="Times New Roman" w:hAnsi="Times New Roman" w:eastAsia="宋体" w:cs="宋体"/>
                <w:b/>
                <w:bCs/>
                <w:color w:val="auto"/>
                <w:spacing w:val="0"/>
                <w:sz w:val="21"/>
                <w:szCs w:val="21"/>
                <w:highlight w:val="none"/>
              </w:rPr>
            </w:pPr>
          </w:p>
          <w:p w14:paraId="7D522F72">
            <w:pPr>
              <w:keepNext w:val="0"/>
              <w:keepLines w:val="0"/>
              <w:pageBreakBefore w:val="0"/>
              <w:widowControl w:val="0"/>
              <w:tabs>
                <w:tab w:val="left" w:pos="960"/>
              </w:tabs>
              <w:kinsoku/>
              <w:wordWrap/>
              <w:overflowPunct/>
              <w:topLinePunct w:val="0"/>
              <w:bidi w:val="0"/>
              <w:adjustRightInd/>
              <w:snapToGrid/>
              <w:spacing w:line="480" w:lineRule="exact"/>
              <w:jc w:val="center"/>
              <w:textAlignment w:val="auto"/>
              <w:rPr>
                <w:rFonts w:ascii="Times New Roman" w:hAnsi="Times New Roman" w:eastAsia="宋体" w:cs="宋体"/>
                <w:b/>
                <w:bCs/>
                <w:color w:val="auto"/>
                <w:spacing w:val="0"/>
                <w:sz w:val="21"/>
                <w:szCs w:val="21"/>
                <w:highlight w:val="none"/>
              </w:rPr>
            </w:pPr>
            <w:r>
              <w:rPr>
                <w:rFonts w:ascii="Times New Roman" w:hAnsi="Times New Roman" w:eastAsia="宋体" w:cs="宋体"/>
                <w:b/>
                <w:bCs/>
                <w:color w:val="auto"/>
                <w:spacing w:val="0"/>
                <w:sz w:val="21"/>
                <w:szCs w:val="21"/>
                <w:highlight w:val="none"/>
              </w:rPr>
              <w:t>表</w:t>
            </w:r>
            <w:r>
              <w:rPr>
                <w:rFonts w:hint="eastAsia" w:ascii="Times New Roman" w:hAnsi="Times New Roman" w:eastAsia="宋体" w:cs="宋体"/>
                <w:b/>
                <w:bCs/>
                <w:color w:val="auto"/>
                <w:spacing w:val="0"/>
                <w:sz w:val="21"/>
                <w:szCs w:val="21"/>
                <w:highlight w:val="none"/>
              </w:rPr>
              <w:t>4.1-5  活性炭更换周期</w:t>
            </w:r>
            <w:r>
              <w:rPr>
                <w:rFonts w:ascii="Times New Roman" w:hAnsi="Times New Roman" w:eastAsia="宋体" w:cs="宋体"/>
                <w:b/>
                <w:bCs/>
                <w:color w:val="auto"/>
                <w:spacing w:val="0"/>
                <w:sz w:val="21"/>
                <w:szCs w:val="21"/>
                <w:highlight w:val="none"/>
              </w:rPr>
              <w:t>计算</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91"/>
              <w:gridCol w:w="1319"/>
              <w:gridCol w:w="1761"/>
              <w:gridCol w:w="1319"/>
              <w:gridCol w:w="1498"/>
              <w:gridCol w:w="1251"/>
            </w:tblGrid>
            <w:tr w14:paraId="09A80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5" w:type="pct"/>
                  <w:vAlign w:val="center"/>
                </w:tcPr>
                <w:p w14:paraId="36A49A2A">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活性炭用量（kg）</w:t>
                  </w:r>
                </w:p>
              </w:tc>
              <w:tc>
                <w:tcPr>
                  <w:tcW w:w="781" w:type="pct"/>
                  <w:vAlign w:val="center"/>
                </w:tcPr>
                <w:p w14:paraId="08189CFF">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动态吸附量（%）</w:t>
                  </w:r>
                </w:p>
              </w:tc>
              <w:tc>
                <w:tcPr>
                  <w:tcW w:w="1043" w:type="pct"/>
                  <w:vAlign w:val="center"/>
                </w:tcPr>
                <w:p w14:paraId="05B41C09">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活性炭削减VOCs浓度（mg/m</w:t>
                  </w:r>
                  <w:r>
                    <w:rPr>
                      <w:rFonts w:hint="eastAsia" w:ascii="Times New Roman" w:hAnsi="Times New Roman" w:eastAsia="宋体" w:cs="宋体"/>
                      <w:b/>
                      <w:bCs w:val="0"/>
                      <w:color w:val="auto"/>
                      <w:szCs w:val="21"/>
                      <w:highlight w:val="none"/>
                      <w:vertAlign w:val="superscript"/>
                    </w:rPr>
                    <w:t>3</w:t>
                  </w:r>
                  <w:r>
                    <w:rPr>
                      <w:rFonts w:hint="eastAsia" w:ascii="Times New Roman" w:hAnsi="Times New Roman" w:eastAsia="宋体" w:cs="宋体"/>
                      <w:b/>
                      <w:bCs w:val="0"/>
                      <w:color w:val="auto"/>
                      <w:szCs w:val="21"/>
                      <w:highlight w:val="none"/>
                    </w:rPr>
                    <w:t>）</w:t>
                  </w:r>
                </w:p>
              </w:tc>
              <w:tc>
                <w:tcPr>
                  <w:tcW w:w="781" w:type="pct"/>
                  <w:vAlign w:val="center"/>
                </w:tcPr>
                <w:p w14:paraId="7840FCFA">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风量（m</w:t>
                  </w:r>
                  <w:r>
                    <w:rPr>
                      <w:rFonts w:hint="eastAsia" w:ascii="Times New Roman" w:hAnsi="Times New Roman" w:eastAsia="宋体" w:cs="宋体"/>
                      <w:b/>
                      <w:bCs w:val="0"/>
                      <w:color w:val="auto"/>
                      <w:szCs w:val="21"/>
                      <w:highlight w:val="none"/>
                      <w:vertAlign w:val="superscript"/>
                    </w:rPr>
                    <w:t>3</w:t>
                  </w:r>
                  <w:r>
                    <w:rPr>
                      <w:rFonts w:hint="eastAsia" w:ascii="Times New Roman" w:hAnsi="Times New Roman" w:eastAsia="宋体" w:cs="宋体"/>
                      <w:b/>
                      <w:bCs w:val="0"/>
                      <w:color w:val="auto"/>
                      <w:szCs w:val="21"/>
                      <w:highlight w:val="none"/>
                    </w:rPr>
                    <w:t>/h）</w:t>
                  </w:r>
                </w:p>
              </w:tc>
              <w:tc>
                <w:tcPr>
                  <w:tcW w:w="887" w:type="pct"/>
                  <w:vAlign w:val="center"/>
                </w:tcPr>
                <w:p w14:paraId="4A55DC20">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运行时间（h/d）</w:t>
                  </w:r>
                </w:p>
              </w:tc>
              <w:tc>
                <w:tcPr>
                  <w:tcW w:w="741" w:type="pct"/>
                  <w:vAlign w:val="center"/>
                </w:tcPr>
                <w:p w14:paraId="5B3F5BBB">
                  <w:pPr>
                    <w:snapToGrid w:val="0"/>
                    <w:jc w:val="center"/>
                    <w:rPr>
                      <w:rFonts w:ascii="Times New Roman" w:hAnsi="Times New Roman" w:eastAsia="宋体" w:cs="宋体"/>
                      <w:b/>
                      <w:bCs w:val="0"/>
                      <w:color w:val="auto"/>
                      <w:szCs w:val="21"/>
                      <w:highlight w:val="none"/>
                    </w:rPr>
                  </w:pPr>
                  <w:r>
                    <w:rPr>
                      <w:rFonts w:hint="eastAsia" w:ascii="Times New Roman" w:hAnsi="Times New Roman" w:eastAsia="宋体" w:cs="宋体"/>
                      <w:b/>
                      <w:bCs w:val="0"/>
                      <w:color w:val="auto"/>
                      <w:szCs w:val="21"/>
                      <w:highlight w:val="none"/>
                    </w:rPr>
                    <w:t>更换周期（天）</w:t>
                  </w:r>
                </w:p>
              </w:tc>
            </w:tr>
            <w:tr w14:paraId="3E874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8" w:type="dxa"/>
                  <w:vAlign w:val="center"/>
                </w:tcPr>
                <w:p w14:paraId="42EF08A9">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450</w:t>
                  </w:r>
                </w:p>
              </w:tc>
              <w:tc>
                <w:tcPr>
                  <w:tcW w:w="1274" w:type="dxa"/>
                  <w:vAlign w:val="center"/>
                </w:tcPr>
                <w:p w14:paraId="4D7244FA">
                  <w:pPr>
                    <w:snapToGrid w:val="0"/>
                    <w:jc w:val="center"/>
                    <w:rPr>
                      <w:rFonts w:ascii="Times New Roman" w:hAnsi="Times New Roman" w:eastAsia="宋体" w:cs="宋体"/>
                      <w:bCs/>
                      <w:color w:val="auto"/>
                      <w:szCs w:val="21"/>
                      <w:highlight w:val="none"/>
                    </w:rPr>
                  </w:pPr>
                  <w:r>
                    <w:rPr>
                      <w:rFonts w:hint="eastAsia" w:ascii="Times New Roman" w:hAnsi="Times New Roman" w:eastAsia="宋体" w:cs="宋体"/>
                      <w:bCs/>
                      <w:color w:val="auto"/>
                      <w:szCs w:val="21"/>
                      <w:highlight w:val="none"/>
                    </w:rPr>
                    <w:t>10</w:t>
                  </w:r>
                </w:p>
              </w:tc>
              <w:tc>
                <w:tcPr>
                  <w:tcW w:w="1702" w:type="dxa"/>
                  <w:vAlign w:val="center"/>
                </w:tcPr>
                <w:p w14:paraId="16186841">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45</w:t>
                  </w:r>
                </w:p>
              </w:tc>
              <w:tc>
                <w:tcPr>
                  <w:tcW w:w="1274" w:type="dxa"/>
                  <w:vAlign w:val="center"/>
                </w:tcPr>
                <w:p w14:paraId="1143204B">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10000</w:t>
                  </w:r>
                </w:p>
              </w:tc>
              <w:tc>
                <w:tcPr>
                  <w:tcW w:w="1447" w:type="dxa"/>
                  <w:vAlign w:val="center"/>
                </w:tcPr>
                <w:p w14:paraId="12815402">
                  <w:pPr>
                    <w:snapToGrid w:val="0"/>
                    <w:jc w:val="center"/>
                    <w:rPr>
                      <w:rFonts w:hint="eastAsia" w:ascii="Times New Roman" w:hAnsi="Times New Roman" w:eastAsia="宋体" w:cs="宋体"/>
                      <w:bCs/>
                      <w:color w:val="auto"/>
                      <w:szCs w:val="21"/>
                      <w:highlight w:val="none"/>
                      <w:lang w:eastAsia="zh-CN"/>
                    </w:rPr>
                  </w:pPr>
                  <w:r>
                    <w:rPr>
                      <w:rFonts w:hint="eastAsia" w:cs="宋体"/>
                      <w:bCs/>
                      <w:color w:val="auto"/>
                      <w:szCs w:val="21"/>
                      <w:highlight w:val="none"/>
                      <w:lang w:val="en-US" w:eastAsia="zh-CN"/>
                    </w:rPr>
                    <w:t>4</w:t>
                  </w:r>
                </w:p>
              </w:tc>
              <w:tc>
                <w:tcPr>
                  <w:tcW w:w="1209" w:type="dxa"/>
                  <w:vAlign w:val="center"/>
                </w:tcPr>
                <w:p w14:paraId="2750A4A9">
                  <w:pPr>
                    <w:snapToGrid w:val="0"/>
                    <w:jc w:val="center"/>
                    <w:rPr>
                      <w:rFonts w:hint="default" w:ascii="Times New Roman" w:hAnsi="Times New Roman" w:eastAsia="宋体" w:cs="宋体"/>
                      <w:bCs/>
                      <w:color w:val="auto"/>
                      <w:szCs w:val="21"/>
                      <w:highlight w:val="none"/>
                      <w:lang w:val="en-US" w:eastAsia="zh-CN"/>
                    </w:rPr>
                  </w:pPr>
                  <w:r>
                    <w:rPr>
                      <w:rFonts w:hint="eastAsia" w:cs="宋体"/>
                      <w:bCs/>
                      <w:color w:val="auto"/>
                      <w:szCs w:val="21"/>
                      <w:highlight w:val="none"/>
                      <w:lang w:val="en-US" w:eastAsia="zh-CN"/>
                    </w:rPr>
                    <w:t>25</w:t>
                  </w:r>
                </w:p>
              </w:tc>
            </w:tr>
          </w:tbl>
          <w:p w14:paraId="12EA8A4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bCs/>
                <w:color w:val="auto"/>
                <w:sz w:val="21"/>
                <w:szCs w:val="21"/>
                <w:highlight w:val="none"/>
                <w:lang w:val="en-US" w:eastAsia="zh-CN"/>
              </w:rPr>
            </w:pPr>
            <w:r>
              <w:rPr>
                <w:rFonts w:hint="eastAsia" w:cs="宋体"/>
                <w:b/>
                <w:bCs w:val="0"/>
                <w:color w:val="auto"/>
                <w:sz w:val="21"/>
                <w:szCs w:val="21"/>
                <w:highlight w:val="none"/>
                <w:lang w:val="en-US" w:eastAsia="zh-CN"/>
              </w:rPr>
              <w:t>注：</w:t>
            </w:r>
            <w:r>
              <w:rPr>
                <w:rFonts w:hint="eastAsia" w:cs="宋体"/>
                <w:bCs/>
                <w:color w:val="auto"/>
                <w:sz w:val="21"/>
                <w:szCs w:val="21"/>
                <w:highlight w:val="none"/>
                <w:lang w:val="en-US" w:eastAsia="zh-CN"/>
              </w:rPr>
              <w:t>本项目脱模工序非甲烷总烃产生浓度为112.5mg/m</w:t>
            </w:r>
            <w:r>
              <w:rPr>
                <w:rFonts w:hint="eastAsia" w:cs="宋体"/>
                <w:bCs/>
                <w:color w:val="auto"/>
                <w:sz w:val="21"/>
                <w:szCs w:val="21"/>
                <w:highlight w:val="none"/>
                <w:vertAlign w:val="superscript"/>
                <w:lang w:val="en-US" w:eastAsia="zh-CN"/>
              </w:rPr>
              <w:t>3</w:t>
            </w:r>
            <w:r>
              <w:rPr>
                <w:rFonts w:hint="eastAsia" w:cs="宋体"/>
                <w:bCs/>
                <w:color w:val="auto"/>
                <w:sz w:val="21"/>
                <w:szCs w:val="21"/>
                <w:highlight w:val="none"/>
                <w:lang w:val="en-US" w:eastAsia="zh-CN"/>
              </w:rPr>
              <w:t>，静电除油对非甲烷总烃的去除效率为50%，二级活性炭对非甲烷总烃的去除效率为80%，则活性炭削减VOCs浓度为45mg/m</w:t>
            </w:r>
            <w:r>
              <w:rPr>
                <w:rFonts w:hint="eastAsia" w:cs="宋体"/>
                <w:bCs/>
                <w:color w:val="auto"/>
                <w:sz w:val="21"/>
                <w:szCs w:val="21"/>
                <w:highlight w:val="none"/>
                <w:vertAlign w:val="superscript"/>
                <w:lang w:val="en-US" w:eastAsia="zh-CN"/>
              </w:rPr>
              <w:t>3</w:t>
            </w:r>
            <w:r>
              <w:rPr>
                <w:rFonts w:hint="eastAsia" w:cs="宋体"/>
                <w:bCs/>
                <w:color w:val="auto"/>
                <w:sz w:val="21"/>
                <w:szCs w:val="21"/>
                <w:highlight w:val="none"/>
                <w:lang w:val="en-US" w:eastAsia="zh-CN"/>
              </w:rPr>
              <w:t>。</w:t>
            </w:r>
          </w:p>
          <w:p w14:paraId="70252E6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宋体"/>
                <w:color w:val="auto"/>
                <w:sz w:val="24"/>
                <w:highlight w:val="none"/>
              </w:rPr>
            </w:pPr>
            <w:r>
              <w:rPr>
                <w:rFonts w:hint="eastAsia" w:ascii="Times New Roman" w:hAnsi="Times New Roman" w:eastAsia="宋体" w:cs="宋体"/>
                <w:bCs/>
                <w:color w:val="auto"/>
                <w:sz w:val="24"/>
                <w:highlight w:val="none"/>
              </w:rPr>
              <w:t>经计算，废气处理装置中的活性炭更换周期取</w:t>
            </w:r>
            <w:r>
              <w:rPr>
                <w:rFonts w:hint="eastAsia" w:cs="宋体"/>
                <w:bCs/>
                <w:color w:val="auto"/>
                <w:sz w:val="24"/>
                <w:highlight w:val="none"/>
                <w:lang w:val="en-US" w:eastAsia="zh-CN"/>
              </w:rPr>
              <w:t>25</w:t>
            </w:r>
            <w:r>
              <w:rPr>
                <w:rFonts w:hint="eastAsia" w:ascii="Times New Roman" w:hAnsi="Times New Roman" w:eastAsia="宋体" w:cs="宋体"/>
                <w:bCs/>
                <w:color w:val="auto"/>
                <w:sz w:val="24"/>
                <w:highlight w:val="none"/>
              </w:rPr>
              <w:t>d，则废活性炭产生量约</w:t>
            </w:r>
            <w:r>
              <w:rPr>
                <w:rFonts w:hint="eastAsia" w:cs="宋体"/>
                <w:bCs/>
                <w:color w:val="auto"/>
                <w:sz w:val="24"/>
                <w:highlight w:val="none"/>
                <w:lang w:val="en-US" w:eastAsia="zh-CN"/>
              </w:rPr>
              <w:t>5.4</w:t>
            </w:r>
            <w:r>
              <w:rPr>
                <w:rFonts w:hint="eastAsia" w:ascii="Times New Roman" w:hAnsi="Times New Roman" w:eastAsia="宋体" w:cs="宋体"/>
                <w:bCs/>
                <w:color w:val="auto"/>
                <w:sz w:val="24"/>
                <w:highlight w:val="none"/>
              </w:rPr>
              <w:t>t/a</w:t>
            </w:r>
            <w:r>
              <w:rPr>
                <w:rFonts w:hint="eastAsia" w:ascii="Times New Roman" w:hAnsi="Times New Roman" w:eastAsia="宋体" w:cs="宋体"/>
                <w:color w:val="auto"/>
                <w:sz w:val="24"/>
                <w:highlight w:val="none"/>
              </w:rPr>
              <w:t>。</w:t>
            </w:r>
          </w:p>
          <w:p w14:paraId="4245C835">
            <w:pPr>
              <w:spacing w:line="360" w:lineRule="auto"/>
              <w:ind w:firstLine="482" w:firstLineChars="200"/>
              <w:rPr>
                <w:rFonts w:hint="eastAsia" w:ascii="Times New Roman" w:hAnsi="Times New Roman" w:eastAsia="宋体" w:cs="宋体"/>
                <w:color w:val="auto"/>
                <w:sz w:val="24"/>
                <w:highlight w:val="none"/>
                <w:lang w:val="en-US" w:eastAsia="zh-CN"/>
              </w:rPr>
            </w:pPr>
            <w:r>
              <w:rPr>
                <w:rFonts w:hint="eastAsia" w:cs="宋体"/>
                <w:b/>
                <w:bCs/>
                <w:color w:val="auto"/>
                <w:sz w:val="24"/>
                <w:highlight w:val="none"/>
                <w:lang w:val="en-US" w:eastAsia="zh-CN"/>
              </w:rPr>
              <w:t>废矿物油</w:t>
            </w:r>
            <w:r>
              <w:rPr>
                <w:rFonts w:hint="eastAsia" w:ascii="Times New Roman" w:hAnsi="Times New Roman" w:eastAsia="宋体" w:cs="宋体"/>
                <w:b/>
                <w:bCs/>
                <w:color w:val="auto"/>
                <w:sz w:val="24"/>
                <w:highlight w:val="none"/>
                <w:lang w:val="en-US" w:eastAsia="zh-CN"/>
              </w:rPr>
              <w:t>：</w:t>
            </w:r>
            <w:r>
              <w:rPr>
                <w:rFonts w:hint="eastAsia" w:cs="宋体"/>
                <w:color w:val="auto"/>
                <w:sz w:val="24"/>
                <w:highlight w:val="none"/>
                <w:lang w:val="en-US" w:eastAsia="zh-CN"/>
              </w:rPr>
              <w:t>本项目废矿物油主要来源于设备维护及静电除油装置，其中设备维护过程中需每年定期更换液压油、导轨油，液压油年用量为1.2t/a，导轨油年用量为0.8t/a；脱模工序产生的有机废气经静电除油装置进行处理，去除率为50%，脱模工序有机废气的有组织产生量为1.35t/a，静电除油装置废矿物油产生量为0.675t/a，则废矿物油产生量为2.675t/a，经</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sz w:val="24"/>
                <w:highlight w:val="none"/>
                <w:lang w:val="en-US" w:eastAsia="zh-CN"/>
              </w:rPr>
              <w:t>。</w:t>
            </w:r>
          </w:p>
          <w:p w14:paraId="53868E23">
            <w:pPr>
              <w:spacing w:line="360" w:lineRule="auto"/>
              <w:ind w:firstLine="482" w:firstLineChars="200"/>
              <w:rPr>
                <w:rFonts w:ascii="Times New Roman" w:hAnsi="Times New Roman" w:eastAsia="宋体" w:cs="宋体"/>
                <w:color w:val="auto"/>
                <w:sz w:val="24"/>
                <w:highlight w:val="none"/>
              </w:rPr>
            </w:pPr>
            <w:r>
              <w:rPr>
                <w:rFonts w:hint="eastAsia" w:ascii="Times New Roman" w:hAnsi="Times New Roman" w:eastAsia="宋体" w:cs="宋体"/>
                <w:b/>
                <w:bCs/>
                <w:color w:val="auto"/>
                <w:sz w:val="24"/>
                <w:highlight w:val="none"/>
              </w:rPr>
              <w:t>废包装桶：</w:t>
            </w:r>
            <w:r>
              <w:rPr>
                <w:rFonts w:hint="eastAsia" w:ascii="Times New Roman" w:hAnsi="Times New Roman" w:eastAsia="宋体" w:cs="宋体"/>
                <w:color w:val="auto"/>
                <w:sz w:val="24"/>
                <w:highlight w:val="none"/>
              </w:rPr>
              <w:t>本项目</w:t>
            </w:r>
            <w:r>
              <w:rPr>
                <w:rFonts w:hint="eastAsia" w:cs="宋体"/>
                <w:color w:val="auto"/>
                <w:sz w:val="24"/>
                <w:highlight w:val="none"/>
                <w:lang w:val="en-US" w:eastAsia="zh-CN"/>
              </w:rPr>
              <w:t>液压油、导轨油、乳化液</w:t>
            </w:r>
            <w:r>
              <w:rPr>
                <w:rFonts w:hint="eastAsia" w:ascii="Times New Roman" w:hAnsi="Times New Roman" w:eastAsia="宋体" w:cs="宋体"/>
                <w:color w:val="auto"/>
                <w:sz w:val="24"/>
                <w:highlight w:val="none"/>
              </w:rPr>
              <w:t>均为</w:t>
            </w:r>
            <w:r>
              <w:rPr>
                <w:rFonts w:hint="eastAsia" w:cs="宋体"/>
                <w:color w:val="auto"/>
                <w:sz w:val="24"/>
                <w:highlight w:val="none"/>
                <w:lang w:val="en-US" w:eastAsia="zh-CN"/>
              </w:rPr>
              <w:t>200</w:t>
            </w:r>
            <w:r>
              <w:rPr>
                <w:rFonts w:hint="eastAsia" w:ascii="Times New Roman" w:hAnsi="Times New Roman" w:eastAsia="宋体" w:cs="宋体"/>
                <w:color w:val="auto"/>
                <w:sz w:val="24"/>
                <w:highlight w:val="none"/>
              </w:rPr>
              <w:t>kg桶装，产生</w:t>
            </w:r>
            <w:r>
              <w:rPr>
                <w:rFonts w:hint="eastAsia" w:cs="宋体"/>
                <w:color w:val="auto"/>
                <w:sz w:val="24"/>
                <w:highlight w:val="none"/>
                <w:lang w:val="en-US" w:eastAsia="zh-CN"/>
              </w:rPr>
              <w:t>200</w:t>
            </w:r>
            <w:r>
              <w:rPr>
                <w:rFonts w:hint="eastAsia" w:ascii="Times New Roman" w:hAnsi="Times New Roman" w:eastAsia="宋体" w:cs="宋体"/>
                <w:color w:val="auto"/>
                <w:sz w:val="24"/>
                <w:highlight w:val="none"/>
              </w:rPr>
              <w:t>kg空桶</w:t>
            </w:r>
            <w:r>
              <w:rPr>
                <w:rFonts w:hint="eastAsia" w:cs="宋体"/>
                <w:color w:val="auto"/>
                <w:sz w:val="24"/>
                <w:highlight w:val="none"/>
                <w:lang w:val="en-US" w:eastAsia="zh-CN"/>
              </w:rPr>
              <w:t>12</w:t>
            </w:r>
            <w:r>
              <w:rPr>
                <w:rFonts w:hint="eastAsia" w:ascii="Times New Roman" w:hAnsi="Times New Roman" w:eastAsia="宋体" w:cs="宋体"/>
                <w:color w:val="auto"/>
                <w:sz w:val="24"/>
                <w:highlight w:val="none"/>
              </w:rPr>
              <w:t>只/年，每只</w:t>
            </w:r>
            <w:r>
              <w:rPr>
                <w:rFonts w:hint="eastAsia" w:cs="宋体"/>
                <w:color w:val="auto"/>
                <w:sz w:val="24"/>
                <w:highlight w:val="none"/>
                <w:lang w:val="en-US" w:eastAsia="zh-CN"/>
              </w:rPr>
              <w:t>200</w:t>
            </w:r>
            <w:r>
              <w:rPr>
                <w:rFonts w:hint="eastAsia" w:ascii="Times New Roman" w:hAnsi="Times New Roman" w:eastAsia="宋体" w:cs="宋体"/>
                <w:color w:val="auto"/>
                <w:sz w:val="24"/>
                <w:highlight w:val="none"/>
              </w:rPr>
              <w:t>kg空桶约重</w:t>
            </w:r>
            <w:r>
              <w:rPr>
                <w:rFonts w:hint="eastAsia" w:cs="宋体"/>
                <w:color w:val="auto"/>
                <w:sz w:val="24"/>
                <w:highlight w:val="none"/>
                <w:lang w:val="en-US" w:eastAsia="zh-CN"/>
              </w:rPr>
              <w:t>10</w:t>
            </w:r>
            <w:r>
              <w:rPr>
                <w:rFonts w:hint="eastAsia" w:ascii="Times New Roman" w:hAnsi="Times New Roman" w:eastAsia="宋体" w:cs="宋体"/>
                <w:color w:val="auto"/>
                <w:sz w:val="24"/>
                <w:highlight w:val="none"/>
              </w:rPr>
              <w:t>kg，</w:t>
            </w:r>
            <w:r>
              <w:rPr>
                <w:rFonts w:hint="eastAsia" w:cs="宋体"/>
                <w:color w:val="auto"/>
                <w:sz w:val="24"/>
                <w:highlight w:val="none"/>
                <w:lang w:val="en-US" w:eastAsia="zh-CN"/>
              </w:rPr>
              <w:t>脱模剂、清洗剂、光亮剂</w:t>
            </w:r>
            <w:r>
              <w:rPr>
                <w:rFonts w:hint="eastAsia" w:ascii="Times New Roman" w:hAnsi="Times New Roman" w:eastAsia="宋体" w:cs="宋体"/>
                <w:color w:val="auto"/>
                <w:sz w:val="24"/>
                <w:highlight w:val="none"/>
              </w:rPr>
              <w:t>均为</w:t>
            </w:r>
            <w:r>
              <w:rPr>
                <w:rFonts w:hint="eastAsia" w:cs="宋体"/>
                <w:color w:val="auto"/>
                <w:sz w:val="24"/>
                <w:highlight w:val="none"/>
                <w:lang w:val="en-US" w:eastAsia="zh-CN"/>
              </w:rPr>
              <w:t>20</w:t>
            </w:r>
            <w:r>
              <w:rPr>
                <w:rFonts w:hint="eastAsia" w:ascii="Times New Roman" w:hAnsi="Times New Roman" w:eastAsia="宋体" w:cs="宋体"/>
                <w:color w:val="auto"/>
                <w:sz w:val="24"/>
                <w:highlight w:val="none"/>
              </w:rPr>
              <w:t>kg桶装，产生</w:t>
            </w:r>
            <w:r>
              <w:rPr>
                <w:rFonts w:hint="eastAsia" w:cs="宋体"/>
                <w:color w:val="auto"/>
                <w:sz w:val="24"/>
                <w:highlight w:val="none"/>
                <w:lang w:val="en-US" w:eastAsia="zh-CN"/>
              </w:rPr>
              <w:t>20</w:t>
            </w:r>
            <w:r>
              <w:rPr>
                <w:rFonts w:hint="eastAsia" w:ascii="Times New Roman" w:hAnsi="Times New Roman" w:eastAsia="宋体" w:cs="宋体"/>
                <w:color w:val="auto"/>
                <w:sz w:val="24"/>
                <w:highlight w:val="none"/>
              </w:rPr>
              <w:t>kg空桶</w:t>
            </w:r>
            <w:r>
              <w:rPr>
                <w:rFonts w:hint="eastAsia" w:cs="宋体"/>
                <w:color w:val="auto"/>
                <w:sz w:val="24"/>
                <w:highlight w:val="none"/>
                <w:lang w:val="en-US" w:eastAsia="zh-CN"/>
              </w:rPr>
              <w:t>160</w:t>
            </w:r>
            <w:r>
              <w:rPr>
                <w:rFonts w:hint="eastAsia" w:ascii="Times New Roman" w:hAnsi="Times New Roman" w:eastAsia="宋体" w:cs="宋体"/>
                <w:color w:val="auto"/>
                <w:sz w:val="24"/>
                <w:highlight w:val="none"/>
              </w:rPr>
              <w:t>只/年，每只</w:t>
            </w:r>
            <w:r>
              <w:rPr>
                <w:rFonts w:hint="eastAsia" w:cs="宋体"/>
                <w:color w:val="auto"/>
                <w:sz w:val="24"/>
                <w:highlight w:val="none"/>
                <w:lang w:val="en-US" w:eastAsia="zh-CN"/>
              </w:rPr>
              <w:t>20</w:t>
            </w:r>
            <w:r>
              <w:rPr>
                <w:rFonts w:hint="eastAsia" w:ascii="Times New Roman" w:hAnsi="Times New Roman" w:eastAsia="宋体" w:cs="宋体"/>
                <w:color w:val="auto"/>
                <w:sz w:val="24"/>
                <w:highlight w:val="none"/>
              </w:rPr>
              <w:t>kg空桶约重</w:t>
            </w:r>
            <w:r>
              <w:rPr>
                <w:rFonts w:hint="eastAsia" w:cs="宋体"/>
                <w:color w:val="auto"/>
                <w:sz w:val="24"/>
                <w:highlight w:val="none"/>
                <w:lang w:val="en-US" w:eastAsia="zh-CN"/>
              </w:rPr>
              <w:t>1</w:t>
            </w:r>
            <w:r>
              <w:rPr>
                <w:rFonts w:hint="eastAsia" w:ascii="Times New Roman" w:hAnsi="Times New Roman" w:eastAsia="宋体" w:cs="宋体"/>
                <w:color w:val="auto"/>
                <w:sz w:val="24"/>
                <w:highlight w:val="none"/>
              </w:rPr>
              <w:t>kg，则废</w:t>
            </w:r>
            <w:r>
              <w:rPr>
                <w:rFonts w:hint="eastAsia" w:ascii="Times New Roman" w:hAnsi="Times New Roman" w:eastAsia="宋体" w:cs="宋体"/>
                <w:color w:val="auto"/>
                <w:sz w:val="24"/>
                <w:highlight w:val="none"/>
                <w:lang w:val="en-US" w:eastAsia="zh-CN"/>
              </w:rPr>
              <w:t>包装桶</w:t>
            </w:r>
            <w:r>
              <w:rPr>
                <w:rFonts w:hint="eastAsia" w:ascii="Times New Roman" w:hAnsi="Times New Roman" w:eastAsia="宋体" w:cs="宋体"/>
                <w:color w:val="auto"/>
                <w:sz w:val="24"/>
                <w:highlight w:val="none"/>
              </w:rPr>
              <w:t>产生量为</w:t>
            </w:r>
            <w:r>
              <w:rPr>
                <w:rFonts w:hint="eastAsia" w:cs="宋体"/>
                <w:color w:val="auto"/>
                <w:sz w:val="24"/>
                <w:highlight w:val="none"/>
                <w:lang w:val="en-US" w:eastAsia="zh-CN"/>
              </w:rPr>
              <w:t>0.28</w:t>
            </w:r>
            <w:r>
              <w:rPr>
                <w:rFonts w:hint="eastAsia" w:ascii="Times New Roman" w:hAnsi="Times New Roman" w:eastAsia="宋体" w:cs="宋体"/>
                <w:color w:val="auto"/>
                <w:sz w:val="24"/>
                <w:highlight w:val="none"/>
              </w:rPr>
              <w:t>t/a</w:t>
            </w:r>
            <w:r>
              <w:rPr>
                <w:rFonts w:hint="eastAsia" w:ascii="Times New Roman" w:hAnsi="Times New Roman" w:eastAsia="宋体" w:cs="宋体"/>
                <w:bCs/>
                <w:color w:val="auto"/>
                <w:sz w:val="24"/>
                <w:highlight w:val="none"/>
                <w:lang w:eastAsia="zh-CN"/>
              </w:rPr>
              <w:t>，</w:t>
            </w:r>
            <w:r>
              <w:rPr>
                <w:rFonts w:hint="eastAsia" w:cs="宋体"/>
                <w:color w:val="auto"/>
                <w:kern w:val="0"/>
                <w:sz w:val="24"/>
                <w:highlight w:val="none"/>
                <w:lang w:val="en-US" w:eastAsia="zh-CN"/>
              </w:rPr>
              <w:t>收集后定期委托有资质公司处置</w:t>
            </w:r>
            <w:r>
              <w:rPr>
                <w:rFonts w:hint="eastAsia" w:ascii="Times New Roman" w:hAnsi="Times New Roman" w:eastAsia="宋体" w:cs="宋体"/>
                <w:color w:val="auto"/>
                <w:sz w:val="24"/>
                <w:highlight w:val="none"/>
              </w:rPr>
              <w:t>。</w:t>
            </w:r>
          </w:p>
          <w:p w14:paraId="631C5E45">
            <w:pPr>
              <w:spacing w:line="360" w:lineRule="auto"/>
              <w:ind w:firstLine="482" w:firstLineChars="200"/>
              <w:rPr>
                <w:rFonts w:hint="default" w:ascii="Times New Roman" w:hAnsi="Times New Roman" w:eastAsia="宋体" w:cs="宋体"/>
                <w:color w:val="auto"/>
                <w:sz w:val="24"/>
                <w:highlight w:val="none"/>
                <w:lang w:val="en-US" w:eastAsia="zh-CN"/>
              </w:rPr>
            </w:pPr>
            <w:r>
              <w:rPr>
                <w:rFonts w:hint="eastAsia" w:cs="宋体"/>
                <w:b/>
                <w:bCs/>
                <w:color w:val="auto"/>
                <w:sz w:val="24"/>
                <w:highlight w:val="none"/>
                <w:lang w:val="en-US" w:eastAsia="zh-CN"/>
              </w:rPr>
              <w:t>含油</w:t>
            </w:r>
            <w:r>
              <w:rPr>
                <w:rFonts w:hint="eastAsia" w:ascii="Times New Roman" w:hAnsi="Times New Roman" w:eastAsia="宋体" w:cs="宋体"/>
                <w:b/>
                <w:bCs/>
                <w:color w:val="auto"/>
                <w:sz w:val="24"/>
                <w:highlight w:val="none"/>
                <w:lang w:val="en-US" w:eastAsia="zh-CN"/>
              </w:rPr>
              <w:t>劳保用品：</w:t>
            </w:r>
            <w:r>
              <w:rPr>
                <w:rFonts w:hint="eastAsia" w:cs="宋体"/>
                <w:color w:val="auto"/>
                <w:sz w:val="24"/>
                <w:highlight w:val="none"/>
                <w:lang w:val="en-US" w:eastAsia="zh-CN"/>
              </w:rPr>
              <w:t>设备维护</w:t>
            </w:r>
            <w:r>
              <w:rPr>
                <w:rFonts w:hint="eastAsia" w:ascii="Times New Roman" w:hAnsi="Times New Roman" w:eastAsia="宋体" w:cs="宋体"/>
                <w:color w:val="auto"/>
                <w:sz w:val="24"/>
                <w:highlight w:val="none"/>
                <w:lang w:val="en-US" w:eastAsia="zh-CN"/>
              </w:rPr>
              <w:t>过程中员工佩戴的手套、使用的抹布等定期更换，产生量约为0.01t/a</w:t>
            </w:r>
            <w:r>
              <w:rPr>
                <w:rFonts w:hint="eastAsia" w:cs="宋体"/>
                <w:color w:val="auto"/>
                <w:sz w:val="24"/>
                <w:highlight w:val="none"/>
                <w:lang w:val="en-US" w:eastAsia="zh-CN"/>
              </w:rPr>
              <w:t>，含油劳保用品难以单独收集混入生活垃圾委托环卫部门清运</w:t>
            </w:r>
            <w:r>
              <w:rPr>
                <w:rFonts w:hint="eastAsia" w:ascii="Times New Roman" w:hAnsi="Times New Roman" w:eastAsia="宋体" w:cs="宋体"/>
                <w:color w:val="auto"/>
                <w:sz w:val="24"/>
                <w:highlight w:val="none"/>
                <w:lang w:val="en-US" w:eastAsia="zh-CN"/>
              </w:rPr>
              <w:t>。</w:t>
            </w:r>
          </w:p>
          <w:p w14:paraId="3D6CCD2E">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4.4-1  </w:t>
            </w:r>
            <w:r>
              <w:rPr>
                <w:rFonts w:hint="eastAsia" w:cs="宋体"/>
                <w:b/>
                <w:bCs/>
                <w:color w:val="auto"/>
                <w:spacing w:val="-4"/>
                <w:szCs w:val="21"/>
                <w:highlight w:val="none"/>
                <w:lang w:val="en-US" w:eastAsia="zh-CN"/>
              </w:rPr>
              <w:t>本项目</w:t>
            </w:r>
            <w:r>
              <w:rPr>
                <w:rFonts w:ascii="Times New Roman" w:hAnsi="Times New Roman" w:eastAsia="宋体" w:cs="宋体"/>
                <w:b/>
                <w:bCs/>
                <w:color w:val="auto"/>
                <w:spacing w:val="-4"/>
                <w:szCs w:val="21"/>
                <w:highlight w:val="none"/>
              </w:rPr>
              <w:t>固体废物分析结果汇总表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6"/>
              <w:gridCol w:w="461"/>
              <w:gridCol w:w="915"/>
              <w:gridCol w:w="461"/>
              <w:gridCol w:w="1590"/>
              <w:gridCol w:w="611"/>
              <w:gridCol w:w="1188"/>
              <w:gridCol w:w="712"/>
              <w:gridCol w:w="1137"/>
            </w:tblGrid>
            <w:tr w14:paraId="67A6C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FF890CB">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固废名称</w:t>
                  </w:r>
                </w:p>
              </w:tc>
              <w:tc>
                <w:tcPr>
                  <w:tcW w:w="273" w:type="pct"/>
                  <w:vAlign w:val="center"/>
                </w:tcPr>
                <w:p w14:paraId="2D8B5629">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属性</w:t>
                  </w:r>
                </w:p>
              </w:tc>
              <w:tc>
                <w:tcPr>
                  <w:tcW w:w="542" w:type="pct"/>
                  <w:vAlign w:val="center"/>
                </w:tcPr>
                <w:p w14:paraId="26F0E7C6">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产生工序</w:t>
                  </w:r>
                </w:p>
              </w:tc>
              <w:tc>
                <w:tcPr>
                  <w:tcW w:w="273" w:type="pct"/>
                  <w:vAlign w:val="center"/>
                </w:tcPr>
                <w:p w14:paraId="446F3520">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形态</w:t>
                  </w:r>
                </w:p>
              </w:tc>
              <w:tc>
                <w:tcPr>
                  <w:tcW w:w="942" w:type="pct"/>
                  <w:vAlign w:val="center"/>
                </w:tcPr>
                <w:p w14:paraId="2366EF8B">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主要成分</w:t>
                  </w:r>
                </w:p>
              </w:tc>
              <w:tc>
                <w:tcPr>
                  <w:tcW w:w="362" w:type="pct"/>
                  <w:vAlign w:val="center"/>
                </w:tcPr>
                <w:p w14:paraId="7BC0614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废物类别</w:t>
                  </w:r>
                </w:p>
              </w:tc>
              <w:tc>
                <w:tcPr>
                  <w:tcW w:w="704" w:type="pct"/>
                  <w:vAlign w:val="center"/>
                </w:tcPr>
                <w:p w14:paraId="6AB37819">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废物代码</w:t>
                  </w:r>
                </w:p>
              </w:tc>
              <w:tc>
                <w:tcPr>
                  <w:tcW w:w="422" w:type="pct"/>
                  <w:vAlign w:val="center"/>
                </w:tcPr>
                <w:p w14:paraId="7AD519C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ascii="Times New Roman" w:hAnsi="Times New Roman" w:eastAsia="宋体" w:cs="宋体"/>
                      <w:b/>
                      <w:color w:val="auto"/>
                      <w:spacing w:val="0"/>
                      <w:szCs w:val="21"/>
                      <w:highlight w:val="none"/>
                    </w:rPr>
                    <w:t>预测产生量（t/a）</w:t>
                  </w:r>
                </w:p>
              </w:tc>
              <w:tc>
                <w:tcPr>
                  <w:tcW w:w="674" w:type="pct"/>
                  <w:vAlign w:val="center"/>
                </w:tcPr>
                <w:p w14:paraId="4CEB7D05">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b/>
                      <w:color w:val="auto"/>
                      <w:spacing w:val="0"/>
                      <w:szCs w:val="21"/>
                      <w:highlight w:val="none"/>
                    </w:rPr>
                  </w:pPr>
                  <w:r>
                    <w:rPr>
                      <w:rFonts w:hint="eastAsia" w:ascii="Times New Roman" w:hAnsi="Times New Roman" w:eastAsia="宋体" w:cs="宋体"/>
                      <w:b/>
                      <w:color w:val="auto"/>
                      <w:spacing w:val="0"/>
                      <w:szCs w:val="21"/>
                      <w:highlight w:val="none"/>
                    </w:rPr>
                    <w:t>处置方式及去向</w:t>
                  </w:r>
                </w:p>
              </w:tc>
            </w:tr>
            <w:tr w14:paraId="76549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BDFDB00">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cs="宋体"/>
                      <w:color w:val="auto"/>
                      <w:spacing w:val="0"/>
                      <w:szCs w:val="21"/>
                      <w:highlight w:val="none"/>
                      <w:lang w:val="en-US" w:eastAsia="zh-CN"/>
                    </w:rPr>
                    <w:t>废打磨</w:t>
                  </w:r>
                  <w:r>
                    <w:rPr>
                      <w:rFonts w:hint="eastAsia" w:ascii="Times New Roman" w:hAnsi="Times New Roman" w:eastAsia="宋体" w:cs="宋体"/>
                      <w:color w:val="auto"/>
                      <w:spacing w:val="0"/>
                      <w:szCs w:val="21"/>
                      <w:highlight w:val="none"/>
                    </w:rPr>
                    <w:t>边角料</w:t>
                  </w:r>
                </w:p>
              </w:tc>
              <w:tc>
                <w:tcPr>
                  <w:tcW w:w="273" w:type="pct"/>
                  <w:vMerge w:val="restart"/>
                  <w:vAlign w:val="center"/>
                </w:tcPr>
                <w:p w14:paraId="234FE076">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ascii="Times New Roman" w:hAnsi="Times New Roman" w:eastAsia="宋体" w:cs="宋体"/>
                      <w:color w:val="auto"/>
                      <w:spacing w:val="0"/>
                      <w:szCs w:val="21"/>
                      <w:highlight w:val="none"/>
                    </w:rPr>
                    <w:t>一般</w:t>
                  </w:r>
                </w:p>
                <w:p w14:paraId="52579B6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ascii="Times New Roman" w:hAnsi="Times New Roman" w:eastAsia="宋体" w:cs="宋体"/>
                      <w:color w:val="auto"/>
                      <w:spacing w:val="0"/>
                      <w:szCs w:val="21"/>
                      <w:highlight w:val="none"/>
                    </w:rPr>
                    <w:t>固废</w:t>
                  </w:r>
                </w:p>
              </w:tc>
              <w:tc>
                <w:tcPr>
                  <w:tcW w:w="542" w:type="pct"/>
                  <w:vAlign w:val="center"/>
                </w:tcPr>
                <w:p w14:paraId="34E937B5">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Cs w:val="21"/>
                      <w:highlight w:val="none"/>
                      <w:lang w:eastAsia="zh-CN"/>
                    </w:rPr>
                  </w:pPr>
                  <w:r>
                    <w:rPr>
                      <w:rFonts w:hint="eastAsia" w:cs="宋体"/>
                      <w:color w:val="auto"/>
                      <w:spacing w:val="0"/>
                      <w:kern w:val="0"/>
                      <w:szCs w:val="21"/>
                      <w:highlight w:val="none"/>
                      <w:lang w:val="en-US" w:eastAsia="zh-CN"/>
                    </w:rPr>
                    <w:t>打磨</w:t>
                  </w:r>
                </w:p>
              </w:tc>
              <w:tc>
                <w:tcPr>
                  <w:tcW w:w="273" w:type="pct"/>
                  <w:vAlign w:val="center"/>
                </w:tcPr>
                <w:p w14:paraId="5F563403">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ascii="Times New Roman" w:hAnsi="Times New Roman" w:eastAsia="宋体" w:cs="宋体"/>
                      <w:color w:val="auto"/>
                      <w:spacing w:val="0"/>
                      <w:szCs w:val="21"/>
                      <w:highlight w:val="none"/>
                    </w:rPr>
                    <w:t>固</w:t>
                  </w:r>
                </w:p>
              </w:tc>
              <w:tc>
                <w:tcPr>
                  <w:tcW w:w="942" w:type="pct"/>
                  <w:vAlign w:val="center"/>
                </w:tcPr>
                <w:p w14:paraId="1C14DC29">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铝</w:t>
                  </w:r>
                </w:p>
              </w:tc>
              <w:tc>
                <w:tcPr>
                  <w:tcW w:w="362" w:type="pct"/>
                  <w:vAlign w:val="center"/>
                </w:tcPr>
                <w:p w14:paraId="622E3DEB">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SW17</w:t>
                  </w:r>
                </w:p>
              </w:tc>
              <w:tc>
                <w:tcPr>
                  <w:tcW w:w="704" w:type="pct"/>
                  <w:vAlign w:val="center"/>
                </w:tcPr>
                <w:p w14:paraId="2B61B5D3">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900-00</w:t>
                  </w:r>
                  <w:r>
                    <w:rPr>
                      <w:rFonts w:hint="eastAsia" w:cs="宋体"/>
                      <w:color w:val="auto"/>
                      <w:spacing w:val="0"/>
                      <w:szCs w:val="21"/>
                      <w:highlight w:val="none"/>
                      <w:lang w:val="en-US" w:eastAsia="zh-CN"/>
                    </w:rPr>
                    <w:t>2</w:t>
                  </w:r>
                  <w:r>
                    <w:rPr>
                      <w:rFonts w:hint="eastAsia" w:ascii="Times New Roman" w:hAnsi="Times New Roman" w:eastAsia="宋体" w:cs="宋体"/>
                      <w:color w:val="auto"/>
                      <w:spacing w:val="0"/>
                      <w:szCs w:val="21"/>
                      <w:highlight w:val="none"/>
                    </w:rPr>
                    <w:t>-S17</w:t>
                  </w:r>
                </w:p>
              </w:tc>
              <w:tc>
                <w:tcPr>
                  <w:tcW w:w="422" w:type="pct"/>
                  <w:vAlign w:val="center"/>
                </w:tcPr>
                <w:p w14:paraId="3D6E7A3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30</w:t>
                  </w:r>
                </w:p>
              </w:tc>
              <w:tc>
                <w:tcPr>
                  <w:tcW w:w="674" w:type="pct"/>
                  <w:vAlign w:val="center"/>
                </w:tcPr>
                <w:p w14:paraId="004F0FFF">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回用于熔化工序</w:t>
                  </w:r>
                </w:p>
              </w:tc>
            </w:tr>
            <w:tr w14:paraId="27827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6846384">
                  <w:pPr>
                    <w:keepNext w:val="0"/>
                    <w:pageBreakBefore w:val="0"/>
                    <w:widowControl w:val="0"/>
                    <w:kinsoku/>
                    <w:wordWrap/>
                    <w:overflowPunct/>
                    <w:topLinePunct w:val="0"/>
                    <w:bidi w:val="0"/>
                    <w:adjustRightInd/>
                    <w:snapToGrid w:val="0"/>
                    <w:spacing w:line="320" w:lineRule="exact"/>
                    <w:jc w:val="center"/>
                    <w:textAlignment w:val="auto"/>
                    <w:rPr>
                      <w:rFonts w:hint="eastAsia" w:cs="宋体"/>
                      <w:color w:val="auto"/>
                      <w:spacing w:val="0"/>
                      <w:sz w:val="21"/>
                      <w:szCs w:val="21"/>
                      <w:highlight w:val="none"/>
                      <w:lang w:val="en-US" w:eastAsia="zh-CN"/>
                    </w:rPr>
                  </w:pPr>
                  <w:r>
                    <w:rPr>
                      <w:rFonts w:hint="eastAsia" w:cs="宋体"/>
                      <w:color w:val="auto"/>
                      <w:spacing w:val="0"/>
                      <w:sz w:val="21"/>
                      <w:szCs w:val="21"/>
                      <w:highlight w:val="none"/>
                      <w:lang w:val="en-US" w:eastAsia="zh-CN"/>
                    </w:rPr>
                    <w:t>废机加工</w:t>
                  </w:r>
                </w:p>
                <w:p w14:paraId="272FF74F">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 w:val="21"/>
                      <w:szCs w:val="21"/>
                      <w:highlight w:val="none"/>
                      <w:lang w:val="en-US" w:eastAsia="zh-CN"/>
                    </w:rPr>
                    <w:t>边角料</w:t>
                  </w:r>
                </w:p>
              </w:tc>
              <w:tc>
                <w:tcPr>
                  <w:tcW w:w="273" w:type="pct"/>
                  <w:vMerge w:val="continue"/>
                  <w:vAlign w:val="center"/>
                </w:tcPr>
                <w:p w14:paraId="7055D90C">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vAlign w:val="center"/>
                </w:tcPr>
                <w:p w14:paraId="48DC9A5B">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Cs w:val="21"/>
                      <w:highlight w:val="none"/>
                      <w:lang w:eastAsia="zh-CN"/>
                    </w:rPr>
                  </w:pPr>
                  <w:r>
                    <w:rPr>
                      <w:rFonts w:hint="eastAsia" w:cs="宋体"/>
                      <w:color w:val="auto"/>
                      <w:spacing w:val="0"/>
                      <w:kern w:val="0"/>
                      <w:szCs w:val="21"/>
                      <w:highlight w:val="none"/>
                      <w:lang w:val="en-US" w:eastAsia="zh-CN"/>
                    </w:rPr>
                    <w:t>机加工</w:t>
                  </w:r>
                </w:p>
              </w:tc>
              <w:tc>
                <w:tcPr>
                  <w:tcW w:w="273" w:type="pct"/>
                  <w:vAlign w:val="center"/>
                </w:tcPr>
                <w:p w14:paraId="0AC6810C">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固</w:t>
                  </w:r>
                </w:p>
              </w:tc>
              <w:tc>
                <w:tcPr>
                  <w:tcW w:w="942" w:type="pct"/>
                  <w:vAlign w:val="center"/>
                </w:tcPr>
                <w:p w14:paraId="0CCCF334">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铝</w:t>
                  </w:r>
                </w:p>
              </w:tc>
              <w:tc>
                <w:tcPr>
                  <w:tcW w:w="362" w:type="pct"/>
                  <w:vAlign w:val="center"/>
                </w:tcPr>
                <w:p w14:paraId="2E73453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SW17</w:t>
                  </w:r>
                </w:p>
              </w:tc>
              <w:tc>
                <w:tcPr>
                  <w:tcW w:w="704" w:type="pct"/>
                  <w:vAlign w:val="center"/>
                </w:tcPr>
                <w:p w14:paraId="07DF4E3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lang w:val="en-US" w:eastAsia="zh-CN"/>
                    </w:rPr>
                    <w:t>900-00</w:t>
                  </w:r>
                  <w:r>
                    <w:rPr>
                      <w:rFonts w:hint="eastAsia" w:cs="宋体"/>
                      <w:color w:val="auto"/>
                      <w:spacing w:val="0"/>
                      <w:szCs w:val="21"/>
                      <w:highlight w:val="none"/>
                      <w:lang w:val="en-US" w:eastAsia="zh-CN"/>
                    </w:rPr>
                    <w:t>2</w:t>
                  </w:r>
                  <w:r>
                    <w:rPr>
                      <w:rFonts w:hint="eastAsia" w:ascii="Times New Roman" w:hAnsi="Times New Roman" w:eastAsia="宋体" w:cs="宋体"/>
                      <w:color w:val="auto"/>
                      <w:spacing w:val="0"/>
                      <w:szCs w:val="21"/>
                      <w:highlight w:val="none"/>
                      <w:lang w:val="en-US" w:eastAsia="zh-CN"/>
                    </w:rPr>
                    <w:t>-S17</w:t>
                  </w:r>
                </w:p>
              </w:tc>
              <w:tc>
                <w:tcPr>
                  <w:tcW w:w="422" w:type="pct"/>
                  <w:vAlign w:val="center"/>
                </w:tcPr>
                <w:p w14:paraId="51169067">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6</w:t>
                  </w:r>
                </w:p>
              </w:tc>
              <w:tc>
                <w:tcPr>
                  <w:tcW w:w="674" w:type="pct"/>
                  <w:vAlign w:val="center"/>
                </w:tcPr>
                <w:p w14:paraId="7F02B6EF">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外售综合</w:t>
                  </w:r>
                </w:p>
                <w:p w14:paraId="2DFCE0C9">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利用</w:t>
                  </w:r>
                </w:p>
              </w:tc>
            </w:tr>
            <w:tr w14:paraId="18320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64B2B2D">
                  <w:pPr>
                    <w:keepNext w:val="0"/>
                    <w:pageBreakBefore w:val="0"/>
                    <w:widowControl w:val="0"/>
                    <w:kinsoku/>
                    <w:wordWrap/>
                    <w:overflowPunct/>
                    <w:topLinePunct w:val="0"/>
                    <w:bidi w:val="0"/>
                    <w:adjustRightInd/>
                    <w:snapToGrid w:val="0"/>
                    <w:spacing w:line="320" w:lineRule="exact"/>
                    <w:jc w:val="center"/>
                    <w:textAlignment w:val="auto"/>
                    <w:rPr>
                      <w:rFonts w:hint="default" w:cs="宋体"/>
                      <w:color w:val="auto"/>
                      <w:spacing w:val="0"/>
                      <w:szCs w:val="21"/>
                      <w:highlight w:val="none"/>
                      <w:lang w:val="en-US" w:eastAsia="zh-CN"/>
                    </w:rPr>
                  </w:pPr>
                  <w:r>
                    <w:rPr>
                      <w:rFonts w:hint="eastAsia" w:cs="宋体"/>
                      <w:color w:val="auto"/>
                      <w:spacing w:val="0"/>
                      <w:szCs w:val="21"/>
                      <w:highlight w:val="none"/>
                      <w:lang w:val="en-US" w:eastAsia="zh-CN"/>
                    </w:rPr>
                    <w:t>不合格品</w:t>
                  </w:r>
                </w:p>
              </w:tc>
              <w:tc>
                <w:tcPr>
                  <w:tcW w:w="273" w:type="pct"/>
                  <w:vMerge w:val="continue"/>
                  <w:vAlign w:val="center"/>
                </w:tcPr>
                <w:p w14:paraId="3A807371">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vAlign w:val="center"/>
                </w:tcPr>
                <w:p w14:paraId="7767F9D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0"/>
                      <w:szCs w:val="21"/>
                      <w:highlight w:val="none"/>
                      <w:lang w:val="en-US" w:eastAsia="zh-CN"/>
                    </w:rPr>
                  </w:pPr>
                  <w:r>
                    <w:rPr>
                      <w:rFonts w:hint="eastAsia" w:cs="宋体"/>
                      <w:color w:val="auto"/>
                      <w:spacing w:val="0"/>
                      <w:kern w:val="0"/>
                      <w:szCs w:val="21"/>
                      <w:highlight w:val="none"/>
                      <w:lang w:val="en-US" w:eastAsia="zh-CN"/>
                    </w:rPr>
                    <w:t>检验</w:t>
                  </w:r>
                </w:p>
              </w:tc>
              <w:tc>
                <w:tcPr>
                  <w:tcW w:w="273" w:type="pct"/>
                  <w:vAlign w:val="center"/>
                </w:tcPr>
                <w:p w14:paraId="05BF819D">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固</w:t>
                  </w:r>
                </w:p>
              </w:tc>
              <w:tc>
                <w:tcPr>
                  <w:tcW w:w="942" w:type="pct"/>
                  <w:vAlign w:val="center"/>
                </w:tcPr>
                <w:p w14:paraId="7D407588">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铝</w:t>
                  </w:r>
                </w:p>
              </w:tc>
              <w:tc>
                <w:tcPr>
                  <w:tcW w:w="362" w:type="pct"/>
                  <w:vAlign w:val="center"/>
                </w:tcPr>
                <w:p w14:paraId="4ABA5465">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SW17</w:t>
                  </w:r>
                </w:p>
              </w:tc>
              <w:tc>
                <w:tcPr>
                  <w:tcW w:w="704" w:type="pct"/>
                  <w:vAlign w:val="center"/>
                </w:tcPr>
                <w:p w14:paraId="551E6110">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rPr>
                    <w:t>900-00</w:t>
                  </w:r>
                  <w:r>
                    <w:rPr>
                      <w:rFonts w:hint="eastAsia" w:cs="宋体"/>
                      <w:color w:val="auto"/>
                      <w:spacing w:val="0"/>
                      <w:szCs w:val="21"/>
                      <w:highlight w:val="none"/>
                      <w:lang w:val="en-US" w:eastAsia="zh-CN"/>
                    </w:rPr>
                    <w:t>2</w:t>
                  </w:r>
                  <w:r>
                    <w:rPr>
                      <w:rFonts w:hint="eastAsia" w:ascii="Times New Roman" w:hAnsi="Times New Roman" w:eastAsia="宋体" w:cs="宋体"/>
                      <w:color w:val="auto"/>
                      <w:spacing w:val="0"/>
                      <w:szCs w:val="21"/>
                      <w:highlight w:val="none"/>
                    </w:rPr>
                    <w:t>-S17</w:t>
                  </w:r>
                </w:p>
              </w:tc>
              <w:tc>
                <w:tcPr>
                  <w:tcW w:w="422" w:type="pct"/>
                  <w:vAlign w:val="center"/>
                </w:tcPr>
                <w:p w14:paraId="54A27DA1">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6</w:t>
                  </w:r>
                </w:p>
              </w:tc>
              <w:tc>
                <w:tcPr>
                  <w:tcW w:w="674" w:type="pct"/>
                  <w:vAlign w:val="center"/>
                </w:tcPr>
                <w:p w14:paraId="070FA30B">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cs="宋体"/>
                      <w:color w:val="auto"/>
                      <w:spacing w:val="0"/>
                      <w:szCs w:val="21"/>
                      <w:highlight w:val="none"/>
                      <w:lang w:val="en-US" w:eastAsia="zh-CN"/>
                    </w:rPr>
                    <w:t>回用于熔化工序</w:t>
                  </w:r>
                </w:p>
              </w:tc>
            </w:tr>
            <w:tr w14:paraId="6D14D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375C4B5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除尘器收尘</w:t>
                  </w:r>
                </w:p>
              </w:tc>
              <w:tc>
                <w:tcPr>
                  <w:tcW w:w="273" w:type="pct"/>
                  <w:vMerge w:val="continue"/>
                  <w:vAlign w:val="center"/>
                </w:tcPr>
                <w:p w14:paraId="42C62C23">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vAlign w:val="center"/>
                </w:tcPr>
                <w:p w14:paraId="6B93D2B5">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Cs w:val="21"/>
                      <w:highlight w:val="none"/>
                      <w:lang w:eastAsia="zh-CN"/>
                    </w:rPr>
                  </w:pPr>
                  <w:r>
                    <w:rPr>
                      <w:rFonts w:hint="eastAsia" w:ascii="Times New Roman" w:hAnsi="Times New Roman" w:eastAsia="宋体" w:cs="宋体"/>
                      <w:color w:val="auto"/>
                      <w:spacing w:val="0"/>
                      <w:kern w:val="0"/>
                      <w:szCs w:val="21"/>
                      <w:highlight w:val="none"/>
                      <w:lang w:val="en-US" w:eastAsia="zh-CN"/>
                    </w:rPr>
                    <w:t>废气处理</w:t>
                  </w:r>
                </w:p>
              </w:tc>
              <w:tc>
                <w:tcPr>
                  <w:tcW w:w="273" w:type="pct"/>
                  <w:vAlign w:val="center"/>
                </w:tcPr>
                <w:p w14:paraId="6A607725">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ascii="Times New Roman" w:hAnsi="Times New Roman" w:eastAsia="宋体" w:cs="宋体"/>
                      <w:color w:val="auto"/>
                      <w:spacing w:val="0"/>
                      <w:szCs w:val="21"/>
                      <w:highlight w:val="none"/>
                    </w:rPr>
                    <w:t>固</w:t>
                  </w:r>
                </w:p>
              </w:tc>
              <w:tc>
                <w:tcPr>
                  <w:tcW w:w="942" w:type="pct"/>
                  <w:vAlign w:val="center"/>
                </w:tcPr>
                <w:p w14:paraId="505006D9">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铝</w:t>
                  </w:r>
                </w:p>
              </w:tc>
              <w:tc>
                <w:tcPr>
                  <w:tcW w:w="362" w:type="pct"/>
                  <w:vAlign w:val="center"/>
                </w:tcPr>
                <w:p w14:paraId="7A5CCF25">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SW17</w:t>
                  </w:r>
                </w:p>
              </w:tc>
              <w:tc>
                <w:tcPr>
                  <w:tcW w:w="704" w:type="pct"/>
                  <w:vAlign w:val="center"/>
                </w:tcPr>
                <w:p w14:paraId="13C235A4">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lang w:val="en-US" w:eastAsia="zh-CN"/>
                    </w:rPr>
                    <w:t>900-00</w:t>
                  </w:r>
                  <w:r>
                    <w:rPr>
                      <w:rFonts w:hint="eastAsia" w:cs="宋体"/>
                      <w:color w:val="auto"/>
                      <w:spacing w:val="0"/>
                      <w:szCs w:val="21"/>
                      <w:highlight w:val="none"/>
                      <w:lang w:val="en-US" w:eastAsia="zh-CN"/>
                    </w:rPr>
                    <w:t>2</w:t>
                  </w:r>
                  <w:r>
                    <w:rPr>
                      <w:rFonts w:hint="eastAsia" w:ascii="Times New Roman" w:hAnsi="Times New Roman" w:eastAsia="宋体" w:cs="宋体"/>
                      <w:color w:val="auto"/>
                      <w:spacing w:val="0"/>
                      <w:szCs w:val="21"/>
                      <w:highlight w:val="none"/>
                      <w:lang w:val="en-US" w:eastAsia="zh-CN"/>
                    </w:rPr>
                    <w:t>-S17</w:t>
                  </w:r>
                </w:p>
              </w:tc>
              <w:tc>
                <w:tcPr>
                  <w:tcW w:w="422" w:type="pct"/>
                  <w:vAlign w:val="center"/>
                </w:tcPr>
                <w:p w14:paraId="1180FBE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default" w:ascii="Times New Roman" w:hAnsi="Times New Roman" w:eastAsia="宋体" w:cs="宋体"/>
                      <w:color w:val="auto"/>
                      <w:spacing w:val="0"/>
                      <w:szCs w:val="21"/>
                      <w:highlight w:val="none"/>
                      <w:lang w:val="en-US" w:eastAsia="zh-CN"/>
                    </w:rPr>
                    <w:t>2.</w:t>
                  </w:r>
                  <w:r>
                    <w:rPr>
                      <w:rFonts w:hint="eastAsia" w:cs="宋体"/>
                      <w:color w:val="auto"/>
                      <w:spacing w:val="0"/>
                      <w:szCs w:val="21"/>
                      <w:highlight w:val="none"/>
                      <w:lang w:val="en-US" w:eastAsia="zh-CN"/>
                    </w:rPr>
                    <w:t>187</w:t>
                  </w:r>
                </w:p>
              </w:tc>
              <w:tc>
                <w:tcPr>
                  <w:tcW w:w="674" w:type="pct"/>
                  <w:vAlign w:val="center"/>
                </w:tcPr>
                <w:p w14:paraId="174035A6">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外售综合</w:t>
                  </w:r>
                </w:p>
                <w:p w14:paraId="700C2DDF">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利用</w:t>
                  </w:r>
                </w:p>
              </w:tc>
            </w:tr>
            <w:tr w14:paraId="5FB50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3DE96592">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铝灰渣</w:t>
                  </w:r>
                </w:p>
              </w:tc>
              <w:tc>
                <w:tcPr>
                  <w:tcW w:w="273" w:type="pct"/>
                  <w:vMerge w:val="restart"/>
                  <w:vAlign w:val="center"/>
                </w:tcPr>
                <w:p w14:paraId="50736121">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危险</w:t>
                  </w:r>
                </w:p>
                <w:p w14:paraId="65AC5324">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废物</w:t>
                  </w:r>
                </w:p>
              </w:tc>
              <w:tc>
                <w:tcPr>
                  <w:tcW w:w="542" w:type="pct"/>
                  <w:vAlign w:val="center"/>
                </w:tcPr>
                <w:p w14:paraId="0769A833">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Cs w:val="21"/>
                      <w:highlight w:val="none"/>
                      <w:lang w:eastAsia="zh-CN"/>
                    </w:rPr>
                  </w:pPr>
                  <w:r>
                    <w:rPr>
                      <w:rFonts w:hint="eastAsia" w:cs="宋体"/>
                      <w:color w:val="auto"/>
                      <w:spacing w:val="0"/>
                      <w:kern w:val="0"/>
                      <w:szCs w:val="21"/>
                      <w:highlight w:val="none"/>
                      <w:lang w:val="en-US" w:eastAsia="zh-CN"/>
                    </w:rPr>
                    <w:t>熔化</w:t>
                  </w:r>
                </w:p>
              </w:tc>
              <w:tc>
                <w:tcPr>
                  <w:tcW w:w="273" w:type="pct"/>
                  <w:vAlign w:val="center"/>
                </w:tcPr>
                <w:p w14:paraId="0BEE3EB7">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固</w:t>
                  </w:r>
                </w:p>
              </w:tc>
              <w:tc>
                <w:tcPr>
                  <w:tcW w:w="942" w:type="pct"/>
                  <w:vAlign w:val="center"/>
                </w:tcPr>
                <w:p w14:paraId="5A49B1FB">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铝</w:t>
                  </w:r>
                </w:p>
              </w:tc>
              <w:tc>
                <w:tcPr>
                  <w:tcW w:w="362" w:type="pct"/>
                  <w:vAlign w:val="center"/>
                </w:tcPr>
                <w:p w14:paraId="1A19517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48</w:t>
                  </w:r>
                </w:p>
              </w:tc>
              <w:tc>
                <w:tcPr>
                  <w:tcW w:w="704" w:type="pct"/>
                  <w:vAlign w:val="center"/>
                </w:tcPr>
                <w:p w14:paraId="23FDF78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lang w:val="en-US" w:eastAsia="zh-CN"/>
                    </w:rPr>
                    <w:t>3</w:t>
                  </w:r>
                  <w:r>
                    <w:rPr>
                      <w:rFonts w:hint="eastAsia" w:cs="宋体"/>
                      <w:color w:val="auto"/>
                      <w:spacing w:val="0"/>
                      <w:szCs w:val="21"/>
                      <w:highlight w:val="none"/>
                      <w:lang w:val="en-US" w:eastAsia="zh-CN"/>
                    </w:rPr>
                    <w:t>21</w:t>
                  </w:r>
                  <w:r>
                    <w:rPr>
                      <w:rFonts w:hint="eastAsia" w:ascii="Times New Roman" w:hAnsi="Times New Roman" w:eastAsia="宋体" w:cs="宋体"/>
                      <w:color w:val="auto"/>
                      <w:spacing w:val="0"/>
                      <w:szCs w:val="21"/>
                      <w:highlight w:val="none"/>
                      <w:lang w:val="en-US" w:eastAsia="zh-CN"/>
                    </w:rPr>
                    <w:t>-0</w:t>
                  </w:r>
                  <w:r>
                    <w:rPr>
                      <w:rFonts w:hint="eastAsia" w:cs="宋体"/>
                      <w:color w:val="auto"/>
                      <w:spacing w:val="0"/>
                      <w:szCs w:val="21"/>
                      <w:highlight w:val="none"/>
                      <w:lang w:val="en-US" w:eastAsia="zh-CN"/>
                    </w:rPr>
                    <w:t>26</w:t>
                  </w:r>
                  <w:r>
                    <w:rPr>
                      <w:rFonts w:hint="eastAsia" w:ascii="Times New Roman" w:hAnsi="Times New Roman" w:eastAsia="宋体" w:cs="宋体"/>
                      <w:color w:val="auto"/>
                      <w:spacing w:val="0"/>
                      <w:szCs w:val="21"/>
                      <w:highlight w:val="none"/>
                      <w:lang w:val="en-US" w:eastAsia="zh-CN"/>
                    </w:rPr>
                    <w:t>-</w:t>
                  </w:r>
                  <w:r>
                    <w:rPr>
                      <w:rFonts w:hint="eastAsia" w:cs="宋体"/>
                      <w:color w:val="auto"/>
                      <w:spacing w:val="0"/>
                      <w:szCs w:val="21"/>
                      <w:highlight w:val="none"/>
                      <w:lang w:val="en-US" w:eastAsia="zh-CN"/>
                    </w:rPr>
                    <w:t>48</w:t>
                  </w:r>
                </w:p>
              </w:tc>
              <w:tc>
                <w:tcPr>
                  <w:tcW w:w="422" w:type="pct"/>
                  <w:vAlign w:val="center"/>
                </w:tcPr>
                <w:p w14:paraId="3C2D1539">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18.0</w:t>
                  </w:r>
                </w:p>
              </w:tc>
              <w:tc>
                <w:tcPr>
                  <w:tcW w:w="674" w:type="pct"/>
                  <w:vMerge w:val="restart"/>
                  <w:vAlign w:val="center"/>
                </w:tcPr>
                <w:p w14:paraId="7BB40105">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ascii="Times New Roman" w:hAnsi="Times New Roman" w:eastAsia="宋体" w:cs="宋体"/>
                      <w:color w:val="auto"/>
                      <w:spacing w:val="0"/>
                      <w:szCs w:val="21"/>
                      <w:highlight w:val="none"/>
                    </w:rPr>
                    <w:t>委托有资质单位处置</w:t>
                  </w:r>
                </w:p>
              </w:tc>
            </w:tr>
            <w:tr w14:paraId="28E03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DE7B6D3">
                  <w:pPr>
                    <w:keepNext w:val="0"/>
                    <w:pageBreakBefore w:val="0"/>
                    <w:widowControl w:val="0"/>
                    <w:kinsoku/>
                    <w:wordWrap/>
                    <w:overflowPunct/>
                    <w:topLinePunct w:val="0"/>
                    <w:bidi w:val="0"/>
                    <w:adjustRightInd/>
                    <w:snapToGrid w:val="0"/>
                    <w:spacing w:line="320" w:lineRule="exact"/>
                    <w:jc w:val="center"/>
                    <w:textAlignment w:val="auto"/>
                    <w:rPr>
                      <w:rFonts w:hint="default" w:cs="宋体"/>
                      <w:color w:val="auto"/>
                      <w:spacing w:val="0"/>
                      <w:szCs w:val="21"/>
                      <w:highlight w:val="none"/>
                      <w:lang w:val="en-US" w:eastAsia="zh-CN"/>
                    </w:rPr>
                  </w:pPr>
                  <w:r>
                    <w:rPr>
                      <w:rFonts w:hint="eastAsia" w:cs="宋体"/>
                      <w:color w:val="auto"/>
                      <w:spacing w:val="0"/>
                      <w:szCs w:val="21"/>
                      <w:highlight w:val="none"/>
                      <w:lang w:val="en-US" w:eastAsia="zh-CN"/>
                    </w:rPr>
                    <w:t>脱模废液</w:t>
                  </w:r>
                </w:p>
              </w:tc>
              <w:tc>
                <w:tcPr>
                  <w:tcW w:w="273" w:type="pct"/>
                  <w:vMerge w:val="continue"/>
                  <w:vAlign w:val="center"/>
                </w:tcPr>
                <w:p w14:paraId="0F1E102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rPr>
                  </w:pPr>
                </w:p>
              </w:tc>
              <w:tc>
                <w:tcPr>
                  <w:tcW w:w="542" w:type="pct"/>
                  <w:vAlign w:val="center"/>
                </w:tcPr>
                <w:p w14:paraId="0D8E30F8">
                  <w:pPr>
                    <w:keepNext w:val="0"/>
                    <w:pageBreakBefore w:val="0"/>
                    <w:widowControl w:val="0"/>
                    <w:kinsoku/>
                    <w:wordWrap/>
                    <w:overflowPunct/>
                    <w:topLinePunct w:val="0"/>
                    <w:bidi w:val="0"/>
                    <w:adjustRightInd/>
                    <w:snapToGrid w:val="0"/>
                    <w:spacing w:line="320" w:lineRule="exact"/>
                    <w:jc w:val="center"/>
                    <w:textAlignment w:val="auto"/>
                    <w:rPr>
                      <w:rFonts w:hint="default" w:cs="宋体"/>
                      <w:color w:val="auto"/>
                      <w:spacing w:val="0"/>
                      <w:kern w:val="0"/>
                      <w:szCs w:val="21"/>
                      <w:highlight w:val="none"/>
                      <w:lang w:val="en-US" w:eastAsia="zh-CN"/>
                    </w:rPr>
                  </w:pPr>
                  <w:r>
                    <w:rPr>
                      <w:rFonts w:hint="eastAsia" w:cs="宋体"/>
                      <w:color w:val="auto"/>
                      <w:spacing w:val="0"/>
                      <w:kern w:val="0"/>
                      <w:szCs w:val="21"/>
                      <w:highlight w:val="none"/>
                      <w:lang w:val="en-US" w:eastAsia="zh-CN"/>
                    </w:rPr>
                    <w:t>脱模</w:t>
                  </w:r>
                </w:p>
              </w:tc>
              <w:tc>
                <w:tcPr>
                  <w:tcW w:w="273" w:type="pct"/>
                  <w:vAlign w:val="center"/>
                </w:tcPr>
                <w:p w14:paraId="762E3ACF">
                  <w:pPr>
                    <w:keepNext w:val="0"/>
                    <w:pageBreakBefore w:val="0"/>
                    <w:widowControl w:val="0"/>
                    <w:kinsoku/>
                    <w:wordWrap/>
                    <w:overflowPunct/>
                    <w:topLinePunct w:val="0"/>
                    <w:bidi w:val="0"/>
                    <w:adjustRightInd/>
                    <w:snapToGrid w:val="0"/>
                    <w:spacing w:line="320" w:lineRule="exact"/>
                    <w:jc w:val="center"/>
                    <w:textAlignment w:val="auto"/>
                    <w:rPr>
                      <w:rFonts w:hint="default" w:cs="宋体"/>
                      <w:color w:val="auto"/>
                      <w:spacing w:val="0"/>
                      <w:szCs w:val="21"/>
                      <w:highlight w:val="none"/>
                      <w:lang w:val="en-US" w:eastAsia="zh-CN"/>
                    </w:rPr>
                  </w:pPr>
                  <w:r>
                    <w:rPr>
                      <w:rFonts w:hint="eastAsia" w:cs="宋体"/>
                      <w:color w:val="auto"/>
                      <w:spacing w:val="0"/>
                      <w:szCs w:val="21"/>
                      <w:highlight w:val="none"/>
                      <w:lang w:val="en-US" w:eastAsia="zh-CN"/>
                    </w:rPr>
                    <w:t>液</w:t>
                  </w:r>
                </w:p>
              </w:tc>
              <w:tc>
                <w:tcPr>
                  <w:tcW w:w="942" w:type="pct"/>
                  <w:vAlign w:val="center"/>
                </w:tcPr>
                <w:p w14:paraId="45435747">
                  <w:pPr>
                    <w:keepNext w:val="0"/>
                    <w:pageBreakBefore w:val="0"/>
                    <w:widowControl w:val="0"/>
                    <w:kinsoku/>
                    <w:wordWrap/>
                    <w:overflowPunct/>
                    <w:topLinePunct w:val="0"/>
                    <w:bidi w:val="0"/>
                    <w:adjustRightInd/>
                    <w:snapToGrid w:val="0"/>
                    <w:spacing w:line="320" w:lineRule="exact"/>
                    <w:jc w:val="center"/>
                    <w:textAlignment w:val="auto"/>
                    <w:rPr>
                      <w:rFonts w:hint="eastAsia" w:cs="宋体"/>
                      <w:color w:val="auto"/>
                      <w:spacing w:val="0"/>
                      <w:szCs w:val="21"/>
                      <w:highlight w:val="none"/>
                      <w:lang w:val="en-US" w:eastAsia="zh-CN"/>
                    </w:rPr>
                  </w:pPr>
                  <w:r>
                    <w:rPr>
                      <w:rFonts w:hint="eastAsia" w:cs="宋体"/>
                      <w:color w:val="auto"/>
                      <w:spacing w:val="0"/>
                      <w:szCs w:val="21"/>
                      <w:highlight w:val="none"/>
                      <w:lang w:val="en-US" w:eastAsia="zh-CN"/>
                    </w:rPr>
                    <w:t>烃水混合物</w:t>
                  </w:r>
                </w:p>
              </w:tc>
              <w:tc>
                <w:tcPr>
                  <w:tcW w:w="362" w:type="pct"/>
                  <w:vAlign w:val="center"/>
                </w:tcPr>
                <w:p w14:paraId="002B2873">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704" w:type="pct"/>
                  <w:vAlign w:val="center"/>
                </w:tcPr>
                <w:p w14:paraId="41659E14">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007</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09</w:t>
                  </w:r>
                </w:p>
              </w:tc>
              <w:tc>
                <w:tcPr>
                  <w:tcW w:w="422" w:type="pct"/>
                  <w:vAlign w:val="center"/>
                </w:tcPr>
                <w:p w14:paraId="553F9413">
                  <w:pPr>
                    <w:keepNext w:val="0"/>
                    <w:pageBreakBefore w:val="0"/>
                    <w:widowControl w:val="0"/>
                    <w:kinsoku/>
                    <w:wordWrap/>
                    <w:overflowPunct/>
                    <w:topLinePunct w:val="0"/>
                    <w:bidi w:val="0"/>
                    <w:adjustRightInd/>
                    <w:snapToGrid w:val="0"/>
                    <w:spacing w:line="320" w:lineRule="exact"/>
                    <w:jc w:val="center"/>
                    <w:textAlignment w:val="auto"/>
                    <w:rPr>
                      <w:rFonts w:hint="default" w:cs="宋体"/>
                      <w:color w:val="auto"/>
                      <w:spacing w:val="0"/>
                      <w:szCs w:val="21"/>
                      <w:highlight w:val="none"/>
                      <w:lang w:val="en-US" w:eastAsia="zh-CN"/>
                    </w:rPr>
                  </w:pPr>
                  <w:r>
                    <w:rPr>
                      <w:rFonts w:hint="eastAsia" w:cs="宋体"/>
                      <w:color w:val="auto"/>
                      <w:spacing w:val="0"/>
                      <w:szCs w:val="21"/>
                      <w:highlight w:val="none"/>
                      <w:lang w:val="en-US" w:eastAsia="zh-CN"/>
                    </w:rPr>
                    <w:t>1.2</w:t>
                  </w:r>
                </w:p>
              </w:tc>
              <w:tc>
                <w:tcPr>
                  <w:tcW w:w="674" w:type="pct"/>
                  <w:vMerge w:val="continue"/>
                  <w:vAlign w:val="center"/>
                </w:tcPr>
                <w:p w14:paraId="1716FC17">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05EED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2202B8A7">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废乳化液</w:t>
                  </w:r>
                </w:p>
              </w:tc>
              <w:tc>
                <w:tcPr>
                  <w:tcW w:w="273" w:type="pct"/>
                  <w:vMerge w:val="continue"/>
                  <w:vAlign w:val="center"/>
                </w:tcPr>
                <w:p w14:paraId="6BA50C31">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vAlign w:val="center"/>
                </w:tcPr>
                <w:p w14:paraId="1B5DFD1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Cs w:val="21"/>
                      <w:highlight w:val="none"/>
                      <w:lang w:eastAsia="zh-CN"/>
                    </w:rPr>
                  </w:pPr>
                  <w:r>
                    <w:rPr>
                      <w:rFonts w:hint="eastAsia" w:cs="宋体"/>
                      <w:color w:val="auto"/>
                      <w:spacing w:val="0"/>
                      <w:kern w:val="0"/>
                      <w:szCs w:val="21"/>
                      <w:highlight w:val="none"/>
                      <w:lang w:val="en-US" w:eastAsia="zh-CN"/>
                    </w:rPr>
                    <w:t>机加工</w:t>
                  </w:r>
                </w:p>
              </w:tc>
              <w:tc>
                <w:tcPr>
                  <w:tcW w:w="273" w:type="pct"/>
                  <w:vAlign w:val="center"/>
                </w:tcPr>
                <w:p w14:paraId="4472351A">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液</w:t>
                  </w:r>
                </w:p>
              </w:tc>
              <w:tc>
                <w:tcPr>
                  <w:tcW w:w="942" w:type="pct"/>
                  <w:vAlign w:val="center"/>
                </w:tcPr>
                <w:p w14:paraId="30BBDA2A">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烃水混合物</w:t>
                  </w:r>
                </w:p>
              </w:tc>
              <w:tc>
                <w:tcPr>
                  <w:tcW w:w="362" w:type="pct"/>
                  <w:shd w:val="clear" w:color="auto" w:fill="auto"/>
                  <w:vAlign w:val="center"/>
                </w:tcPr>
                <w:p w14:paraId="2BC5473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09</w:t>
                  </w:r>
                </w:p>
              </w:tc>
              <w:tc>
                <w:tcPr>
                  <w:tcW w:w="704" w:type="pct"/>
                  <w:shd w:val="clear" w:color="auto" w:fill="auto"/>
                  <w:vAlign w:val="center"/>
                </w:tcPr>
                <w:p w14:paraId="62650928">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900</w:t>
                  </w:r>
                  <w:r>
                    <w:rPr>
                      <w:rFonts w:hint="eastAsia" w:ascii="Times New Roman" w:hAnsi="Times New Roman" w:eastAsia="宋体" w:cs="宋体"/>
                      <w:color w:val="auto"/>
                      <w:spacing w:val="0"/>
                      <w:szCs w:val="21"/>
                      <w:highlight w:val="none"/>
                      <w:lang w:val="en-US" w:eastAsia="zh-CN"/>
                    </w:rPr>
                    <w:t>-0</w:t>
                  </w:r>
                  <w:r>
                    <w:rPr>
                      <w:rFonts w:hint="eastAsia" w:cs="宋体"/>
                      <w:color w:val="auto"/>
                      <w:spacing w:val="0"/>
                      <w:szCs w:val="21"/>
                      <w:highlight w:val="none"/>
                      <w:lang w:val="en-US" w:eastAsia="zh-CN"/>
                    </w:rPr>
                    <w:t>06</w:t>
                  </w:r>
                  <w:r>
                    <w:rPr>
                      <w:rFonts w:hint="eastAsia" w:ascii="Times New Roman" w:hAnsi="Times New Roman" w:eastAsia="宋体" w:cs="宋体"/>
                      <w:color w:val="auto"/>
                      <w:spacing w:val="0"/>
                      <w:szCs w:val="21"/>
                      <w:highlight w:val="none"/>
                      <w:lang w:val="en-US" w:eastAsia="zh-CN"/>
                    </w:rPr>
                    <w:t>-</w:t>
                  </w:r>
                  <w:r>
                    <w:rPr>
                      <w:rFonts w:hint="eastAsia" w:cs="宋体"/>
                      <w:color w:val="auto"/>
                      <w:spacing w:val="0"/>
                      <w:szCs w:val="21"/>
                      <w:highlight w:val="none"/>
                      <w:lang w:val="en-US" w:eastAsia="zh-CN"/>
                    </w:rPr>
                    <w:t>09</w:t>
                  </w:r>
                </w:p>
              </w:tc>
              <w:tc>
                <w:tcPr>
                  <w:tcW w:w="422" w:type="pct"/>
                  <w:vAlign w:val="center"/>
                </w:tcPr>
                <w:p w14:paraId="4B15C121">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7.5</w:t>
                  </w:r>
                </w:p>
              </w:tc>
              <w:tc>
                <w:tcPr>
                  <w:tcW w:w="674" w:type="pct"/>
                  <w:vMerge w:val="continue"/>
                  <w:vAlign w:val="center"/>
                </w:tcPr>
                <w:p w14:paraId="2EECA130">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1E8C2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A466EAD">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RO浓液</w:t>
                  </w:r>
                </w:p>
              </w:tc>
              <w:tc>
                <w:tcPr>
                  <w:tcW w:w="273" w:type="pct"/>
                  <w:vMerge w:val="continue"/>
                  <w:vAlign w:val="center"/>
                </w:tcPr>
                <w:p w14:paraId="20087E1F">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vAlign w:val="center"/>
                </w:tcPr>
                <w:p w14:paraId="3C0380ED">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0"/>
                      <w:szCs w:val="21"/>
                      <w:highlight w:val="none"/>
                      <w:lang w:val="en-US" w:eastAsia="zh-CN"/>
                    </w:rPr>
                  </w:pPr>
                  <w:r>
                    <w:rPr>
                      <w:rFonts w:hint="eastAsia" w:cs="宋体"/>
                      <w:color w:val="auto"/>
                      <w:spacing w:val="0"/>
                      <w:kern w:val="0"/>
                      <w:szCs w:val="21"/>
                      <w:highlight w:val="none"/>
                      <w:lang w:val="en-US" w:eastAsia="zh-CN"/>
                    </w:rPr>
                    <w:t>废水处理</w:t>
                  </w:r>
                </w:p>
              </w:tc>
              <w:tc>
                <w:tcPr>
                  <w:tcW w:w="273" w:type="pct"/>
                  <w:vAlign w:val="center"/>
                </w:tcPr>
                <w:p w14:paraId="59F72572">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液</w:t>
                  </w:r>
                </w:p>
              </w:tc>
              <w:tc>
                <w:tcPr>
                  <w:tcW w:w="942" w:type="pct"/>
                  <w:vAlign w:val="center"/>
                </w:tcPr>
                <w:p w14:paraId="20498077">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cs="宋体"/>
                      <w:color w:val="auto"/>
                      <w:spacing w:val="0"/>
                      <w:szCs w:val="21"/>
                      <w:highlight w:val="none"/>
                      <w:lang w:val="en-US" w:eastAsia="zh-CN"/>
                    </w:rPr>
                    <w:t>烃水混合物</w:t>
                  </w:r>
                </w:p>
              </w:tc>
              <w:tc>
                <w:tcPr>
                  <w:tcW w:w="362" w:type="pct"/>
                  <w:vAlign w:val="center"/>
                </w:tcPr>
                <w:p w14:paraId="0ABF67B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704" w:type="pct"/>
                  <w:vAlign w:val="center"/>
                </w:tcPr>
                <w:p w14:paraId="02978C94">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007</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09</w:t>
                  </w:r>
                </w:p>
              </w:tc>
              <w:tc>
                <w:tcPr>
                  <w:tcW w:w="422" w:type="pct"/>
                  <w:vAlign w:val="center"/>
                </w:tcPr>
                <w:p w14:paraId="344A1901">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14.11</w:t>
                  </w:r>
                </w:p>
              </w:tc>
              <w:tc>
                <w:tcPr>
                  <w:tcW w:w="674" w:type="pct"/>
                  <w:vMerge w:val="continue"/>
                  <w:vAlign w:val="center"/>
                </w:tcPr>
                <w:p w14:paraId="4D7CA83B">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4B5F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ED5651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废过滤介质</w:t>
                  </w:r>
                </w:p>
              </w:tc>
              <w:tc>
                <w:tcPr>
                  <w:tcW w:w="273" w:type="pct"/>
                  <w:vMerge w:val="continue"/>
                  <w:vAlign w:val="center"/>
                </w:tcPr>
                <w:p w14:paraId="55FE777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shd w:val="clear" w:color="auto" w:fill="auto"/>
                  <w:vAlign w:val="center"/>
                </w:tcPr>
                <w:p w14:paraId="310B2073">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0"/>
                      <w:sz w:val="21"/>
                      <w:szCs w:val="21"/>
                      <w:highlight w:val="none"/>
                      <w:lang w:val="en-US" w:eastAsia="zh-CN" w:bidi="ar-SA"/>
                    </w:rPr>
                  </w:pPr>
                  <w:r>
                    <w:rPr>
                      <w:rFonts w:hint="eastAsia" w:cs="宋体"/>
                      <w:color w:val="auto"/>
                      <w:spacing w:val="0"/>
                      <w:kern w:val="0"/>
                      <w:szCs w:val="21"/>
                      <w:highlight w:val="none"/>
                      <w:lang w:val="en-US" w:eastAsia="zh-CN"/>
                    </w:rPr>
                    <w:t>废水处理</w:t>
                  </w:r>
                </w:p>
              </w:tc>
              <w:tc>
                <w:tcPr>
                  <w:tcW w:w="273" w:type="pct"/>
                  <w:vAlign w:val="center"/>
                </w:tcPr>
                <w:p w14:paraId="0F786899">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cs="宋体"/>
                      <w:color w:val="auto"/>
                      <w:spacing w:val="0"/>
                      <w:szCs w:val="21"/>
                      <w:highlight w:val="none"/>
                      <w:lang w:val="en-US" w:eastAsia="zh-CN"/>
                    </w:rPr>
                    <w:t>固</w:t>
                  </w:r>
                </w:p>
              </w:tc>
              <w:tc>
                <w:tcPr>
                  <w:tcW w:w="942" w:type="pct"/>
                  <w:vAlign w:val="center"/>
                </w:tcPr>
                <w:p w14:paraId="5BFF0BD9">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rPr>
                  </w:pPr>
                  <w:r>
                    <w:rPr>
                      <w:rFonts w:hint="eastAsia" w:cs="宋体"/>
                      <w:color w:val="auto"/>
                      <w:spacing w:val="0"/>
                      <w:szCs w:val="21"/>
                      <w:highlight w:val="none"/>
                      <w:lang w:val="en-US" w:eastAsia="zh-CN"/>
                    </w:rPr>
                    <w:t>RO膜、活性炭等</w:t>
                  </w:r>
                </w:p>
              </w:tc>
              <w:tc>
                <w:tcPr>
                  <w:tcW w:w="362" w:type="pct"/>
                  <w:vAlign w:val="center"/>
                </w:tcPr>
                <w:p w14:paraId="2514F10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49</w:t>
                  </w:r>
                </w:p>
              </w:tc>
              <w:tc>
                <w:tcPr>
                  <w:tcW w:w="704" w:type="pct"/>
                  <w:vAlign w:val="center"/>
                </w:tcPr>
                <w:p w14:paraId="32FD6F71">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041</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49</w:t>
                  </w:r>
                </w:p>
              </w:tc>
              <w:tc>
                <w:tcPr>
                  <w:tcW w:w="422" w:type="pct"/>
                  <w:vAlign w:val="center"/>
                </w:tcPr>
                <w:p w14:paraId="70FB870D">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0.2</w:t>
                  </w:r>
                </w:p>
              </w:tc>
              <w:tc>
                <w:tcPr>
                  <w:tcW w:w="674" w:type="pct"/>
                  <w:vMerge w:val="continue"/>
                  <w:vAlign w:val="center"/>
                </w:tcPr>
                <w:p w14:paraId="21ECF5A5">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5CF74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07E140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除尘渣</w:t>
                  </w:r>
                </w:p>
              </w:tc>
              <w:tc>
                <w:tcPr>
                  <w:tcW w:w="273" w:type="pct"/>
                  <w:vMerge w:val="continue"/>
                  <w:vAlign w:val="center"/>
                </w:tcPr>
                <w:p w14:paraId="28BEC31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shd w:val="clear" w:color="auto" w:fill="auto"/>
                  <w:vAlign w:val="center"/>
                </w:tcPr>
                <w:p w14:paraId="01FDE82D">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0"/>
                      <w:sz w:val="21"/>
                      <w:szCs w:val="21"/>
                      <w:highlight w:val="none"/>
                      <w:lang w:val="en-US" w:eastAsia="zh-CN" w:bidi="ar-SA"/>
                    </w:rPr>
                  </w:pPr>
                  <w:r>
                    <w:rPr>
                      <w:rFonts w:hint="eastAsia" w:ascii="Times New Roman" w:hAnsi="Times New Roman" w:eastAsia="宋体" w:cs="宋体"/>
                      <w:color w:val="auto"/>
                      <w:spacing w:val="0"/>
                      <w:szCs w:val="21"/>
                      <w:highlight w:val="none"/>
                    </w:rPr>
                    <w:t>废气处理</w:t>
                  </w:r>
                </w:p>
              </w:tc>
              <w:tc>
                <w:tcPr>
                  <w:tcW w:w="273" w:type="pct"/>
                  <w:vAlign w:val="center"/>
                </w:tcPr>
                <w:p w14:paraId="6E3BC2A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固</w:t>
                  </w:r>
                </w:p>
              </w:tc>
              <w:tc>
                <w:tcPr>
                  <w:tcW w:w="942" w:type="pct"/>
                  <w:vAlign w:val="center"/>
                </w:tcPr>
                <w:p w14:paraId="08E0F76D">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铝</w:t>
                  </w:r>
                </w:p>
              </w:tc>
              <w:tc>
                <w:tcPr>
                  <w:tcW w:w="362" w:type="pct"/>
                  <w:vAlign w:val="center"/>
                </w:tcPr>
                <w:p w14:paraId="0793A720">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ascii="Times New Roman" w:hAnsi="Times New Roman" w:eastAsia="宋体" w:cs="宋体"/>
                      <w:color w:val="auto"/>
                      <w:spacing w:val="0"/>
                      <w:szCs w:val="21"/>
                      <w:highlight w:val="none"/>
                    </w:rPr>
                    <w:t>HW4</w:t>
                  </w:r>
                  <w:r>
                    <w:rPr>
                      <w:rFonts w:hint="eastAsia" w:cs="宋体"/>
                      <w:color w:val="auto"/>
                      <w:spacing w:val="0"/>
                      <w:szCs w:val="21"/>
                      <w:highlight w:val="none"/>
                      <w:lang w:val="en-US" w:eastAsia="zh-CN"/>
                    </w:rPr>
                    <w:t>8</w:t>
                  </w:r>
                </w:p>
              </w:tc>
              <w:tc>
                <w:tcPr>
                  <w:tcW w:w="704" w:type="pct"/>
                  <w:vAlign w:val="center"/>
                </w:tcPr>
                <w:p w14:paraId="239AD3B7">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321</w:t>
                  </w:r>
                  <w:r>
                    <w:rPr>
                      <w:rFonts w:hint="eastAsia" w:ascii="Times New Roman" w:hAnsi="Times New Roman" w:eastAsia="宋体" w:cs="宋体"/>
                      <w:color w:val="auto"/>
                      <w:spacing w:val="0"/>
                      <w:szCs w:val="21"/>
                      <w:highlight w:val="none"/>
                    </w:rPr>
                    <w:t>-03</w:t>
                  </w:r>
                  <w:r>
                    <w:rPr>
                      <w:rFonts w:hint="eastAsia" w:cs="宋体"/>
                      <w:color w:val="auto"/>
                      <w:spacing w:val="0"/>
                      <w:szCs w:val="21"/>
                      <w:highlight w:val="none"/>
                      <w:lang w:val="en-US" w:eastAsia="zh-CN"/>
                    </w:rPr>
                    <w:t>4</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48</w:t>
                  </w:r>
                </w:p>
              </w:tc>
              <w:tc>
                <w:tcPr>
                  <w:tcW w:w="422" w:type="pct"/>
                  <w:vAlign w:val="center"/>
                </w:tcPr>
                <w:p w14:paraId="4B2934CF">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0.606</w:t>
                  </w:r>
                </w:p>
              </w:tc>
              <w:tc>
                <w:tcPr>
                  <w:tcW w:w="674" w:type="pct"/>
                  <w:vMerge w:val="continue"/>
                  <w:vAlign w:val="center"/>
                </w:tcPr>
                <w:p w14:paraId="0EB181C3">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794BD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D12913B">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cs="宋体"/>
                      <w:color w:val="auto"/>
                      <w:spacing w:val="0"/>
                      <w:szCs w:val="21"/>
                      <w:highlight w:val="none"/>
                      <w:lang w:val="en-US" w:eastAsia="zh-CN"/>
                    </w:rPr>
                    <w:t>废活性炭</w:t>
                  </w:r>
                </w:p>
              </w:tc>
              <w:tc>
                <w:tcPr>
                  <w:tcW w:w="273" w:type="pct"/>
                  <w:vMerge w:val="continue"/>
                  <w:vAlign w:val="center"/>
                </w:tcPr>
                <w:p w14:paraId="4E6B9BC3">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shd w:val="clear" w:color="auto" w:fill="auto"/>
                  <w:vAlign w:val="center"/>
                </w:tcPr>
                <w:p w14:paraId="13B367C8">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废气处理</w:t>
                  </w:r>
                </w:p>
              </w:tc>
              <w:tc>
                <w:tcPr>
                  <w:tcW w:w="273" w:type="pct"/>
                  <w:vAlign w:val="center"/>
                </w:tcPr>
                <w:p w14:paraId="5857F833">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ascii="Times New Roman" w:hAnsi="Times New Roman" w:eastAsia="宋体" w:cs="宋体"/>
                      <w:color w:val="auto"/>
                      <w:spacing w:val="0"/>
                      <w:szCs w:val="21"/>
                      <w:highlight w:val="none"/>
                    </w:rPr>
                    <w:t>固</w:t>
                  </w:r>
                </w:p>
              </w:tc>
              <w:tc>
                <w:tcPr>
                  <w:tcW w:w="942" w:type="pct"/>
                  <w:vAlign w:val="center"/>
                </w:tcPr>
                <w:p w14:paraId="56F87A0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smallCaps w:val="0"/>
                      <w:color w:val="auto"/>
                      <w:spacing w:val="0"/>
                      <w:szCs w:val="21"/>
                      <w:highlight w:val="none"/>
                      <w:lang w:val="en-US" w:eastAsia="zh-CN"/>
                    </w:rPr>
                    <w:t>活性炭、有机物</w:t>
                  </w:r>
                </w:p>
              </w:tc>
              <w:tc>
                <w:tcPr>
                  <w:tcW w:w="362" w:type="pct"/>
                  <w:vAlign w:val="center"/>
                </w:tcPr>
                <w:p w14:paraId="11E13A21">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HW49</w:t>
                  </w:r>
                </w:p>
              </w:tc>
              <w:tc>
                <w:tcPr>
                  <w:tcW w:w="704" w:type="pct"/>
                  <w:vAlign w:val="center"/>
                </w:tcPr>
                <w:p w14:paraId="10AFA7F7">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900-0</w:t>
                  </w:r>
                  <w:r>
                    <w:rPr>
                      <w:rFonts w:hint="eastAsia" w:ascii="Times New Roman" w:hAnsi="Times New Roman" w:eastAsia="宋体" w:cs="宋体"/>
                      <w:color w:val="auto"/>
                      <w:spacing w:val="0"/>
                      <w:szCs w:val="21"/>
                      <w:highlight w:val="none"/>
                      <w:lang w:val="en-US" w:eastAsia="zh-CN"/>
                    </w:rPr>
                    <w:t>39</w:t>
                  </w:r>
                  <w:r>
                    <w:rPr>
                      <w:rFonts w:hint="eastAsia" w:ascii="Times New Roman" w:hAnsi="Times New Roman" w:eastAsia="宋体" w:cs="宋体"/>
                      <w:color w:val="auto"/>
                      <w:spacing w:val="0"/>
                      <w:szCs w:val="21"/>
                      <w:highlight w:val="none"/>
                    </w:rPr>
                    <w:t>-49</w:t>
                  </w:r>
                </w:p>
              </w:tc>
              <w:tc>
                <w:tcPr>
                  <w:tcW w:w="422" w:type="pct"/>
                  <w:vAlign w:val="center"/>
                </w:tcPr>
                <w:p w14:paraId="67E1C632">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5.4</w:t>
                  </w:r>
                </w:p>
              </w:tc>
              <w:tc>
                <w:tcPr>
                  <w:tcW w:w="674" w:type="pct"/>
                  <w:vMerge w:val="continue"/>
                  <w:vAlign w:val="center"/>
                </w:tcPr>
                <w:p w14:paraId="7EFAA811">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2AD36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91E095A">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废矿物油</w:t>
                  </w:r>
                </w:p>
              </w:tc>
              <w:tc>
                <w:tcPr>
                  <w:tcW w:w="273" w:type="pct"/>
                  <w:vMerge w:val="continue"/>
                  <w:vAlign w:val="center"/>
                </w:tcPr>
                <w:p w14:paraId="4FB13B58">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shd w:val="clear" w:color="auto" w:fill="auto"/>
                  <w:vAlign w:val="center"/>
                </w:tcPr>
                <w:p w14:paraId="5FD1F270">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设备维护废气处理</w:t>
                  </w:r>
                </w:p>
              </w:tc>
              <w:tc>
                <w:tcPr>
                  <w:tcW w:w="273" w:type="pct"/>
                  <w:vAlign w:val="center"/>
                </w:tcPr>
                <w:p w14:paraId="46A2FBBC">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液</w:t>
                  </w:r>
                </w:p>
              </w:tc>
              <w:tc>
                <w:tcPr>
                  <w:tcW w:w="942" w:type="pct"/>
                  <w:vAlign w:val="center"/>
                </w:tcPr>
                <w:p w14:paraId="1BD0739E">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smallCaps w:val="0"/>
                      <w:color w:val="auto"/>
                      <w:spacing w:val="0"/>
                      <w:szCs w:val="21"/>
                      <w:highlight w:val="none"/>
                      <w:lang w:val="en-US" w:eastAsia="zh-CN"/>
                    </w:rPr>
                    <w:t>矿物油</w:t>
                  </w:r>
                </w:p>
              </w:tc>
              <w:tc>
                <w:tcPr>
                  <w:tcW w:w="362" w:type="pct"/>
                  <w:vAlign w:val="center"/>
                </w:tcPr>
                <w:p w14:paraId="23BA6172">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ascii="Times New Roman" w:hAnsi="Times New Roman" w:eastAsia="宋体"/>
                      <w:smallCaps w:val="0"/>
                      <w:color w:val="auto"/>
                      <w:spacing w:val="0"/>
                      <w:szCs w:val="21"/>
                      <w:highlight w:val="none"/>
                    </w:rPr>
                    <w:t>HW0</w:t>
                  </w:r>
                  <w:r>
                    <w:rPr>
                      <w:rFonts w:hint="eastAsia"/>
                      <w:smallCaps w:val="0"/>
                      <w:color w:val="auto"/>
                      <w:spacing w:val="0"/>
                      <w:szCs w:val="21"/>
                      <w:highlight w:val="none"/>
                      <w:lang w:val="en-US" w:eastAsia="zh-CN"/>
                    </w:rPr>
                    <w:t>8</w:t>
                  </w:r>
                </w:p>
              </w:tc>
              <w:tc>
                <w:tcPr>
                  <w:tcW w:w="704" w:type="pct"/>
                  <w:vAlign w:val="center"/>
                </w:tcPr>
                <w:p w14:paraId="4A982DA5">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eastAsia="zh-CN"/>
                    </w:rPr>
                  </w:pPr>
                  <w:r>
                    <w:rPr>
                      <w:rFonts w:hint="eastAsia" w:ascii="Times New Roman" w:hAnsi="Times New Roman" w:eastAsia="宋体"/>
                      <w:smallCaps w:val="0"/>
                      <w:color w:val="auto"/>
                      <w:spacing w:val="0"/>
                      <w:szCs w:val="21"/>
                      <w:highlight w:val="none"/>
                    </w:rPr>
                    <w:t>900-</w:t>
                  </w:r>
                  <w:r>
                    <w:rPr>
                      <w:rFonts w:hint="eastAsia"/>
                      <w:smallCaps w:val="0"/>
                      <w:color w:val="auto"/>
                      <w:spacing w:val="0"/>
                      <w:szCs w:val="21"/>
                      <w:highlight w:val="none"/>
                      <w:lang w:val="en-US" w:eastAsia="zh-CN"/>
                    </w:rPr>
                    <w:t>249</w:t>
                  </w:r>
                  <w:r>
                    <w:rPr>
                      <w:rFonts w:hint="eastAsia" w:ascii="Times New Roman" w:hAnsi="Times New Roman" w:eastAsia="宋体"/>
                      <w:smallCaps w:val="0"/>
                      <w:color w:val="auto"/>
                      <w:spacing w:val="0"/>
                      <w:szCs w:val="21"/>
                      <w:highlight w:val="none"/>
                    </w:rPr>
                    <w:t>-0</w:t>
                  </w:r>
                  <w:r>
                    <w:rPr>
                      <w:rFonts w:hint="eastAsia"/>
                      <w:smallCaps w:val="0"/>
                      <w:color w:val="auto"/>
                      <w:spacing w:val="0"/>
                      <w:szCs w:val="21"/>
                      <w:highlight w:val="none"/>
                      <w:lang w:val="en-US" w:eastAsia="zh-CN"/>
                    </w:rPr>
                    <w:t>8</w:t>
                  </w:r>
                </w:p>
              </w:tc>
              <w:tc>
                <w:tcPr>
                  <w:tcW w:w="422" w:type="pct"/>
                  <w:vAlign w:val="center"/>
                </w:tcPr>
                <w:p w14:paraId="77B55A61">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2.675</w:t>
                  </w:r>
                </w:p>
              </w:tc>
              <w:tc>
                <w:tcPr>
                  <w:tcW w:w="674" w:type="pct"/>
                  <w:vMerge w:val="continue"/>
                  <w:vAlign w:val="center"/>
                </w:tcPr>
                <w:p w14:paraId="1202C03A">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3B4C6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03A825A5">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lang w:val="en-US" w:eastAsia="zh-CN"/>
                    </w:rPr>
                    <w:t>废包装桶</w:t>
                  </w:r>
                </w:p>
              </w:tc>
              <w:tc>
                <w:tcPr>
                  <w:tcW w:w="273" w:type="pct"/>
                  <w:vMerge w:val="continue"/>
                  <w:vAlign w:val="center"/>
                </w:tcPr>
                <w:p w14:paraId="2DD31E67">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c>
                <w:tcPr>
                  <w:tcW w:w="542" w:type="pct"/>
                  <w:shd w:val="clear" w:color="auto" w:fill="auto"/>
                  <w:vAlign w:val="center"/>
                </w:tcPr>
                <w:p w14:paraId="04B19B03">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原料包装</w:t>
                  </w:r>
                </w:p>
              </w:tc>
              <w:tc>
                <w:tcPr>
                  <w:tcW w:w="273" w:type="pct"/>
                  <w:vAlign w:val="center"/>
                </w:tcPr>
                <w:p w14:paraId="7896A1EF">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固</w:t>
                  </w:r>
                </w:p>
              </w:tc>
              <w:tc>
                <w:tcPr>
                  <w:tcW w:w="942" w:type="pct"/>
                  <w:vAlign w:val="center"/>
                </w:tcPr>
                <w:p w14:paraId="28B249F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铁、塑料等</w:t>
                  </w:r>
                </w:p>
              </w:tc>
              <w:tc>
                <w:tcPr>
                  <w:tcW w:w="362" w:type="pct"/>
                  <w:vAlign w:val="center"/>
                </w:tcPr>
                <w:p w14:paraId="0B813E6D">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HW49</w:t>
                  </w:r>
                </w:p>
              </w:tc>
              <w:tc>
                <w:tcPr>
                  <w:tcW w:w="704" w:type="pct"/>
                  <w:vAlign w:val="center"/>
                </w:tcPr>
                <w:p w14:paraId="79C58119">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900-041-49</w:t>
                  </w:r>
                </w:p>
              </w:tc>
              <w:tc>
                <w:tcPr>
                  <w:tcW w:w="422" w:type="pct"/>
                  <w:vAlign w:val="center"/>
                </w:tcPr>
                <w:p w14:paraId="0D46BA1D">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ascii="Times New Roman" w:hAnsi="Times New Roman" w:eastAsia="宋体" w:cs="宋体"/>
                      <w:color w:val="auto"/>
                      <w:spacing w:val="0"/>
                      <w:szCs w:val="21"/>
                      <w:highlight w:val="none"/>
                      <w:lang w:val="en-US" w:eastAsia="zh-CN"/>
                    </w:rPr>
                    <w:t>0.</w:t>
                  </w:r>
                  <w:r>
                    <w:rPr>
                      <w:rFonts w:hint="eastAsia" w:cs="宋体"/>
                      <w:color w:val="auto"/>
                      <w:spacing w:val="0"/>
                      <w:szCs w:val="21"/>
                      <w:highlight w:val="none"/>
                      <w:lang w:val="en-US" w:eastAsia="zh-CN"/>
                    </w:rPr>
                    <w:t>28</w:t>
                  </w:r>
                </w:p>
              </w:tc>
              <w:tc>
                <w:tcPr>
                  <w:tcW w:w="674" w:type="pct"/>
                  <w:vMerge w:val="continue"/>
                  <w:vAlign w:val="center"/>
                </w:tcPr>
                <w:p w14:paraId="24D597F1">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p>
              </w:tc>
            </w:tr>
            <w:tr w14:paraId="0F56D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3D35BFA">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lang w:val="en-US" w:eastAsia="zh-CN"/>
                    </w:rPr>
                    <w:t>含油劳保用品</w:t>
                  </w:r>
                </w:p>
              </w:tc>
              <w:tc>
                <w:tcPr>
                  <w:tcW w:w="273" w:type="pct"/>
                  <w:vAlign w:val="center"/>
                </w:tcPr>
                <w:p w14:paraId="1B39EBA2">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w:t>
                  </w:r>
                </w:p>
              </w:tc>
              <w:tc>
                <w:tcPr>
                  <w:tcW w:w="542" w:type="pct"/>
                  <w:vAlign w:val="center"/>
                </w:tcPr>
                <w:p w14:paraId="0BA6A0CA">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0"/>
                      <w:szCs w:val="21"/>
                      <w:highlight w:val="none"/>
                    </w:rPr>
                  </w:pPr>
                  <w:r>
                    <w:rPr>
                      <w:rFonts w:hint="eastAsia" w:cs="宋体"/>
                      <w:color w:val="auto"/>
                      <w:spacing w:val="0"/>
                      <w:szCs w:val="21"/>
                      <w:highlight w:val="none"/>
                      <w:lang w:val="en-US" w:eastAsia="zh-CN"/>
                    </w:rPr>
                    <w:t>设备维护</w:t>
                  </w:r>
                </w:p>
              </w:tc>
              <w:tc>
                <w:tcPr>
                  <w:tcW w:w="273" w:type="pct"/>
                  <w:vAlign w:val="center"/>
                </w:tcPr>
                <w:p w14:paraId="5008C7D7">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固</w:t>
                  </w:r>
                </w:p>
              </w:tc>
              <w:tc>
                <w:tcPr>
                  <w:tcW w:w="942" w:type="pct"/>
                  <w:vAlign w:val="center"/>
                </w:tcPr>
                <w:p w14:paraId="70D89053">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rPr>
                  </w:pPr>
                  <w:r>
                    <w:rPr>
                      <w:rFonts w:hint="eastAsia"/>
                      <w:smallCaps w:val="0"/>
                      <w:color w:val="auto"/>
                      <w:spacing w:val="0"/>
                      <w:szCs w:val="21"/>
                      <w:highlight w:val="none"/>
                      <w:lang w:val="en-US" w:eastAsia="zh-CN"/>
                    </w:rPr>
                    <w:t>矿物油、棉</w:t>
                  </w:r>
                </w:p>
              </w:tc>
              <w:tc>
                <w:tcPr>
                  <w:tcW w:w="362" w:type="pct"/>
                  <w:vAlign w:val="center"/>
                </w:tcPr>
                <w:p w14:paraId="167443B0">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HW49</w:t>
                  </w:r>
                </w:p>
              </w:tc>
              <w:tc>
                <w:tcPr>
                  <w:tcW w:w="704" w:type="pct"/>
                  <w:vAlign w:val="center"/>
                </w:tcPr>
                <w:p w14:paraId="67CAF1CB">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900-041-49</w:t>
                  </w:r>
                </w:p>
              </w:tc>
              <w:tc>
                <w:tcPr>
                  <w:tcW w:w="422" w:type="pct"/>
                  <w:vAlign w:val="center"/>
                </w:tcPr>
                <w:p w14:paraId="582772C3">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szCs w:val="21"/>
                      <w:highlight w:val="none"/>
                      <w:lang w:val="en-US" w:eastAsia="zh-CN"/>
                    </w:rPr>
                  </w:pPr>
                  <w:r>
                    <w:rPr>
                      <w:rFonts w:hint="eastAsia" w:cs="宋体"/>
                      <w:color w:val="auto"/>
                      <w:spacing w:val="0"/>
                      <w:szCs w:val="21"/>
                      <w:highlight w:val="none"/>
                      <w:lang w:val="en-US" w:eastAsia="zh-CN"/>
                    </w:rPr>
                    <w:t>0.01</w:t>
                  </w:r>
                </w:p>
              </w:tc>
              <w:tc>
                <w:tcPr>
                  <w:tcW w:w="674" w:type="pct"/>
                  <w:vAlign w:val="center"/>
                </w:tcPr>
                <w:p w14:paraId="534BE25F">
                  <w:pPr>
                    <w:keepNext w:val="0"/>
                    <w:pageBreakBefore w:val="0"/>
                    <w:widowControl w:val="0"/>
                    <w:kinsoku/>
                    <w:wordWrap/>
                    <w:overflowPunct/>
                    <w:topLinePunct w:val="0"/>
                    <w:autoSpaceDE w:val="0"/>
                    <w:autoSpaceDN w:val="0"/>
                    <w:bidi w:val="0"/>
                    <w:adjustRightInd/>
                    <w:snapToGrid w:val="0"/>
                    <w:spacing w:line="320" w:lineRule="exact"/>
                    <w:jc w:val="center"/>
                    <w:textAlignment w:val="auto"/>
                    <w:rPr>
                      <w:rFonts w:ascii="Times New Roman" w:hAnsi="Times New Roman" w:eastAsia="宋体" w:cs="宋体"/>
                      <w:color w:val="auto"/>
                      <w:spacing w:val="0"/>
                      <w:szCs w:val="21"/>
                      <w:highlight w:val="none"/>
                    </w:rPr>
                  </w:pPr>
                  <w:r>
                    <w:rPr>
                      <w:rFonts w:hint="eastAsia" w:ascii="Times New Roman" w:hAnsi="Times New Roman" w:eastAsia="宋体" w:cs="宋体"/>
                      <w:color w:val="auto"/>
                      <w:spacing w:val="0"/>
                      <w:szCs w:val="21"/>
                      <w:highlight w:val="none"/>
                    </w:rPr>
                    <w:t>环卫清运</w:t>
                  </w:r>
                </w:p>
              </w:tc>
            </w:tr>
          </w:tbl>
          <w:p w14:paraId="64FD3499">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4.4-</w:t>
            </w:r>
            <w:r>
              <w:rPr>
                <w:rFonts w:hint="eastAsia" w:ascii="Times New Roman" w:hAnsi="Times New Roman" w:eastAsia="宋体" w:cs="宋体"/>
                <w:b/>
                <w:bCs/>
                <w:color w:val="auto"/>
                <w:spacing w:val="-4"/>
                <w:szCs w:val="21"/>
                <w:highlight w:val="none"/>
                <w:lang w:val="en-US" w:eastAsia="zh-CN"/>
              </w:rPr>
              <w:t>2</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全厂项目</w:t>
            </w:r>
            <w:r>
              <w:rPr>
                <w:rFonts w:ascii="Times New Roman" w:hAnsi="Times New Roman" w:eastAsia="宋体" w:cs="宋体"/>
                <w:b/>
                <w:bCs/>
                <w:color w:val="auto"/>
                <w:spacing w:val="-4"/>
                <w:szCs w:val="21"/>
                <w:highlight w:val="none"/>
              </w:rPr>
              <w:t>固体废物分析结果汇总表</w:t>
            </w:r>
          </w:p>
          <w:tbl>
            <w:tblPr>
              <w:tblStyle w:val="21"/>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6"/>
              <w:gridCol w:w="461"/>
              <w:gridCol w:w="915"/>
              <w:gridCol w:w="461"/>
              <w:gridCol w:w="1590"/>
              <w:gridCol w:w="611"/>
              <w:gridCol w:w="1188"/>
              <w:gridCol w:w="712"/>
              <w:gridCol w:w="1137"/>
            </w:tblGrid>
            <w:tr w14:paraId="63E90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51419FEA">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固废名称</w:t>
                  </w:r>
                </w:p>
              </w:tc>
              <w:tc>
                <w:tcPr>
                  <w:tcW w:w="273" w:type="pct"/>
                  <w:vAlign w:val="center"/>
                </w:tcPr>
                <w:p w14:paraId="5BBC5DAD">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属性</w:t>
                  </w:r>
                </w:p>
              </w:tc>
              <w:tc>
                <w:tcPr>
                  <w:tcW w:w="542" w:type="pct"/>
                  <w:vAlign w:val="center"/>
                </w:tcPr>
                <w:p w14:paraId="1227AA11">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产生工序</w:t>
                  </w:r>
                </w:p>
              </w:tc>
              <w:tc>
                <w:tcPr>
                  <w:tcW w:w="273" w:type="pct"/>
                  <w:vAlign w:val="center"/>
                </w:tcPr>
                <w:p w14:paraId="0AB5CEDB">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形态</w:t>
                  </w:r>
                </w:p>
              </w:tc>
              <w:tc>
                <w:tcPr>
                  <w:tcW w:w="942" w:type="pct"/>
                  <w:vAlign w:val="center"/>
                </w:tcPr>
                <w:p w14:paraId="7B8E7EB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主要成分</w:t>
                  </w:r>
                </w:p>
              </w:tc>
              <w:tc>
                <w:tcPr>
                  <w:tcW w:w="362" w:type="pct"/>
                  <w:vAlign w:val="center"/>
                </w:tcPr>
                <w:p w14:paraId="700BDA6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废物类别</w:t>
                  </w:r>
                </w:p>
              </w:tc>
              <w:tc>
                <w:tcPr>
                  <w:tcW w:w="704" w:type="pct"/>
                  <w:vAlign w:val="center"/>
                </w:tcPr>
                <w:p w14:paraId="6CACE9F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废物代码</w:t>
                  </w:r>
                </w:p>
              </w:tc>
              <w:tc>
                <w:tcPr>
                  <w:tcW w:w="422" w:type="pct"/>
                  <w:vAlign w:val="center"/>
                </w:tcPr>
                <w:p w14:paraId="74C3E3B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预测产生量（t/a）</w:t>
                  </w:r>
                </w:p>
              </w:tc>
              <w:tc>
                <w:tcPr>
                  <w:tcW w:w="674" w:type="pct"/>
                  <w:vAlign w:val="center"/>
                </w:tcPr>
                <w:p w14:paraId="6FDCFB7A">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b/>
                      <w:color w:val="auto"/>
                      <w:szCs w:val="21"/>
                      <w:highlight w:val="none"/>
                    </w:rPr>
                  </w:pPr>
                  <w:r>
                    <w:rPr>
                      <w:rFonts w:hint="eastAsia" w:ascii="Times New Roman" w:hAnsi="Times New Roman" w:eastAsia="宋体" w:cs="宋体"/>
                      <w:b/>
                      <w:color w:val="auto"/>
                      <w:szCs w:val="21"/>
                      <w:highlight w:val="none"/>
                    </w:rPr>
                    <w:t>处置方式及去向</w:t>
                  </w:r>
                </w:p>
              </w:tc>
            </w:tr>
            <w:tr w14:paraId="205CF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A805FAA">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废打磨</w:t>
                  </w:r>
                  <w:r>
                    <w:rPr>
                      <w:rFonts w:hint="eastAsia" w:ascii="Times New Roman" w:hAnsi="Times New Roman" w:eastAsia="宋体" w:cs="宋体"/>
                      <w:color w:val="auto"/>
                      <w:szCs w:val="21"/>
                      <w:highlight w:val="none"/>
                    </w:rPr>
                    <w:t>边角料</w:t>
                  </w:r>
                </w:p>
              </w:tc>
              <w:tc>
                <w:tcPr>
                  <w:tcW w:w="273" w:type="pct"/>
                  <w:vMerge w:val="restart"/>
                  <w:vAlign w:val="center"/>
                </w:tcPr>
                <w:p w14:paraId="212D8DA4">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一般</w:t>
                  </w:r>
                </w:p>
                <w:p w14:paraId="4366381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固废</w:t>
                  </w:r>
                </w:p>
              </w:tc>
              <w:tc>
                <w:tcPr>
                  <w:tcW w:w="542" w:type="pct"/>
                  <w:vAlign w:val="center"/>
                </w:tcPr>
                <w:p w14:paraId="6C48F5FD">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打磨</w:t>
                  </w:r>
                </w:p>
              </w:tc>
              <w:tc>
                <w:tcPr>
                  <w:tcW w:w="273" w:type="pct"/>
                  <w:vAlign w:val="center"/>
                </w:tcPr>
                <w:p w14:paraId="244D8BF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固</w:t>
                  </w:r>
                </w:p>
              </w:tc>
              <w:tc>
                <w:tcPr>
                  <w:tcW w:w="942" w:type="pct"/>
                  <w:vAlign w:val="center"/>
                </w:tcPr>
                <w:p w14:paraId="7A8773E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铝</w:t>
                  </w:r>
                </w:p>
              </w:tc>
              <w:tc>
                <w:tcPr>
                  <w:tcW w:w="362" w:type="pct"/>
                  <w:vAlign w:val="center"/>
                </w:tcPr>
                <w:p w14:paraId="15F23036">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25F778D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rPr>
                    <w:t>-S17</w:t>
                  </w:r>
                </w:p>
              </w:tc>
              <w:tc>
                <w:tcPr>
                  <w:tcW w:w="422" w:type="pct"/>
                  <w:vAlign w:val="center"/>
                </w:tcPr>
                <w:p w14:paraId="77FC22B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30</w:t>
                  </w:r>
                </w:p>
              </w:tc>
              <w:tc>
                <w:tcPr>
                  <w:tcW w:w="674" w:type="pct"/>
                  <w:vAlign w:val="center"/>
                </w:tcPr>
                <w:p w14:paraId="0DFB2FA3">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回用于熔化工序</w:t>
                  </w:r>
                </w:p>
              </w:tc>
            </w:tr>
            <w:tr w14:paraId="67B09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EBC71E5">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废机加工</w:t>
                  </w:r>
                </w:p>
                <w:p w14:paraId="3989B9C4">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边角料</w:t>
                  </w:r>
                </w:p>
              </w:tc>
              <w:tc>
                <w:tcPr>
                  <w:tcW w:w="273" w:type="pct"/>
                  <w:vMerge w:val="continue"/>
                  <w:vAlign w:val="center"/>
                </w:tcPr>
                <w:p w14:paraId="4ADF7CB4">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34D2F3FA">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机加工</w:t>
                  </w:r>
                </w:p>
              </w:tc>
              <w:tc>
                <w:tcPr>
                  <w:tcW w:w="273" w:type="pct"/>
                  <w:vAlign w:val="center"/>
                </w:tcPr>
                <w:p w14:paraId="56C59E6B">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w:t>
                  </w:r>
                </w:p>
              </w:tc>
              <w:tc>
                <w:tcPr>
                  <w:tcW w:w="942" w:type="pct"/>
                  <w:vAlign w:val="center"/>
                </w:tcPr>
                <w:p w14:paraId="1572254F">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铝</w:t>
                  </w:r>
                </w:p>
              </w:tc>
              <w:tc>
                <w:tcPr>
                  <w:tcW w:w="362" w:type="pct"/>
                  <w:vAlign w:val="center"/>
                </w:tcPr>
                <w:p w14:paraId="2D9F67D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026EA83F">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900-00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lang w:val="en-US" w:eastAsia="zh-CN"/>
                    </w:rPr>
                    <w:t>-S17</w:t>
                  </w:r>
                </w:p>
              </w:tc>
              <w:tc>
                <w:tcPr>
                  <w:tcW w:w="422" w:type="pct"/>
                  <w:vAlign w:val="center"/>
                </w:tcPr>
                <w:p w14:paraId="7B9FDB13">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w:t>
                  </w:r>
                </w:p>
              </w:tc>
              <w:tc>
                <w:tcPr>
                  <w:tcW w:w="674" w:type="pct"/>
                  <w:vAlign w:val="center"/>
                </w:tcPr>
                <w:p w14:paraId="6501291D">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外售综合</w:t>
                  </w:r>
                </w:p>
                <w:p w14:paraId="6850EB2D">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利用</w:t>
                  </w:r>
                </w:p>
              </w:tc>
            </w:tr>
            <w:tr w14:paraId="7579A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5F13DDCB">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不合格品</w:t>
                  </w:r>
                </w:p>
              </w:tc>
              <w:tc>
                <w:tcPr>
                  <w:tcW w:w="273" w:type="pct"/>
                  <w:vMerge w:val="continue"/>
                  <w:vAlign w:val="center"/>
                </w:tcPr>
                <w:p w14:paraId="72D7C21D">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74875BC2">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检验</w:t>
                  </w:r>
                </w:p>
              </w:tc>
              <w:tc>
                <w:tcPr>
                  <w:tcW w:w="273" w:type="pct"/>
                  <w:vAlign w:val="center"/>
                </w:tcPr>
                <w:p w14:paraId="5C3730BC">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w:t>
                  </w:r>
                </w:p>
              </w:tc>
              <w:tc>
                <w:tcPr>
                  <w:tcW w:w="942" w:type="pct"/>
                  <w:vAlign w:val="center"/>
                </w:tcPr>
                <w:p w14:paraId="5B540DE2">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铝</w:t>
                  </w:r>
                </w:p>
              </w:tc>
              <w:tc>
                <w:tcPr>
                  <w:tcW w:w="362" w:type="pct"/>
                  <w:vAlign w:val="center"/>
                </w:tcPr>
                <w:p w14:paraId="166AAAA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577B7D7C">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900-00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rPr>
                    <w:t>-S17</w:t>
                  </w:r>
                </w:p>
              </w:tc>
              <w:tc>
                <w:tcPr>
                  <w:tcW w:w="422" w:type="pct"/>
                  <w:vAlign w:val="center"/>
                </w:tcPr>
                <w:p w14:paraId="60C3D793">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6</w:t>
                  </w:r>
                </w:p>
              </w:tc>
              <w:tc>
                <w:tcPr>
                  <w:tcW w:w="674" w:type="pct"/>
                  <w:vAlign w:val="center"/>
                </w:tcPr>
                <w:p w14:paraId="686A68A4">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回用于熔化工序</w:t>
                  </w:r>
                </w:p>
              </w:tc>
            </w:tr>
            <w:tr w14:paraId="34CC0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36A025C7">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废包装袋</w:t>
                  </w:r>
                </w:p>
              </w:tc>
              <w:tc>
                <w:tcPr>
                  <w:tcW w:w="273" w:type="pct"/>
                  <w:vMerge w:val="continue"/>
                  <w:vAlign w:val="center"/>
                </w:tcPr>
                <w:p w14:paraId="5EE04502">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1A1FFC3E">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包装</w:t>
                  </w:r>
                </w:p>
              </w:tc>
              <w:tc>
                <w:tcPr>
                  <w:tcW w:w="273" w:type="pct"/>
                  <w:vAlign w:val="center"/>
                </w:tcPr>
                <w:p w14:paraId="29588C1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固</w:t>
                  </w:r>
                </w:p>
              </w:tc>
              <w:tc>
                <w:tcPr>
                  <w:tcW w:w="942" w:type="pct"/>
                  <w:vAlign w:val="center"/>
                </w:tcPr>
                <w:p w14:paraId="2A9FEE52">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塑料</w:t>
                  </w:r>
                </w:p>
              </w:tc>
              <w:tc>
                <w:tcPr>
                  <w:tcW w:w="362" w:type="pct"/>
                  <w:vAlign w:val="center"/>
                </w:tcPr>
                <w:p w14:paraId="1450EC4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2DF6AB9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900-00</w:t>
                  </w:r>
                  <w:r>
                    <w:rPr>
                      <w:rFonts w:hint="eastAsia" w:cs="宋体"/>
                      <w:color w:val="auto"/>
                      <w:szCs w:val="21"/>
                      <w:highlight w:val="none"/>
                      <w:lang w:val="en-US" w:eastAsia="zh-CN"/>
                    </w:rPr>
                    <w:t>3</w:t>
                  </w:r>
                  <w:r>
                    <w:rPr>
                      <w:rFonts w:hint="eastAsia" w:ascii="Times New Roman" w:hAnsi="Times New Roman" w:eastAsia="宋体" w:cs="宋体"/>
                      <w:color w:val="auto"/>
                      <w:szCs w:val="21"/>
                      <w:highlight w:val="none"/>
                    </w:rPr>
                    <w:t>-S17</w:t>
                  </w:r>
                </w:p>
              </w:tc>
              <w:tc>
                <w:tcPr>
                  <w:tcW w:w="422" w:type="pct"/>
                  <w:vAlign w:val="center"/>
                </w:tcPr>
                <w:p w14:paraId="5D101DCD">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0.05</w:t>
                  </w:r>
                </w:p>
              </w:tc>
              <w:tc>
                <w:tcPr>
                  <w:tcW w:w="674" w:type="pct"/>
                  <w:vAlign w:val="center"/>
                </w:tcPr>
                <w:p w14:paraId="40BEAD45">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外售综合</w:t>
                  </w:r>
                </w:p>
                <w:p w14:paraId="2726D67A">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ascii="Times New Roman" w:hAnsi="Times New Roman" w:eastAsia="宋体" w:cs="宋体"/>
                      <w:color w:val="auto"/>
                      <w:szCs w:val="21"/>
                      <w:highlight w:val="none"/>
                    </w:rPr>
                    <w:t>利用</w:t>
                  </w:r>
                </w:p>
              </w:tc>
            </w:tr>
            <w:tr w14:paraId="1ED63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E6A798C">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废塑料</w:t>
                  </w:r>
                </w:p>
              </w:tc>
              <w:tc>
                <w:tcPr>
                  <w:tcW w:w="273" w:type="pct"/>
                  <w:vMerge w:val="continue"/>
                  <w:vAlign w:val="center"/>
                </w:tcPr>
                <w:p w14:paraId="71A205F2">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3C5EFD12">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注塑</w:t>
                  </w:r>
                </w:p>
              </w:tc>
              <w:tc>
                <w:tcPr>
                  <w:tcW w:w="273" w:type="pct"/>
                  <w:vAlign w:val="center"/>
                </w:tcPr>
                <w:p w14:paraId="617818BD">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固</w:t>
                  </w:r>
                </w:p>
              </w:tc>
              <w:tc>
                <w:tcPr>
                  <w:tcW w:w="942" w:type="pct"/>
                  <w:vAlign w:val="center"/>
                </w:tcPr>
                <w:p w14:paraId="2399D231">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塑料</w:t>
                  </w:r>
                </w:p>
              </w:tc>
              <w:tc>
                <w:tcPr>
                  <w:tcW w:w="362" w:type="pct"/>
                  <w:vAlign w:val="center"/>
                </w:tcPr>
                <w:p w14:paraId="6A828144">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2A7E04AC">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900-00</w:t>
                  </w:r>
                  <w:r>
                    <w:rPr>
                      <w:rFonts w:hint="eastAsia" w:cs="宋体"/>
                      <w:color w:val="auto"/>
                      <w:szCs w:val="21"/>
                      <w:highlight w:val="none"/>
                      <w:lang w:val="en-US" w:eastAsia="zh-CN"/>
                    </w:rPr>
                    <w:t>3</w:t>
                  </w:r>
                  <w:r>
                    <w:rPr>
                      <w:rFonts w:hint="eastAsia" w:ascii="Times New Roman" w:hAnsi="Times New Roman" w:eastAsia="宋体" w:cs="宋体"/>
                      <w:color w:val="auto"/>
                      <w:szCs w:val="21"/>
                      <w:highlight w:val="none"/>
                    </w:rPr>
                    <w:t>-S17</w:t>
                  </w:r>
                </w:p>
              </w:tc>
              <w:tc>
                <w:tcPr>
                  <w:tcW w:w="422" w:type="pct"/>
                  <w:vAlign w:val="center"/>
                </w:tcPr>
                <w:p w14:paraId="485E5D06">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5</w:t>
                  </w:r>
                </w:p>
              </w:tc>
              <w:tc>
                <w:tcPr>
                  <w:tcW w:w="674" w:type="pct"/>
                  <w:vAlign w:val="center"/>
                </w:tcPr>
                <w:p w14:paraId="6A655DD9">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cs="宋体"/>
                      <w:color w:val="auto"/>
                      <w:szCs w:val="21"/>
                      <w:highlight w:val="none"/>
                      <w:lang w:val="en-US" w:eastAsia="zh-CN"/>
                    </w:rPr>
                    <w:t>回用于破碎工序</w:t>
                  </w:r>
                </w:p>
              </w:tc>
            </w:tr>
            <w:tr w14:paraId="1BDB8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0FA87221">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lang w:eastAsia="zh-CN"/>
                    </w:rPr>
                    <w:t>除尘器收尘</w:t>
                  </w:r>
                </w:p>
              </w:tc>
              <w:tc>
                <w:tcPr>
                  <w:tcW w:w="273" w:type="pct"/>
                  <w:vMerge w:val="continue"/>
                  <w:vAlign w:val="center"/>
                </w:tcPr>
                <w:p w14:paraId="12E91242">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3472117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ascii="Times New Roman" w:hAnsi="Times New Roman" w:eastAsia="宋体" w:cs="宋体"/>
                      <w:color w:val="auto"/>
                      <w:kern w:val="0"/>
                      <w:szCs w:val="21"/>
                      <w:highlight w:val="none"/>
                      <w:lang w:val="en-US" w:eastAsia="zh-CN"/>
                    </w:rPr>
                    <w:t>废气处理</w:t>
                  </w:r>
                </w:p>
              </w:tc>
              <w:tc>
                <w:tcPr>
                  <w:tcW w:w="273" w:type="pct"/>
                  <w:vAlign w:val="center"/>
                </w:tcPr>
                <w:p w14:paraId="323A43D9">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固</w:t>
                  </w:r>
                </w:p>
              </w:tc>
              <w:tc>
                <w:tcPr>
                  <w:tcW w:w="942" w:type="pct"/>
                  <w:vAlign w:val="center"/>
                </w:tcPr>
                <w:p w14:paraId="7D9F5FE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铝</w:t>
                  </w:r>
                </w:p>
              </w:tc>
              <w:tc>
                <w:tcPr>
                  <w:tcW w:w="362" w:type="pct"/>
                  <w:vAlign w:val="center"/>
                </w:tcPr>
                <w:p w14:paraId="5E9AA7D9">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SW17</w:t>
                  </w:r>
                </w:p>
              </w:tc>
              <w:tc>
                <w:tcPr>
                  <w:tcW w:w="704" w:type="pct"/>
                  <w:vAlign w:val="center"/>
                </w:tcPr>
                <w:p w14:paraId="67EED4CA">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900-00</w:t>
                  </w:r>
                  <w:r>
                    <w:rPr>
                      <w:rFonts w:hint="eastAsia" w:cs="宋体"/>
                      <w:color w:val="auto"/>
                      <w:szCs w:val="21"/>
                      <w:highlight w:val="none"/>
                      <w:lang w:val="en-US" w:eastAsia="zh-CN"/>
                    </w:rPr>
                    <w:t>2</w:t>
                  </w:r>
                  <w:r>
                    <w:rPr>
                      <w:rFonts w:hint="eastAsia" w:ascii="Times New Roman" w:hAnsi="Times New Roman" w:eastAsia="宋体" w:cs="宋体"/>
                      <w:color w:val="auto"/>
                      <w:szCs w:val="21"/>
                      <w:highlight w:val="none"/>
                      <w:lang w:val="en-US" w:eastAsia="zh-CN"/>
                    </w:rPr>
                    <w:t>-S17</w:t>
                  </w:r>
                </w:p>
              </w:tc>
              <w:tc>
                <w:tcPr>
                  <w:tcW w:w="422" w:type="pct"/>
                  <w:vAlign w:val="center"/>
                </w:tcPr>
                <w:p w14:paraId="076D48A5">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2.187</w:t>
                  </w:r>
                </w:p>
              </w:tc>
              <w:tc>
                <w:tcPr>
                  <w:tcW w:w="674" w:type="pct"/>
                  <w:vAlign w:val="center"/>
                </w:tcPr>
                <w:p w14:paraId="55377228">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外售综合</w:t>
                  </w:r>
                </w:p>
                <w:p w14:paraId="2962AB72">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利用</w:t>
                  </w:r>
                </w:p>
              </w:tc>
            </w:tr>
            <w:tr w14:paraId="04BE6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AA03CA1">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铝灰渣</w:t>
                  </w:r>
                </w:p>
              </w:tc>
              <w:tc>
                <w:tcPr>
                  <w:tcW w:w="273" w:type="pct"/>
                  <w:vMerge w:val="restart"/>
                  <w:vAlign w:val="center"/>
                </w:tcPr>
                <w:p w14:paraId="7305F07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危险</w:t>
                  </w:r>
                </w:p>
                <w:p w14:paraId="444E4E58">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废物</w:t>
                  </w:r>
                </w:p>
              </w:tc>
              <w:tc>
                <w:tcPr>
                  <w:tcW w:w="542" w:type="pct"/>
                  <w:vAlign w:val="center"/>
                </w:tcPr>
                <w:p w14:paraId="4937E38D">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熔化</w:t>
                  </w:r>
                </w:p>
              </w:tc>
              <w:tc>
                <w:tcPr>
                  <w:tcW w:w="273" w:type="pct"/>
                  <w:vAlign w:val="center"/>
                </w:tcPr>
                <w:p w14:paraId="6B351B60">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固</w:t>
                  </w:r>
                </w:p>
              </w:tc>
              <w:tc>
                <w:tcPr>
                  <w:tcW w:w="942" w:type="pct"/>
                  <w:vAlign w:val="center"/>
                </w:tcPr>
                <w:p w14:paraId="72C0FDD8">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铝</w:t>
                  </w:r>
                </w:p>
              </w:tc>
              <w:tc>
                <w:tcPr>
                  <w:tcW w:w="362" w:type="pct"/>
                  <w:vAlign w:val="center"/>
                </w:tcPr>
                <w:p w14:paraId="1CAC2193">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HW</w:t>
                  </w:r>
                  <w:r>
                    <w:rPr>
                      <w:rFonts w:hint="eastAsia" w:cs="宋体"/>
                      <w:color w:val="auto"/>
                      <w:szCs w:val="21"/>
                      <w:highlight w:val="none"/>
                      <w:lang w:val="en-US" w:eastAsia="zh-CN"/>
                    </w:rPr>
                    <w:t>48</w:t>
                  </w:r>
                </w:p>
              </w:tc>
              <w:tc>
                <w:tcPr>
                  <w:tcW w:w="704" w:type="pct"/>
                  <w:vAlign w:val="center"/>
                </w:tcPr>
                <w:p w14:paraId="75C60200">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3</w:t>
                  </w:r>
                  <w:r>
                    <w:rPr>
                      <w:rFonts w:hint="eastAsia" w:cs="宋体"/>
                      <w:color w:val="auto"/>
                      <w:szCs w:val="21"/>
                      <w:highlight w:val="none"/>
                      <w:lang w:val="en-US" w:eastAsia="zh-CN"/>
                    </w:rPr>
                    <w:t>21</w:t>
                  </w:r>
                  <w:r>
                    <w:rPr>
                      <w:rFonts w:hint="eastAsia" w:ascii="Times New Roman" w:hAnsi="Times New Roman" w:eastAsia="宋体" w:cs="宋体"/>
                      <w:color w:val="auto"/>
                      <w:szCs w:val="21"/>
                      <w:highlight w:val="none"/>
                      <w:lang w:val="en-US" w:eastAsia="zh-CN"/>
                    </w:rPr>
                    <w:t>-0</w:t>
                  </w:r>
                  <w:r>
                    <w:rPr>
                      <w:rFonts w:hint="eastAsia" w:cs="宋体"/>
                      <w:color w:val="auto"/>
                      <w:szCs w:val="21"/>
                      <w:highlight w:val="none"/>
                      <w:lang w:val="en-US" w:eastAsia="zh-CN"/>
                    </w:rPr>
                    <w:t>26</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48</w:t>
                  </w:r>
                </w:p>
              </w:tc>
              <w:tc>
                <w:tcPr>
                  <w:tcW w:w="422" w:type="pct"/>
                  <w:vAlign w:val="center"/>
                </w:tcPr>
                <w:p w14:paraId="582BBE38">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18.0</w:t>
                  </w:r>
                </w:p>
              </w:tc>
              <w:tc>
                <w:tcPr>
                  <w:tcW w:w="674" w:type="pct"/>
                  <w:vMerge w:val="restart"/>
                  <w:vAlign w:val="center"/>
                </w:tcPr>
                <w:p w14:paraId="48ABCD44">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委托有资质单位处置</w:t>
                  </w:r>
                </w:p>
              </w:tc>
            </w:tr>
            <w:tr w14:paraId="71E06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F3AD3AB">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脱模废液</w:t>
                  </w:r>
                </w:p>
              </w:tc>
              <w:tc>
                <w:tcPr>
                  <w:tcW w:w="273" w:type="pct"/>
                  <w:vMerge w:val="continue"/>
                  <w:vAlign w:val="center"/>
                </w:tcPr>
                <w:p w14:paraId="75109352">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p>
              </w:tc>
              <w:tc>
                <w:tcPr>
                  <w:tcW w:w="542" w:type="pct"/>
                  <w:vAlign w:val="center"/>
                </w:tcPr>
                <w:p w14:paraId="047356BE">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kern w:val="0"/>
                      <w:szCs w:val="21"/>
                      <w:highlight w:val="none"/>
                      <w:lang w:val="en-US" w:eastAsia="zh-CN"/>
                    </w:rPr>
                  </w:pPr>
                  <w:r>
                    <w:rPr>
                      <w:rFonts w:hint="eastAsia" w:cs="宋体"/>
                      <w:color w:val="auto"/>
                      <w:kern w:val="0"/>
                      <w:szCs w:val="21"/>
                      <w:highlight w:val="none"/>
                      <w:lang w:val="en-US" w:eastAsia="zh-CN"/>
                    </w:rPr>
                    <w:t>脱模</w:t>
                  </w:r>
                </w:p>
              </w:tc>
              <w:tc>
                <w:tcPr>
                  <w:tcW w:w="273" w:type="pct"/>
                  <w:vAlign w:val="center"/>
                </w:tcPr>
                <w:p w14:paraId="1587AF54">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液</w:t>
                  </w:r>
                </w:p>
              </w:tc>
              <w:tc>
                <w:tcPr>
                  <w:tcW w:w="942" w:type="pct"/>
                  <w:vAlign w:val="center"/>
                </w:tcPr>
                <w:p w14:paraId="305B0035">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烃水混合物</w:t>
                  </w:r>
                </w:p>
              </w:tc>
              <w:tc>
                <w:tcPr>
                  <w:tcW w:w="362" w:type="pct"/>
                  <w:vAlign w:val="center"/>
                </w:tcPr>
                <w:p w14:paraId="6F306697">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09</w:t>
                  </w:r>
                </w:p>
              </w:tc>
              <w:tc>
                <w:tcPr>
                  <w:tcW w:w="704" w:type="pct"/>
                  <w:vAlign w:val="center"/>
                </w:tcPr>
                <w:p w14:paraId="2FEECB9D">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007</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09</w:t>
                  </w:r>
                </w:p>
              </w:tc>
              <w:tc>
                <w:tcPr>
                  <w:tcW w:w="422" w:type="pct"/>
                  <w:vAlign w:val="center"/>
                </w:tcPr>
                <w:p w14:paraId="4C428EBB">
                  <w:pPr>
                    <w:keepNext w:val="0"/>
                    <w:pageBreakBefore w:val="0"/>
                    <w:widowControl w:val="0"/>
                    <w:kinsoku/>
                    <w:wordWrap/>
                    <w:overflowPunct/>
                    <w:topLinePunct w:val="0"/>
                    <w:bidi w:val="0"/>
                    <w:adjustRightInd/>
                    <w:snapToGrid w:val="0"/>
                    <w:spacing w:line="300" w:lineRule="exact"/>
                    <w:jc w:val="center"/>
                    <w:textAlignment w:val="auto"/>
                    <w:rPr>
                      <w:rFonts w:hint="eastAsia" w:cs="宋体"/>
                      <w:color w:val="auto"/>
                      <w:szCs w:val="21"/>
                      <w:highlight w:val="none"/>
                      <w:lang w:val="en-US" w:eastAsia="zh-CN"/>
                    </w:rPr>
                  </w:pPr>
                  <w:r>
                    <w:rPr>
                      <w:rFonts w:hint="eastAsia" w:cs="宋体"/>
                      <w:color w:val="auto"/>
                      <w:szCs w:val="21"/>
                      <w:highlight w:val="none"/>
                      <w:lang w:val="en-US" w:eastAsia="zh-CN"/>
                    </w:rPr>
                    <w:t>1.2</w:t>
                  </w:r>
                </w:p>
              </w:tc>
              <w:tc>
                <w:tcPr>
                  <w:tcW w:w="674" w:type="pct"/>
                  <w:vMerge w:val="continue"/>
                  <w:vAlign w:val="center"/>
                </w:tcPr>
                <w:p w14:paraId="36821749">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7EABB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F5B20DB">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废乳化液</w:t>
                  </w:r>
                </w:p>
              </w:tc>
              <w:tc>
                <w:tcPr>
                  <w:tcW w:w="273" w:type="pct"/>
                  <w:vMerge w:val="continue"/>
                  <w:vAlign w:val="center"/>
                </w:tcPr>
                <w:p w14:paraId="22B41A5C">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531362B4">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机加工</w:t>
                  </w:r>
                </w:p>
              </w:tc>
              <w:tc>
                <w:tcPr>
                  <w:tcW w:w="273" w:type="pct"/>
                  <w:vAlign w:val="center"/>
                </w:tcPr>
                <w:p w14:paraId="56593215">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液</w:t>
                  </w:r>
                </w:p>
              </w:tc>
              <w:tc>
                <w:tcPr>
                  <w:tcW w:w="942" w:type="pct"/>
                  <w:vAlign w:val="center"/>
                </w:tcPr>
                <w:p w14:paraId="2CA02EC5">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烃水混合物</w:t>
                  </w:r>
                </w:p>
              </w:tc>
              <w:tc>
                <w:tcPr>
                  <w:tcW w:w="362" w:type="pct"/>
                  <w:shd w:val="clear" w:color="auto" w:fill="auto"/>
                  <w:vAlign w:val="center"/>
                </w:tcPr>
                <w:p w14:paraId="4FCEEDC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HW</w:t>
                  </w:r>
                  <w:r>
                    <w:rPr>
                      <w:rFonts w:hint="eastAsia" w:cs="宋体"/>
                      <w:color w:val="auto"/>
                      <w:szCs w:val="21"/>
                      <w:highlight w:val="none"/>
                      <w:lang w:val="en-US" w:eastAsia="zh-CN"/>
                    </w:rPr>
                    <w:t>09</w:t>
                  </w:r>
                </w:p>
              </w:tc>
              <w:tc>
                <w:tcPr>
                  <w:tcW w:w="704" w:type="pct"/>
                  <w:shd w:val="clear" w:color="auto" w:fill="auto"/>
                  <w:vAlign w:val="center"/>
                </w:tcPr>
                <w:p w14:paraId="3936A21B">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900</w:t>
                  </w:r>
                  <w:r>
                    <w:rPr>
                      <w:rFonts w:hint="eastAsia" w:ascii="Times New Roman" w:hAnsi="Times New Roman" w:eastAsia="宋体" w:cs="宋体"/>
                      <w:color w:val="auto"/>
                      <w:szCs w:val="21"/>
                      <w:highlight w:val="none"/>
                      <w:lang w:val="en-US" w:eastAsia="zh-CN"/>
                    </w:rPr>
                    <w:t>-0</w:t>
                  </w:r>
                  <w:r>
                    <w:rPr>
                      <w:rFonts w:hint="eastAsia" w:cs="宋体"/>
                      <w:color w:val="auto"/>
                      <w:szCs w:val="21"/>
                      <w:highlight w:val="none"/>
                      <w:lang w:val="en-US" w:eastAsia="zh-CN"/>
                    </w:rPr>
                    <w:t>06</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09</w:t>
                  </w:r>
                </w:p>
              </w:tc>
              <w:tc>
                <w:tcPr>
                  <w:tcW w:w="422" w:type="pct"/>
                  <w:vAlign w:val="center"/>
                </w:tcPr>
                <w:p w14:paraId="2F4AD7B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7.5</w:t>
                  </w:r>
                </w:p>
              </w:tc>
              <w:tc>
                <w:tcPr>
                  <w:tcW w:w="674" w:type="pct"/>
                  <w:vMerge w:val="continue"/>
                  <w:vAlign w:val="center"/>
                </w:tcPr>
                <w:p w14:paraId="68505AAA">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24828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CC74E72">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RO浓液</w:t>
                  </w:r>
                </w:p>
              </w:tc>
              <w:tc>
                <w:tcPr>
                  <w:tcW w:w="273" w:type="pct"/>
                  <w:vMerge w:val="continue"/>
                  <w:vAlign w:val="center"/>
                </w:tcPr>
                <w:p w14:paraId="1E11CB2F">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vAlign w:val="center"/>
                </w:tcPr>
                <w:p w14:paraId="7D6B402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Cs w:val="21"/>
                      <w:highlight w:val="none"/>
                      <w:lang w:eastAsia="zh-CN"/>
                    </w:rPr>
                  </w:pPr>
                  <w:r>
                    <w:rPr>
                      <w:rFonts w:hint="eastAsia" w:cs="宋体"/>
                      <w:color w:val="auto"/>
                      <w:kern w:val="0"/>
                      <w:szCs w:val="21"/>
                      <w:highlight w:val="none"/>
                      <w:lang w:val="en-US" w:eastAsia="zh-CN"/>
                    </w:rPr>
                    <w:t>废水处理</w:t>
                  </w:r>
                </w:p>
              </w:tc>
              <w:tc>
                <w:tcPr>
                  <w:tcW w:w="273" w:type="pct"/>
                  <w:vAlign w:val="center"/>
                </w:tcPr>
                <w:p w14:paraId="330F9A0B">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液</w:t>
                  </w:r>
                </w:p>
              </w:tc>
              <w:tc>
                <w:tcPr>
                  <w:tcW w:w="942" w:type="pct"/>
                  <w:vAlign w:val="center"/>
                </w:tcPr>
                <w:p w14:paraId="71354A8D">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烃水混合物</w:t>
                  </w:r>
                </w:p>
              </w:tc>
              <w:tc>
                <w:tcPr>
                  <w:tcW w:w="362" w:type="pct"/>
                  <w:vAlign w:val="center"/>
                </w:tcPr>
                <w:p w14:paraId="721BA978">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09</w:t>
                  </w:r>
                </w:p>
              </w:tc>
              <w:tc>
                <w:tcPr>
                  <w:tcW w:w="704" w:type="pct"/>
                  <w:vAlign w:val="center"/>
                </w:tcPr>
                <w:p w14:paraId="03FC665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007</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09</w:t>
                  </w:r>
                </w:p>
              </w:tc>
              <w:tc>
                <w:tcPr>
                  <w:tcW w:w="422" w:type="pct"/>
                  <w:vAlign w:val="center"/>
                </w:tcPr>
                <w:p w14:paraId="6CBD68B8">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14.11</w:t>
                  </w:r>
                </w:p>
              </w:tc>
              <w:tc>
                <w:tcPr>
                  <w:tcW w:w="674" w:type="pct"/>
                  <w:vMerge w:val="continue"/>
                  <w:vAlign w:val="center"/>
                </w:tcPr>
                <w:p w14:paraId="770C7582">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62BFF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3C6EA031">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废过滤介质</w:t>
                  </w:r>
                </w:p>
              </w:tc>
              <w:tc>
                <w:tcPr>
                  <w:tcW w:w="273" w:type="pct"/>
                  <w:vMerge w:val="continue"/>
                  <w:vAlign w:val="center"/>
                </w:tcPr>
                <w:p w14:paraId="70D2116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shd w:val="clear" w:color="auto" w:fill="auto"/>
                  <w:vAlign w:val="center"/>
                </w:tcPr>
                <w:p w14:paraId="6C10B8F9">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废水处理</w:t>
                  </w:r>
                </w:p>
              </w:tc>
              <w:tc>
                <w:tcPr>
                  <w:tcW w:w="273" w:type="pct"/>
                  <w:vAlign w:val="center"/>
                </w:tcPr>
                <w:p w14:paraId="31A6071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固</w:t>
                  </w:r>
                </w:p>
              </w:tc>
              <w:tc>
                <w:tcPr>
                  <w:tcW w:w="942" w:type="pct"/>
                  <w:vAlign w:val="center"/>
                </w:tcPr>
                <w:p w14:paraId="2FA4EEC6">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cs="宋体"/>
                      <w:color w:val="auto"/>
                      <w:szCs w:val="21"/>
                      <w:highlight w:val="none"/>
                      <w:lang w:val="en-US" w:eastAsia="zh-CN"/>
                    </w:rPr>
                    <w:t>RO膜、活性炭等</w:t>
                  </w:r>
                </w:p>
              </w:tc>
              <w:tc>
                <w:tcPr>
                  <w:tcW w:w="362" w:type="pct"/>
                  <w:vAlign w:val="center"/>
                </w:tcPr>
                <w:p w14:paraId="0CEAB6A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49</w:t>
                  </w:r>
                </w:p>
              </w:tc>
              <w:tc>
                <w:tcPr>
                  <w:tcW w:w="704" w:type="pct"/>
                  <w:vAlign w:val="center"/>
                </w:tcPr>
                <w:p w14:paraId="29701B3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041</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49</w:t>
                  </w:r>
                </w:p>
              </w:tc>
              <w:tc>
                <w:tcPr>
                  <w:tcW w:w="422" w:type="pct"/>
                  <w:vAlign w:val="center"/>
                </w:tcPr>
                <w:p w14:paraId="7BD03349">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0.2</w:t>
                  </w:r>
                </w:p>
              </w:tc>
              <w:tc>
                <w:tcPr>
                  <w:tcW w:w="674" w:type="pct"/>
                  <w:vMerge w:val="continue"/>
                  <w:vAlign w:val="center"/>
                </w:tcPr>
                <w:p w14:paraId="3AAAADD2">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09CB4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45AAD159">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除尘渣</w:t>
                  </w:r>
                </w:p>
              </w:tc>
              <w:tc>
                <w:tcPr>
                  <w:tcW w:w="273" w:type="pct"/>
                  <w:vMerge w:val="continue"/>
                  <w:vAlign w:val="center"/>
                </w:tcPr>
                <w:p w14:paraId="7F9668A0">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shd w:val="clear" w:color="auto" w:fill="auto"/>
                  <w:vAlign w:val="center"/>
                </w:tcPr>
                <w:p w14:paraId="4E7A1FD8">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0"/>
                      <w:sz w:val="21"/>
                      <w:szCs w:val="21"/>
                      <w:highlight w:val="none"/>
                      <w:lang w:val="en-US" w:eastAsia="zh-CN" w:bidi="ar-SA"/>
                    </w:rPr>
                  </w:pPr>
                  <w:r>
                    <w:rPr>
                      <w:rFonts w:hint="eastAsia" w:ascii="Times New Roman" w:hAnsi="Times New Roman" w:eastAsia="宋体" w:cs="宋体"/>
                      <w:color w:val="auto"/>
                      <w:szCs w:val="21"/>
                      <w:highlight w:val="none"/>
                    </w:rPr>
                    <w:t>废气处理</w:t>
                  </w:r>
                </w:p>
              </w:tc>
              <w:tc>
                <w:tcPr>
                  <w:tcW w:w="273" w:type="pct"/>
                  <w:vAlign w:val="center"/>
                </w:tcPr>
                <w:p w14:paraId="6D22329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w:t>
                  </w:r>
                </w:p>
              </w:tc>
              <w:tc>
                <w:tcPr>
                  <w:tcW w:w="942" w:type="pct"/>
                  <w:vAlign w:val="center"/>
                </w:tcPr>
                <w:p w14:paraId="3A27A581">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铝</w:t>
                  </w:r>
                </w:p>
              </w:tc>
              <w:tc>
                <w:tcPr>
                  <w:tcW w:w="362" w:type="pct"/>
                  <w:vAlign w:val="center"/>
                </w:tcPr>
                <w:p w14:paraId="7BEF4109">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rPr>
                    <w:t>HW4</w:t>
                  </w:r>
                  <w:r>
                    <w:rPr>
                      <w:rFonts w:hint="eastAsia" w:cs="宋体"/>
                      <w:color w:val="auto"/>
                      <w:szCs w:val="21"/>
                      <w:highlight w:val="none"/>
                      <w:lang w:val="en-US" w:eastAsia="zh-CN"/>
                    </w:rPr>
                    <w:t>8</w:t>
                  </w:r>
                </w:p>
              </w:tc>
              <w:tc>
                <w:tcPr>
                  <w:tcW w:w="704" w:type="pct"/>
                  <w:vAlign w:val="center"/>
                </w:tcPr>
                <w:p w14:paraId="7679CA8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321</w:t>
                  </w:r>
                  <w:r>
                    <w:rPr>
                      <w:rFonts w:hint="eastAsia" w:ascii="Times New Roman" w:hAnsi="Times New Roman" w:eastAsia="宋体" w:cs="宋体"/>
                      <w:color w:val="auto"/>
                      <w:szCs w:val="21"/>
                      <w:highlight w:val="none"/>
                    </w:rPr>
                    <w:t>-03</w:t>
                  </w:r>
                  <w:r>
                    <w:rPr>
                      <w:rFonts w:hint="eastAsia" w:cs="宋体"/>
                      <w:color w:val="auto"/>
                      <w:szCs w:val="21"/>
                      <w:highlight w:val="none"/>
                      <w:lang w:val="en-US" w:eastAsia="zh-CN"/>
                    </w:rPr>
                    <w:t>4</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48</w:t>
                  </w:r>
                </w:p>
              </w:tc>
              <w:tc>
                <w:tcPr>
                  <w:tcW w:w="422" w:type="pct"/>
                  <w:vAlign w:val="center"/>
                </w:tcPr>
                <w:p w14:paraId="433BDBBD">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0.606</w:t>
                  </w:r>
                </w:p>
              </w:tc>
              <w:tc>
                <w:tcPr>
                  <w:tcW w:w="674" w:type="pct"/>
                  <w:vMerge w:val="continue"/>
                  <w:vAlign w:val="center"/>
                </w:tcPr>
                <w:p w14:paraId="2398CFFC">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7AAE7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1C5EA636">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cs="宋体"/>
                      <w:color w:val="auto"/>
                      <w:szCs w:val="21"/>
                      <w:highlight w:val="none"/>
                      <w:lang w:val="en-US" w:eastAsia="zh-CN"/>
                    </w:rPr>
                    <w:t>废活性炭</w:t>
                  </w:r>
                </w:p>
              </w:tc>
              <w:tc>
                <w:tcPr>
                  <w:tcW w:w="273" w:type="pct"/>
                  <w:vMerge w:val="continue"/>
                  <w:vAlign w:val="center"/>
                </w:tcPr>
                <w:p w14:paraId="6EC32F7F">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shd w:val="clear" w:color="auto" w:fill="auto"/>
                  <w:vAlign w:val="center"/>
                </w:tcPr>
                <w:p w14:paraId="795D9227">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废气处理</w:t>
                  </w:r>
                </w:p>
              </w:tc>
              <w:tc>
                <w:tcPr>
                  <w:tcW w:w="273" w:type="pct"/>
                  <w:vAlign w:val="center"/>
                </w:tcPr>
                <w:p w14:paraId="3871B04B">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rPr>
                    <w:t>固</w:t>
                  </w:r>
                </w:p>
              </w:tc>
              <w:tc>
                <w:tcPr>
                  <w:tcW w:w="942" w:type="pct"/>
                  <w:vAlign w:val="center"/>
                </w:tcPr>
                <w:p w14:paraId="3CA34E3E">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smallCaps w:val="0"/>
                      <w:color w:val="auto"/>
                      <w:szCs w:val="21"/>
                      <w:highlight w:val="none"/>
                      <w:lang w:val="en-US" w:eastAsia="zh-CN"/>
                    </w:rPr>
                    <w:t>活性炭、有机物</w:t>
                  </w:r>
                </w:p>
              </w:tc>
              <w:tc>
                <w:tcPr>
                  <w:tcW w:w="362" w:type="pct"/>
                  <w:vAlign w:val="center"/>
                </w:tcPr>
                <w:p w14:paraId="5D681F28">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HW49</w:t>
                  </w:r>
                </w:p>
              </w:tc>
              <w:tc>
                <w:tcPr>
                  <w:tcW w:w="704" w:type="pct"/>
                  <w:vAlign w:val="center"/>
                </w:tcPr>
                <w:p w14:paraId="3B70AD75">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w:t>
                  </w:r>
                  <w:r>
                    <w:rPr>
                      <w:rFonts w:hint="eastAsia" w:ascii="Times New Roman" w:hAnsi="Times New Roman" w:eastAsia="宋体" w:cs="宋体"/>
                      <w:color w:val="auto"/>
                      <w:szCs w:val="21"/>
                      <w:highlight w:val="none"/>
                      <w:lang w:val="en-US" w:eastAsia="zh-CN"/>
                    </w:rPr>
                    <w:t>39</w:t>
                  </w:r>
                  <w:r>
                    <w:rPr>
                      <w:rFonts w:hint="eastAsia" w:ascii="Times New Roman" w:hAnsi="Times New Roman" w:eastAsia="宋体" w:cs="宋体"/>
                      <w:color w:val="auto"/>
                      <w:szCs w:val="21"/>
                      <w:highlight w:val="none"/>
                    </w:rPr>
                    <w:t>-49</w:t>
                  </w:r>
                </w:p>
              </w:tc>
              <w:tc>
                <w:tcPr>
                  <w:tcW w:w="422" w:type="pct"/>
                  <w:vAlign w:val="center"/>
                </w:tcPr>
                <w:p w14:paraId="599E9D92">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5.4</w:t>
                  </w:r>
                </w:p>
              </w:tc>
              <w:tc>
                <w:tcPr>
                  <w:tcW w:w="674" w:type="pct"/>
                  <w:vMerge w:val="continue"/>
                  <w:vAlign w:val="center"/>
                </w:tcPr>
                <w:p w14:paraId="5FABC42A">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5D3B3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5C493E29">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废矿物油</w:t>
                  </w:r>
                </w:p>
              </w:tc>
              <w:tc>
                <w:tcPr>
                  <w:tcW w:w="273" w:type="pct"/>
                  <w:vMerge w:val="continue"/>
                  <w:vAlign w:val="center"/>
                </w:tcPr>
                <w:p w14:paraId="11981F8D">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shd w:val="clear" w:color="auto" w:fill="auto"/>
                  <w:vAlign w:val="center"/>
                </w:tcPr>
                <w:p w14:paraId="5307001F">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设备维护废气处理</w:t>
                  </w:r>
                </w:p>
              </w:tc>
              <w:tc>
                <w:tcPr>
                  <w:tcW w:w="273" w:type="pct"/>
                  <w:vAlign w:val="center"/>
                </w:tcPr>
                <w:p w14:paraId="399E130F">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液</w:t>
                  </w:r>
                </w:p>
              </w:tc>
              <w:tc>
                <w:tcPr>
                  <w:tcW w:w="942" w:type="pct"/>
                  <w:vAlign w:val="center"/>
                </w:tcPr>
                <w:p w14:paraId="59801D22">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eastAsia="zh-CN"/>
                    </w:rPr>
                  </w:pPr>
                  <w:r>
                    <w:rPr>
                      <w:rFonts w:hint="eastAsia"/>
                      <w:smallCaps w:val="0"/>
                      <w:color w:val="auto"/>
                      <w:szCs w:val="21"/>
                      <w:highlight w:val="none"/>
                      <w:lang w:val="en-US" w:eastAsia="zh-CN"/>
                    </w:rPr>
                    <w:t>矿物油</w:t>
                  </w:r>
                </w:p>
              </w:tc>
              <w:tc>
                <w:tcPr>
                  <w:tcW w:w="362" w:type="pct"/>
                  <w:shd w:val="clear" w:color="auto" w:fill="auto"/>
                  <w:vAlign w:val="center"/>
                </w:tcPr>
                <w:p w14:paraId="34FF0390">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HW0</w:t>
                  </w:r>
                  <w:r>
                    <w:rPr>
                      <w:rFonts w:hint="eastAsia"/>
                      <w:smallCaps w:val="0"/>
                      <w:color w:val="auto"/>
                      <w:spacing w:val="0"/>
                      <w:szCs w:val="21"/>
                      <w:highlight w:val="none"/>
                      <w:lang w:val="en-US" w:eastAsia="zh-CN"/>
                    </w:rPr>
                    <w:t>8</w:t>
                  </w:r>
                </w:p>
              </w:tc>
              <w:tc>
                <w:tcPr>
                  <w:tcW w:w="704" w:type="pct"/>
                  <w:shd w:val="clear" w:color="auto" w:fill="auto"/>
                  <w:vAlign w:val="center"/>
                </w:tcPr>
                <w:p w14:paraId="73683859">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900-</w:t>
                  </w:r>
                  <w:r>
                    <w:rPr>
                      <w:rFonts w:hint="eastAsia"/>
                      <w:smallCaps w:val="0"/>
                      <w:color w:val="auto"/>
                      <w:spacing w:val="0"/>
                      <w:szCs w:val="21"/>
                      <w:highlight w:val="none"/>
                      <w:lang w:val="en-US" w:eastAsia="zh-CN"/>
                    </w:rPr>
                    <w:t>249</w:t>
                  </w:r>
                  <w:r>
                    <w:rPr>
                      <w:rFonts w:hint="eastAsia" w:ascii="Times New Roman" w:hAnsi="Times New Roman" w:eastAsia="宋体"/>
                      <w:smallCaps w:val="0"/>
                      <w:color w:val="auto"/>
                      <w:spacing w:val="0"/>
                      <w:szCs w:val="21"/>
                      <w:highlight w:val="none"/>
                    </w:rPr>
                    <w:t>-0</w:t>
                  </w:r>
                  <w:r>
                    <w:rPr>
                      <w:rFonts w:hint="eastAsia"/>
                      <w:smallCaps w:val="0"/>
                      <w:color w:val="auto"/>
                      <w:spacing w:val="0"/>
                      <w:szCs w:val="21"/>
                      <w:highlight w:val="none"/>
                      <w:lang w:val="en-US" w:eastAsia="zh-CN"/>
                    </w:rPr>
                    <w:t>8</w:t>
                  </w:r>
                </w:p>
              </w:tc>
              <w:tc>
                <w:tcPr>
                  <w:tcW w:w="422" w:type="pct"/>
                  <w:shd w:val="clear" w:color="auto" w:fill="auto"/>
                  <w:vAlign w:val="center"/>
                </w:tcPr>
                <w:p w14:paraId="0A069233">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2.675</w:t>
                  </w:r>
                </w:p>
              </w:tc>
              <w:tc>
                <w:tcPr>
                  <w:tcW w:w="674" w:type="pct"/>
                  <w:vMerge w:val="continue"/>
                  <w:vAlign w:val="center"/>
                </w:tcPr>
                <w:p w14:paraId="4D1508FD">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0D643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07A48846">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废包装桶</w:t>
                  </w:r>
                </w:p>
              </w:tc>
              <w:tc>
                <w:tcPr>
                  <w:tcW w:w="273" w:type="pct"/>
                  <w:vMerge w:val="continue"/>
                  <w:vAlign w:val="center"/>
                </w:tcPr>
                <w:p w14:paraId="65EBF01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p>
              </w:tc>
              <w:tc>
                <w:tcPr>
                  <w:tcW w:w="542" w:type="pct"/>
                  <w:shd w:val="clear" w:color="auto" w:fill="auto"/>
                  <w:vAlign w:val="center"/>
                </w:tcPr>
                <w:p w14:paraId="18288F7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原料包装</w:t>
                  </w:r>
                </w:p>
              </w:tc>
              <w:tc>
                <w:tcPr>
                  <w:tcW w:w="273" w:type="pct"/>
                  <w:vAlign w:val="center"/>
                </w:tcPr>
                <w:p w14:paraId="1ECC143E">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w:t>
                  </w:r>
                </w:p>
              </w:tc>
              <w:tc>
                <w:tcPr>
                  <w:tcW w:w="942" w:type="pct"/>
                  <w:vAlign w:val="center"/>
                </w:tcPr>
                <w:p w14:paraId="3E8D1788">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铁、塑料等</w:t>
                  </w:r>
                </w:p>
              </w:tc>
              <w:tc>
                <w:tcPr>
                  <w:tcW w:w="362" w:type="pct"/>
                  <w:vAlign w:val="center"/>
                </w:tcPr>
                <w:p w14:paraId="7E9D44A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HW49</w:t>
                  </w:r>
                </w:p>
              </w:tc>
              <w:tc>
                <w:tcPr>
                  <w:tcW w:w="704" w:type="pct"/>
                  <w:vAlign w:val="center"/>
                </w:tcPr>
                <w:p w14:paraId="721BEBF7">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900-041-49</w:t>
                  </w:r>
                </w:p>
              </w:tc>
              <w:tc>
                <w:tcPr>
                  <w:tcW w:w="422" w:type="pct"/>
                  <w:vAlign w:val="center"/>
                </w:tcPr>
                <w:p w14:paraId="2E6E4EBE">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0.</w:t>
                  </w:r>
                  <w:r>
                    <w:rPr>
                      <w:rFonts w:hint="eastAsia" w:cs="宋体"/>
                      <w:color w:val="auto"/>
                      <w:szCs w:val="21"/>
                      <w:highlight w:val="none"/>
                      <w:lang w:val="en-US" w:eastAsia="zh-CN"/>
                    </w:rPr>
                    <w:t>28</w:t>
                  </w:r>
                </w:p>
              </w:tc>
              <w:tc>
                <w:tcPr>
                  <w:tcW w:w="674" w:type="pct"/>
                  <w:vMerge w:val="continue"/>
                  <w:vAlign w:val="center"/>
                </w:tcPr>
                <w:p w14:paraId="7497EFE3">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p>
              </w:tc>
            </w:tr>
            <w:tr w14:paraId="21821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6FEF9A75">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含油劳保用品</w:t>
                  </w:r>
                </w:p>
              </w:tc>
              <w:tc>
                <w:tcPr>
                  <w:tcW w:w="273" w:type="pct"/>
                  <w:vAlign w:val="center"/>
                </w:tcPr>
                <w:p w14:paraId="5F27D978">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c>
                <w:tcPr>
                  <w:tcW w:w="542" w:type="pct"/>
                  <w:vAlign w:val="center"/>
                </w:tcPr>
                <w:p w14:paraId="0D0B8313">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0"/>
                      <w:szCs w:val="21"/>
                      <w:highlight w:val="none"/>
                    </w:rPr>
                  </w:pPr>
                  <w:r>
                    <w:rPr>
                      <w:rFonts w:hint="eastAsia" w:cs="宋体"/>
                      <w:color w:val="auto"/>
                      <w:szCs w:val="21"/>
                      <w:highlight w:val="none"/>
                      <w:lang w:val="en-US" w:eastAsia="zh-CN"/>
                    </w:rPr>
                    <w:t>设备维护</w:t>
                  </w:r>
                </w:p>
              </w:tc>
              <w:tc>
                <w:tcPr>
                  <w:tcW w:w="273" w:type="pct"/>
                  <w:vAlign w:val="center"/>
                </w:tcPr>
                <w:p w14:paraId="66F60B9B">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w:t>
                  </w:r>
                </w:p>
              </w:tc>
              <w:tc>
                <w:tcPr>
                  <w:tcW w:w="942" w:type="pct"/>
                  <w:vAlign w:val="center"/>
                </w:tcPr>
                <w:p w14:paraId="33AF8C00">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rPr>
                  </w:pPr>
                  <w:r>
                    <w:rPr>
                      <w:rFonts w:hint="eastAsia"/>
                      <w:smallCaps w:val="0"/>
                      <w:color w:val="auto"/>
                      <w:szCs w:val="21"/>
                      <w:highlight w:val="none"/>
                      <w:lang w:val="en-US" w:eastAsia="zh-CN"/>
                    </w:rPr>
                    <w:t>矿物油、棉</w:t>
                  </w:r>
                </w:p>
              </w:tc>
              <w:tc>
                <w:tcPr>
                  <w:tcW w:w="362" w:type="pct"/>
                  <w:vAlign w:val="center"/>
                </w:tcPr>
                <w:p w14:paraId="36F67EEE">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HW49</w:t>
                  </w:r>
                </w:p>
              </w:tc>
              <w:tc>
                <w:tcPr>
                  <w:tcW w:w="704" w:type="pct"/>
                  <w:vAlign w:val="center"/>
                </w:tcPr>
                <w:p w14:paraId="631DABEB">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900-041-49</w:t>
                  </w:r>
                </w:p>
              </w:tc>
              <w:tc>
                <w:tcPr>
                  <w:tcW w:w="422" w:type="pct"/>
                  <w:vAlign w:val="center"/>
                </w:tcPr>
                <w:p w14:paraId="543B316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0.01</w:t>
                  </w:r>
                </w:p>
              </w:tc>
              <w:tc>
                <w:tcPr>
                  <w:tcW w:w="674" w:type="pct"/>
                  <w:vAlign w:val="center"/>
                </w:tcPr>
                <w:p w14:paraId="24DCDD42">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环卫清运</w:t>
                  </w:r>
                </w:p>
              </w:tc>
            </w:tr>
            <w:tr w14:paraId="5884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pct"/>
                  <w:vAlign w:val="center"/>
                </w:tcPr>
                <w:p w14:paraId="7B9681A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生活垃圾</w:t>
                  </w:r>
                </w:p>
              </w:tc>
              <w:tc>
                <w:tcPr>
                  <w:tcW w:w="273" w:type="pct"/>
                  <w:vAlign w:val="center"/>
                </w:tcPr>
                <w:p w14:paraId="7AAED59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w:t>
                  </w:r>
                </w:p>
              </w:tc>
              <w:tc>
                <w:tcPr>
                  <w:tcW w:w="542" w:type="pct"/>
                  <w:vAlign w:val="center"/>
                </w:tcPr>
                <w:p w14:paraId="572AC883">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员工生活</w:t>
                  </w:r>
                </w:p>
              </w:tc>
              <w:tc>
                <w:tcPr>
                  <w:tcW w:w="273" w:type="pct"/>
                  <w:vAlign w:val="center"/>
                </w:tcPr>
                <w:p w14:paraId="7C766E0F">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固</w:t>
                  </w:r>
                </w:p>
              </w:tc>
              <w:tc>
                <w:tcPr>
                  <w:tcW w:w="942" w:type="pct"/>
                  <w:vAlign w:val="center"/>
                </w:tcPr>
                <w:p w14:paraId="4D279A69">
                  <w:pPr>
                    <w:keepNext w:val="0"/>
                    <w:pageBreakBefore w:val="0"/>
                    <w:widowControl w:val="0"/>
                    <w:kinsoku/>
                    <w:wordWrap/>
                    <w:overflowPunct/>
                    <w:topLinePunct w:val="0"/>
                    <w:bidi w:val="0"/>
                    <w:adjustRightInd/>
                    <w:snapToGrid w:val="0"/>
                    <w:spacing w:line="300" w:lineRule="exact"/>
                    <w:jc w:val="center"/>
                    <w:textAlignment w:val="auto"/>
                    <w:rPr>
                      <w:rFonts w:hint="default"/>
                      <w:smallCaps w:val="0"/>
                      <w:color w:val="auto"/>
                      <w:szCs w:val="21"/>
                      <w:highlight w:val="none"/>
                      <w:lang w:val="en-US" w:eastAsia="zh-CN"/>
                    </w:rPr>
                  </w:pPr>
                  <w:r>
                    <w:rPr>
                      <w:rFonts w:hint="eastAsia"/>
                      <w:smallCaps w:val="0"/>
                      <w:color w:val="auto"/>
                      <w:szCs w:val="21"/>
                      <w:highlight w:val="none"/>
                      <w:lang w:val="en-US" w:eastAsia="zh-CN"/>
                    </w:rPr>
                    <w:t>瓜皮、纸屑等</w:t>
                  </w:r>
                </w:p>
              </w:tc>
              <w:tc>
                <w:tcPr>
                  <w:tcW w:w="362" w:type="pct"/>
                  <w:vAlign w:val="center"/>
                </w:tcPr>
                <w:p w14:paraId="243216D7">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w:t>
                  </w:r>
                </w:p>
              </w:tc>
              <w:tc>
                <w:tcPr>
                  <w:tcW w:w="704" w:type="pct"/>
                  <w:vAlign w:val="center"/>
                </w:tcPr>
                <w:p w14:paraId="7ED4EDE3">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w:t>
                  </w:r>
                </w:p>
              </w:tc>
              <w:tc>
                <w:tcPr>
                  <w:tcW w:w="422" w:type="pct"/>
                  <w:vAlign w:val="center"/>
                </w:tcPr>
                <w:p w14:paraId="76FA59FB">
                  <w:pPr>
                    <w:keepNext w:val="0"/>
                    <w:pageBreakBefore w:val="0"/>
                    <w:widowControl w:val="0"/>
                    <w:kinsoku/>
                    <w:wordWrap/>
                    <w:overflowPunct/>
                    <w:topLinePunct w:val="0"/>
                    <w:bidi w:val="0"/>
                    <w:adjustRightInd/>
                    <w:snapToGrid w:val="0"/>
                    <w:spacing w:line="300" w:lineRule="exact"/>
                    <w:jc w:val="center"/>
                    <w:textAlignment w:val="auto"/>
                    <w:rPr>
                      <w:rFonts w:hint="default" w:cs="宋体"/>
                      <w:color w:val="auto"/>
                      <w:szCs w:val="21"/>
                      <w:highlight w:val="none"/>
                      <w:lang w:val="en-US" w:eastAsia="zh-CN"/>
                    </w:rPr>
                  </w:pPr>
                  <w:r>
                    <w:rPr>
                      <w:rFonts w:hint="eastAsia" w:cs="宋体"/>
                      <w:color w:val="auto"/>
                      <w:szCs w:val="21"/>
                      <w:highlight w:val="none"/>
                      <w:lang w:val="en-US" w:eastAsia="zh-CN"/>
                    </w:rPr>
                    <w:t>3.6</w:t>
                  </w:r>
                </w:p>
              </w:tc>
              <w:tc>
                <w:tcPr>
                  <w:tcW w:w="674" w:type="pct"/>
                  <w:vAlign w:val="center"/>
                </w:tcPr>
                <w:p w14:paraId="70D389DF">
                  <w:pPr>
                    <w:keepNext w:val="0"/>
                    <w:pageBreakBefore w:val="0"/>
                    <w:widowControl w:val="0"/>
                    <w:kinsoku/>
                    <w:wordWrap/>
                    <w:overflowPunct/>
                    <w:topLinePunct w:val="0"/>
                    <w:autoSpaceDE w:val="0"/>
                    <w:autoSpaceDN w:val="0"/>
                    <w:bidi w:val="0"/>
                    <w:adjustRightInd/>
                    <w:snapToGrid w:val="0"/>
                    <w:spacing w:line="300" w:lineRule="exact"/>
                    <w:jc w:val="center"/>
                    <w:textAlignment w:val="auto"/>
                    <w:rPr>
                      <w:rFonts w:hint="eastAsia"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环卫清运</w:t>
                  </w:r>
                </w:p>
              </w:tc>
            </w:tr>
          </w:tbl>
          <w:p w14:paraId="6B12CC01">
            <w:pPr>
              <w:tabs>
                <w:tab w:val="left" w:pos="960"/>
              </w:tabs>
              <w:spacing w:beforeLines="50"/>
              <w:jc w:val="center"/>
              <w:rPr>
                <w:rFonts w:ascii="Times New Roman" w:hAnsi="Times New Roman" w:eastAsia="宋体" w:cs="宋体"/>
                <w:b/>
                <w:bCs/>
                <w:color w:val="auto"/>
                <w:spacing w:val="-4"/>
                <w:szCs w:val="21"/>
                <w:highlight w:val="none"/>
              </w:rPr>
            </w:pPr>
          </w:p>
          <w:p w14:paraId="602BCFA6">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4.4-</w:t>
            </w:r>
            <w:r>
              <w:rPr>
                <w:rFonts w:hint="eastAsia" w:cs="宋体"/>
                <w:b/>
                <w:bCs/>
                <w:color w:val="auto"/>
                <w:spacing w:val="-4"/>
                <w:szCs w:val="21"/>
                <w:highlight w:val="none"/>
                <w:lang w:val="en-US" w:eastAsia="zh-CN"/>
              </w:rPr>
              <w:t>3</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本项目</w:t>
            </w:r>
            <w:r>
              <w:rPr>
                <w:rFonts w:ascii="Times New Roman" w:hAnsi="Times New Roman" w:eastAsia="宋体" w:cs="宋体"/>
                <w:b/>
                <w:bCs/>
                <w:color w:val="auto"/>
                <w:spacing w:val="-4"/>
                <w:szCs w:val="21"/>
                <w:highlight w:val="none"/>
              </w:rPr>
              <w:t>危险废物分析结果汇总表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07"/>
              <w:gridCol w:w="1066"/>
              <w:gridCol w:w="1176"/>
              <w:gridCol w:w="978"/>
              <w:gridCol w:w="1220"/>
              <w:gridCol w:w="978"/>
              <w:gridCol w:w="1414"/>
            </w:tblGrid>
            <w:tr w14:paraId="4749A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vAlign w:val="center"/>
                </w:tcPr>
                <w:p w14:paraId="5D66BCEF">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危险废物名称</w:t>
                  </w:r>
                </w:p>
              </w:tc>
              <w:tc>
                <w:tcPr>
                  <w:tcW w:w="631" w:type="pct"/>
                  <w:vAlign w:val="center"/>
                </w:tcPr>
                <w:p w14:paraId="208A7389">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废物类别</w:t>
                  </w:r>
                </w:p>
              </w:tc>
              <w:tc>
                <w:tcPr>
                  <w:tcW w:w="696" w:type="pct"/>
                  <w:vAlign w:val="center"/>
                </w:tcPr>
                <w:p w14:paraId="6F5F318A">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废物代码</w:t>
                  </w:r>
                </w:p>
              </w:tc>
              <w:tc>
                <w:tcPr>
                  <w:tcW w:w="579" w:type="pct"/>
                  <w:vAlign w:val="center"/>
                </w:tcPr>
                <w:p w14:paraId="11A626CD">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危险特性</w:t>
                  </w:r>
                </w:p>
              </w:tc>
              <w:tc>
                <w:tcPr>
                  <w:tcW w:w="722" w:type="pct"/>
                  <w:vAlign w:val="center"/>
                </w:tcPr>
                <w:p w14:paraId="720C6EFF">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有害成分</w:t>
                  </w:r>
                </w:p>
              </w:tc>
              <w:tc>
                <w:tcPr>
                  <w:tcW w:w="579" w:type="pct"/>
                  <w:vAlign w:val="center"/>
                </w:tcPr>
                <w:p w14:paraId="381B3306">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产废周期</w:t>
                  </w:r>
                </w:p>
              </w:tc>
              <w:tc>
                <w:tcPr>
                  <w:tcW w:w="837" w:type="pct"/>
                  <w:vAlign w:val="center"/>
                </w:tcPr>
                <w:p w14:paraId="4E5803AB">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污染防治措施</w:t>
                  </w:r>
                </w:p>
              </w:tc>
            </w:tr>
            <w:tr w14:paraId="0782A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182D9F32">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铝灰渣</w:t>
                  </w:r>
                </w:p>
              </w:tc>
              <w:tc>
                <w:tcPr>
                  <w:tcW w:w="631" w:type="pct"/>
                  <w:shd w:val="clear" w:color="auto" w:fill="auto"/>
                  <w:vAlign w:val="center"/>
                </w:tcPr>
                <w:p w14:paraId="7FECBD6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48</w:t>
                  </w:r>
                </w:p>
              </w:tc>
              <w:tc>
                <w:tcPr>
                  <w:tcW w:w="696" w:type="pct"/>
                  <w:shd w:val="clear" w:color="auto" w:fill="auto"/>
                  <w:vAlign w:val="center"/>
                </w:tcPr>
                <w:p w14:paraId="568794E4">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3</w:t>
                  </w:r>
                  <w:r>
                    <w:rPr>
                      <w:rFonts w:hint="eastAsia" w:cs="宋体"/>
                      <w:color w:val="auto"/>
                      <w:spacing w:val="0"/>
                      <w:szCs w:val="21"/>
                      <w:highlight w:val="none"/>
                      <w:lang w:val="en-US" w:eastAsia="zh-CN"/>
                    </w:rPr>
                    <w:t>21</w:t>
                  </w:r>
                  <w:r>
                    <w:rPr>
                      <w:rFonts w:hint="eastAsia" w:ascii="Times New Roman" w:hAnsi="Times New Roman" w:eastAsia="宋体" w:cs="宋体"/>
                      <w:color w:val="auto"/>
                      <w:spacing w:val="0"/>
                      <w:szCs w:val="21"/>
                      <w:highlight w:val="none"/>
                      <w:lang w:val="en-US" w:eastAsia="zh-CN"/>
                    </w:rPr>
                    <w:t>-0</w:t>
                  </w:r>
                  <w:r>
                    <w:rPr>
                      <w:rFonts w:hint="eastAsia" w:cs="宋体"/>
                      <w:color w:val="auto"/>
                      <w:spacing w:val="0"/>
                      <w:szCs w:val="21"/>
                      <w:highlight w:val="none"/>
                      <w:lang w:val="en-US" w:eastAsia="zh-CN"/>
                    </w:rPr>
                    <w:t>26</w:t>
                  </w:r>
                  <w:r>
                    <w:rPr>
                      <w:rFonts w:hint="eastAsia" w:ascii="Times New Roman" w:hAnsi="Times New Roman" w:eastAsia="宋体" w:cs="宋体"/>
                      <w:color w:val="auto"/>
                      <w:spacing w:val="0"/>
                      <w:szCs w:val="21"/>
                      <w:highlight w:val="none"/>
                      <w:lang w:val="en-US" w:eastAsia="zh-CN"/>
                    </w:rPr>
                    <w:t>-</w:t>
                  </w:r>
                  <w:r>
                    <w:rPr>
                      <w:rFonts w:hint="eastAsia" w:cs="宋体"/>
                      <w:color w:val="auto"/>
                      <w:spacing w:val="0"/>
                      <w:szCs w:val="21"/>
                      <w:highlight w:val="none"/>
                      <w:lang w:val="en-US" w:eastAsia="zh-CN"/>
                    </w:rPr>
                    <w:t>48</w:t>
                  </w:r>
                </w:p>
              </w:tc>
              <w:tc>
                <w:tcPr>
                  <w:tcW w:w="579" w:type="pct"/>
                  <w:vAlign w:val="center"/>
                </w:tcPr>
                <w:p w14:paraId="7FF81B66">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R</w:t>
                  </w:r>
                </w:p>
              </w:tc>
              <w:tc>
                <w:tcPr>
                  <w:tcW w:w="722" w:type="pct"/>
                  <w:shd w:val="clear" w:color="auto" w:fill="auto"/>
                  <w:vAlign w:val="center"/>
                </w:tcPr>
                <w:p w14:paraId="00C49EFA">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铝</w:t>
                  </w:r>
                </w:p>
              </w:tc>
              <w:tc>
                <w:tcPr>
                  <w:tcW w:w="579" w:type="pct"/>
                  <w:vAlign w:val="center"/>
                </w:tcPr>
                <w:p w14:paraId="22B67815">
                  <w:pPr>
                    <w:topLinePunct/>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1d</w:t>
                  </w:r>
                </w:p>
              </w:tc>
              <w:tc>
                <w:tcPr>
                  <w:tcW w:w="837" w:type="pct"/>
                  <w:vMerge w:val="restart"/>
                  <w:vAlign w:val="center"/>
                </w:tcPr>
                <w:p w14:paraId="22A76299">
                  <w:pPr>
                    <w:topLinePunct/>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贮存于危险废物暂存间</w:t>
                  </w:r>
                </w:p>
              </w:tc>
            </w:tr>
            <w:tr w14:paraId="64FA7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76252FF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脱模废液</w:t>
                  </w:r>
                </w:p>
              </w:tc>
              <w:tc>
                <w:tcPr>
                  <w:tcW w:w="631" w:type="pct"/>
                  <w:shd w:val="clear" w:color="auto" w:fill="auto"/>
                  <w:vAlign w:val="center"/>
                </w:tcPr>
                <w:p w14:paraId="7F7596D0">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696" w:type="pct"/>
                  <w:shd w:val="clear" w:color="auto" w:fill="auto"/>
                  <w:vAlign w:val="center"/>
                </w:tcPr>
                <w:p w14:paraId="7D497C88">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007</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09</w:t>
                  </w:r>
                </w:p>
              </w:tc>
              <w:tc>
                <w:tcPr>
                  <w:tcW w:w="579" w:type="pct"/>
                  <w:vAlign w:val="center"/>
                </w:tcPr>
                <w:p w14:paraId="00564FC8">
                  <w:pPr>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p>
              </w:tc>
              <w:tc>
                <w:tcPr>
                  <w:tcW w:w="722" w:type="pct"/>
                  <w:shd w:val="clear" w:color="auto" w:fill="auto"/>
                  <w:vAlign w:val="center"/>
                </w:tcPr>
                <w:p w14:paraId="04FEF00C">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烃水混合物</w:t>
                  </w:r>
                </w:p>
              </w:tc>
              <w:tc>
                <w:tcPr>
                  <w:tcW w:w="579" w:type="pct"/>
                  <w:vAlign w:val="center"/>
                </w:tcPr>
                <w:p w14:paraId="06430113">
                  <w:pPr>
                    <w:topLinePunct/>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37" w:type="pct"/>
                  <w:vMerge w:val="continue"/>
                  <w:vAlign w:val="center"/>
                </w:tcPr>
                <w:p w14:paraId="46B290B5">
                  <w:pPr>
                    <w:topLinePunct/>
                    <w:snapToGrid w:val="0"/>
                    <w:jc w:val="center"/>
                    <w:rPr>
                      <w:rFonts w:ascii="Times New Roman" w:hAnsi="Times New Roman" w:eastAsia="宋体" w:cs="宋体"/>
                      <w:color w:val="auto"/>
                      <w:kern w:val="0"/>
                      <w:szCs w:val="21"/>
                      <w:highlight w:val="none"/>
                    </w:rPr>
                  </w:pPr>
                </w:p>
              </w:tc>
            </w:tr>
            <w:tr w14:paraId="1D8B4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55C7373C">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废乳化液</w:t>
                  </w:r>
                </w:p>
              </w:tc>
              <w:tc>
                <w:tcPr>
                  <w:tcW w:w="631" w:type="pct"/>
                  <w:shd w:val="clear" w:color="auto" w:fill="auto"/>
                  <w:vAlign w:val="center"/>
                </w:tcPr>
                <w:p w14:paraId="56316F6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09</w:t>
                  </w:r>
                </w:p>
              </w:tc>
              <w:tc>
                <w:tcPr>
                  <w:tcW w:w="696" w:type="pct"/>
                  <w:shd w:val="clear" w:color="auto" w:fill="auto"/>
                  <w:vAlign w:val="center"/>
                </w:tcPr>
                <w:p w14:paraId="7CE911C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900</w:t>
                  </w:r>
                  <w:r>
                    <w:rPr>
                      <w:rFonts w:hint="eastAsia" w:ascii="Times New Roman" w:hAnsi="Times New Roman" w:eastAsia="宋体" w:cs="宋体"/>
                      <w:color w:val="auto"/>
                      <w:spacing w:val="0"/>
                      <w:szCs w:val="21"/>
                      <w:highlight w:val="none"/>
                      <w:lang w:val="en-US" w:eastAsia="zh-CN"/>
                    </w:rPr>
                    <w:t>-0</w:t>
                  </w:r>
                  <w:r>
                    <w:rPr>
                      <w:rFonts w:hint="eastAsia" w:cs="宋体"/>
                      <w:color w:val="auto"/>
                      <w:spacing w:val="0"/>
                      <w:szCs w:val="21"/>
                      <w:highlight w:val="none"/>
                      <w:lang w:val="en-US" w:eastAsia="zh-CN"/>
                    </w:rPr>
                    <w:t>06</w:t>
                  </w:r>
                  <w:r>
                    <w:rPr>
                      <w:rFonts w:hint="eastAsia" w:ascii="Times New Roman" w:hAnsi="Times New Roman" w:eastAsia="宋体" w:cs="宋体"/>
                      <w:color w:val="auto"/>
                      <w:spacing w:val="0"/>
                      <w:szCs w:val="21"/>
                      <w:highlight w:val="none"/>
                      <w:lang w:val="en-US" w:eastAsia="zh-CN"/>
                    </w:rPr>
                    <w:t>-</w:t>
                  </w:r>
                  <w:r>
                    <w:rPr>
                      <w:rFonts w:hint="eastAsia" w:cs="宋体"/>
                      <w:color w:val="auto"/>
                      <w:spacing w:val="0"/>
                      <w:szCs w:val="21"/>
                      <w:highlight w:val="none"/>
                      <w:lang w:val="en-US" w:eastAsia="zh-CN"/>
                    </w:rPr>
                    <w:t>09</w:t>
                  </w:r>
                </w:p>
              </w:tc>
              <w:tc>
                <w:tcPr>
                  <w:tcW w:w="579" w:type="pct"/>
                  <w:vAlign w:val="center"/>
                </w:tcPr>
                <w:p w14:paraId="0D225247">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T</w:t>
                  </w:r>
                </w:p>
              </w:tc>
              <w:tc>
                <w:tcPr>
                  <w:tcW w:w="722" w:type="pct"/>
                  <w:shd w:val="clear" w:color="auto" w:fill="auto"/>
                  <w:vAlign w:val="center"/>
                </w:tcPr>
                <w:p w14:paraId="27E792F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烃水混合物</w:t>
                  </w:r>
                </w:p>
              </w:tc>
              <w:tc>
                <w:tcPr>
                  <w:tcW w:w="579" w:type="pct"/>
                  <w:vAlign w:val="center"/>
                </w:tcPr>
                <w:p w14:paraId="0E369FD0">
                  <w:pPr>
                    <w:topLinePunct/>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1m</w:t>
                  </w:r>
                </w:p>
              </w:tc>
              <w:tc>
                <w:tcPr>
                  <w:tcW w:w="837" w:type="pct"/>
                  <w:vMerge w:val="continue"/>
                  <w:vAlign w:val="center"/>
                </w:tcPr>
                <w:p w14:paraId="5AD77E85">
                  <w:pPr>
                    <w:topLinePunct/>
                    <w:snapToGrid w:val="0"/>
                    <w:jc w:val="center"/>
                    <w:rPr>
                      <w:rFonts w:ascii="Times New Roman" w:hAnsi="Times New Roman" w:eastAsia="宋体" w:cs="宋体"/>
                      <w:color w:val="auto"/>
                      <w:kern w:val="0"/>
                      <w:szCs w:val="21"/>
                      <w:highlight w:val="none"/>
                    </w:rPr>
                  </w:pPr>
                </w:p>
              </w:tc>
            </w:tr>
            <w:tr w14:paraId="0B283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6238DAF8">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RO浓液</w:t>
                  </w:r>
                </w:p>
              </w:tc>
              <w:tc>
                <w:tcPr>
                  <w:tcW w:w="631" w:type="pct"/>
                  <w:shd w:val="clear" w:color="auto" w:fill="auto"/>
                  <w:vAlign w:val="center"/>
                </w:tcPr>
                <w:p w14:paraId="213194B6">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696" w:type="pct"/>
                  <w:shd w:val="clear" w:color="auto" w:fill="auto"/>
                  <w:vAlign w:val="center"/>
                </w:tcPr>
                <w:p w14:paraId="7C30560F">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007</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09</w:t>
                  </w:r>
                </w:p>
              </w:tc>
              <w:tc>
                <w:tcPr>
                  <w:tcW w:w="579" w:type="pct"/>
                  <w:vAlign w:val="center"/>
                </w:tcPr>
                <w:p w14:paraId="11E231A2">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p>
              </w:tc>
              <w:tc>
                <w:tcPr>
                  <w:tcW w:w="722" w:type="pct"/>
                  <w:shd w:val="clear" w:color="auto" w:fill="auto"/>
                  <w:vAlign w:val="center"/>
                </w:tcPr>
                <w:p w14:paraId="4187D2AF">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烃水混合物</w:t>
                  </w:r>
                </w:p>
              </w:tc>
              <w:tc>
                <w:tcPr>
                  <w:tcW w:w="579" w:type="pct"/>
                  <w:vAlign w:val="center"/>
                </w:tcPr>
                <w:p w14:paraId="6ECC96E4">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d</w:t>
                  </w:r>
                </w:p>
              </w:tc>
              <w:tc>
                <w:tcPr>
                  <w:tcW w:w="837" w:type="pct"/>
                  <w:vMerge w:val="continue"/>
                  <w:vAlign w:val="center"/>
                </w:tcPr>
                <w:p w14:paraId="75146C3E">
                  <w:pPr>
                    <w:topLinePunct/>
                    <w:snapToGrid w:val="0"/>
                    <w:jc w:val="center"/>
                    <w:rPr>
                      <w:rFonts w:ascii="Times New Roman" w:hAnsi="Times New Roman" w:eastAsia="宋体" w:cs="宋体"/>
                      <w:color w:val="auto"/>
                      <w:kern w:val="0"/>
                      <w:szCs w:val="21"/>
                      <w:highlight w:val="none"/>
                    </w:rPr>
                  </w:pPr>
                </w:p>
              </w:tc>
            </w:tr>
            <w:tr w14:paraId="72B68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6FEA3E8C">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废过滤介质</w:t>
                  </w:r>
                </w:p>
              </w:tc>
              <w:tc>
                <w:tcPr>
                  <w:tcW w:w="631" w:type="pct"/>
                  <w:shd w:val="clear" w:color="auto" w:fill="auto"/>
                  <w:vAlign w:val="center"/>
                </w:tcPr>
                <w:p w14:paraId="67650C6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49</w:t>
                  </w:r>
                </w:p>
              </w:tc>
              <w:tc>
                <w:tcPr>
                  <w:tcW w:w="696" w:type="pct"/>
                  <w:shd w:val="clear" w:color="auto" w:fill="auto"/>
                  <w:vAlign w:val="center"/>
                </w:tcPr>
                <w:p w14:paraId="7D9D6465">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900-</w:t>
                  </w:r>
                  <w:r>
                    <w:rPr>
                      <w:rFonts w:hint="eastAsia" w:cs="宋体"/>
                      <w:color w:val="auto"/>
                      <w:spacing w:val="0"/>
                      <w:szCs w:val="21"/>
                      <w:highlight w:val="none"/>
                      <w:lang w:val="en-US" w:eastAsia="zh-CN"/>
                    </w:rPr>
                    <w:t>041</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49</w:t>
                  </w:r>
                </w:p>
              </w:tc>
              <w:tc>
                <w:tcPr>
                  <w:tcW w:w="579" w:type="pct"/>
                  <w:vAlign w:val="center"/>
                </w:tcPr>
                <w:p w14:paraId="20E0560B">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T/In</w:t>
                  </w:r>
                </w:p>
              </w:tc>
              <w:tc>
                <w:tcPr>
                  <w:tcW w:w="722" w:type="pct"/>
                  <w:shd w:val="clear" w:color="auto" w:fill="auto"/>
                  <w:vAlign w:val="center"/>
                </w:tcPr>
                <w:p w14:paraId="6590B2D3">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RO膜、活性炭等</w:t>
                  </w:r>
                </w:p>
              </w:tc>
              <w:tc>
                <w:tcPr>
                  <w:tcW w:w="579" w:type="pct"/>
                  <w:vAlign w:val="center"/>
                </w:tcPr>
                <w:p w14:paraId="213EB652">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37" w:type="pct"/>
                  <w:vMerge w:val="continue"/>
                  <w:vAlign w:val="center"/>
                </w:tcPr>
                <w:p w14:paraId="5F621392">
                  <w:pPr>
                    <w:topLinePunct/>
                    <w:snapToGrid w:val="0"/>
                    <w:jc w:val="center"/>
                    <w:rPr>
                      <w:rFonts w:ascii="Times New Roman" w:hAnsi="Times New Roman" w:eastAsia="宋体" w:cs="宋体"/>
                      <w:color w:val="auto"/>
                      <w:kern w:val="0"/>
                      <w:szCs w:val="21"/>
                      <w:highlight w:val="none"/>
                    </w:rPr>
                  </w:pPr>
                </w:p>
              </w:tc>
            </w:tr>
            <w:tr w14:paraId="18C16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3B29726E">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除尘渣</w:t>
                  </w:r>
                </w:p>
              </w:tc>
              <w:tc>
                <w:tcPr>
                  <w:tcW w:w="631" w:type="pct"/>
                  <w:shd w:val="clear" w:color="auto" w:fill="auto"/>
                  <w:vAlign w:val="center"/>
                </w:tcPr>
                <w:p w14:paraId="06D7FBB9">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w:t>
                  </w:r>
                  <w:r>
                    <w:rPr>
                      <w:rFonts w:hint="eastAsia" w:cs="宋体"/>
                      <w:color w:val="auto"/>
                      <w:spacing w:val="0"/>
                      <w:szCs w:val="21"/>
                      <w:highlight w:val="none"/>
                      <w:lang w:val="en-US" w:eastAsia="zh-CN"/>
                    </w:rPr>
                    <w:t>8</w:t>
                  </w:r>
                </w:p>
              </w:tc>
              <w:tc>
                <w:tcPr>
                  <w:tcW w:w="696" w:type="pct"/>
                  <w:shd w:val="clear" w:color="auto" w:fill="auto"/>
                  <w:vAlign w:val="center"/>
                </w:tcPr>
                <w:p w14:paraId="066D326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321</w:t>
                  </w:r>
                  <w:r>
                    <w:rPr>
                      <w:rFonts w:hint="eastAsia" w:ascii="Times New Roman" w:hAnsi="Times New Roman" w:eastAsia="宋体" w:cs="宋体"/>
                      <w:color w:val="auto"/>
                      <w:spacing w:val="0"/>
                      <w:szCs w:val="21"/>
                      <w:highlight w:val="none"/>
                    </w:rPr>
                    <w:t>-03</w:t>
                  </w:r>
                  <w:r>
                    <w:rPr>
                      <w:rFonts w:hint="eastAsia" w:cs="宋体"/>
                      <w:color w:val="auto"/>
                      <w:spacing w:val="0"/>
                      <w:szCs w:val="21"/>
                      <w:highlight w:val="none"/>
                      <w:lang w:val="en-US" w:eastAsia="zh-CN"/>
                    </w:rPr>
                    <w:t>4</w:t>
                  </w:r>
                  <w:r>
                    <w:rPr>
                      <w:rFonts w:hint="eastAsia" w:ascii="Times New Roman" w:hAnsi="Times New Roman" w:eastAsia="宋体" w:cs="宋体"/>
                      <w:color w:val="auto"/>
                      <w:spacing w:val="0"/>
                      <w:szCs w:val="21"/>
                      <w:highlight w:val="none"/>
                    </w:rPr>
                    <w:t>-</w:t>
                  </w:r>
                  <w:r>
                    <w:rPr>
                      <w:rFonts w:hint="eastAsia" w:cs="宋体"/>
                      <w:color w:val="auto"/>
                      <w:spacing w:val="0"/>
                      <w:szCs w:val="21"/>
                      <w:highlight w:val="none"/>
                      <w:lang w:val="en-US" w:eastAsia="zh-CN"/>
                    </w:rPr>
                    <w:t>48</w:t>
                  </w:r>
                </w:p>
              </w:tc>
              <w:tc>
                <w:tcPr>
                  <w:tcW w:w="579" w:type="pct"/>
                  <w:vAlign w:val="center"/>
                </w:tcPr>
                <w:p w14:paraId="58CC8A89">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r>
                    <w:rPr>
                      <w:rFonts w:hint="eastAsia" w:cs="宋体"/>
                      <w:color w:val="auto"/>
                      <w:szCs w:val="21"/>
                      <w:highlight w:val="none"/>
                      <w:lang w:val="en-US" w:eastAsia="zh-CN"/>
                    </w:rPr>
                    <w:t>，R</w:t>
                  </w:r>
                </w:p>
              </w:tc>
              <w:tc>
                <w:tcPr>
                  <w:tcW w:w="722" w:type="pct"/>
                  <w:shd w:val="clear" w:color="auto" w:fill="auto"/>
                  <w:vAlign w:val="center"/>
                </w:tcPr>
                <w:p w14:paraId="2A73FD67">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铝</w:t>
                  </w:r>
                </w:p>
              </w:tc>
              <w:tc>
                <w:tcPr>
                  <w:tcW w:w="579" w:type="pct"/>
                  <w:vAlign w:val="center"/>
                </w:tcPr>
                <w:p w14:paraId="7784D7FE">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1m</w:t>
                  </w:r>
                </w:p>
              </w:tc>
              <w:tc>
                <w:tcPr>
                  <w:tcW w:w="837" w:type="pct"/>
                  <w:vMerge w:val="continue"/>
                  <w:vAlign w:val="center"/>
                </w:tcPr>
                <w:p w14:paraId="2CF21BB2">
                  <w:pPr>
                    <w:topLinePunct/>
                    <w:snapToGrid w:val="0"/>
                    <w:jc w:val="center"/>
                    <w:rPr>
                      <w:rFonts w:ascii="Times New Roman" w:hAnsi="Times New Roman" w:eastAsia="宋体" w:cs="宋体"/>
                      <w:color w:val="auto"/>
                      <w:kern w:val="0"/>
                      <w:szCs w:val="21"/>
                      <w:highlight w:val="none"/>
                    </w:rPr>
                  </w:pPr>
                </w:p>
              </w:tc>
            </w:tr>
            <w:tr w14:paraId="15A29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431E71AF">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废活性炭</w:t>
                  </w:r>
                </w:p>
              </w:tc>
              <w:tc>
                <w:tcPr>
                  <w:tcW w:w="631" w:type="pct"/>
                  <w:shd w:val="clear" w:color="auto" w:fill="auto"/>
                  <w:vAlign w:val="center"/>
                </w:tcPr>
                <w:p w14:paraId="3E831AC3">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HW49</w:t>
                  </w:r>
                </w:p>
              </w:tc>
              <w:tc>
                <w:tcPr>
                  <w:tcW w:w="696" w:type="pct"/>
                  <w:shd w:val="clear" w:color="auto" w:fill="auto"/>
                  <w:vAlign w:val="center"/>
                </w:tcPr>
                <w:p w14:paraId="794A656C">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900-0</w:t>
                  </w:r>
                  <w:r>
                    <w:rPr>
                      <w:rFonts w:hint="eastAsia" w:ascii="Times New Roman" w:hAnsi="Times New Roman" w:eastAsia="宋体" w:cs="宋体"/>
                      <w:color w:val="auto"/>
                      <w:spacing w:val="0"/>
                      <w:szCs w:val="21"/>
                      <w:highlight w:val="none"/>
                      <w:lang w:val="en-US" w:eastAsia="zh-CN"/>
                    </w:rPr>
                    <w:t>39</w:t>
                  </w:r>
                  <w:r>
                    <w:rPr>
                      <w:rFonts w:hint="eastAsia" w:ascii="Times New Roman" w:hAnsi="Times New Roman" w:eastAsia="宋体" w:cs="宋体"/>
                      <w:color w:val="auto"/>
                      <w:spacing w:val="0"/>
                      <w:szCs w:val="21"/>
                      <w:highlight w:val="none"/>
                    </w:rPr>
                    <w:t>-49</w:t>
                  </w:r>
                </w:p>
              </w:tc>
              <w:tc>
                <w:tcPr>
                  <w:tcW w:w="579" w:type="pct"/>
                  <w:vAlign w:val="center"/>
                </w:tcPr>
                <w:p w14:paraId="37745A7E">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T</w:t>
                  </w:r>
                </w:p>
              </w:tc>
              <w:tc>
                <w:tcPr>
                  <w:tcW w:w="722" w:type="pct"/>
                  <w:shd w:val="clear" w:color="auto" w:fill="auto"/>
                  <w:vAlign w:val="center"/>
                </w:tcPr>
                <w:p w14:paraId="69EB6D0B">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smallCaps w:val="0"/>
                      <w:color w:val="auto"/>
                      <w:spacing w:val="0"/>
                      <w:szCs w:val="21"/>
                      <w:highlight w:val="none"/>
                      <w:lang w:val="en-US" w:eastAsia="zh-CN"/>
                    </w:rPr>
                    <w:t>活性炭、有机物</w:t>
                  </w:r>
                </w:p>
              </w:tc>
              <w:tc>
                <w:tcPr>
                  <w:tcW w:w="579" w:type="pct"/>
                  <w:vAlign w:val="center"/>
                </w:tcPr>
                <w:p w14:paraId="4665D7CB">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1m</w:t>
                  </w:r>
                </w:p>
              </w:tc>
              <w:tc>
                <w:tcPr>
                  <w:tcW w:w="837" w:type="pct"/>
                  <w:vMerge w:val="continue"/>
                  <w:vAlign w:val="center"/>
                </w:tcPr>
                <w:p w14:paraId="518F72E7">
                  <w:pPr>
                    <w:topLinePunct/>
                    <w:snapToGrid w:val="0"/>
                    <w:jc w:val="center"/>
                    <w:rPr>
                      <w:rFonts w:ascii="Times New Roman" w:hAnsi="Times New Roman" w:eastAsia="宋体" w:cs="宋体"/>
                      <w:color w:val="auto"/>
                      <w:kern w:val="0"/>
                      <w:szCs w:val="21"/>
                      <w:highlight w:val="none"/>
                    </w:rPr>
                  </w:pPr>
                </w:p>
              </w:tc>
            </w:tr>
            <w:tr w14:paraId="15D0F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690DFD4B">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废矿物油</w:t>
                  </w:r>
                </w:p>
              </w:tc>
              <w:tc>
                <w:tcPr>
                  <w:tcW w:w="631" w:type="pct"/>
                  <w:shd w:val="clear" w:color="auto" w:fill="auto"/>
                  <w:vAlign w:val="center"/>
                </w:tcPr>
                <w:p w14:paraId="2CF43BD8">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HW0</w:t>
                  </w:r>
                  <w:r>
                    <w:rPr>
                      <w:rFonts w:hint="eastAsia"/>
                      <w:smallCaps w:val="0"/>
                      <w:color w:val="auto"/>
                      <w:spacing w:val="0"/>
                      <w:szCs w:val="21"/>
                      <w:highlight w:val="none"/>
                      <w:lang w:val="en-US" w:eastAsia="zh-CN"/>
                    </w:rPr>
                    <w:t>8</w:t>
                  </w:r>
                </w:p>
              </w:tc>
              <w:tc>
                <w:tcPr>
                  <w:tcW w:w="696" w:type="pct"/>
                  <w:shd w:val="clear" w:color="auto" w:fill="auto"/>
                  <w:vAlign w:val="center"/>
                </w:tcPr>
                <w:p w14:paraId="424C68C0">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900-</w:t>
                  </w:r>
                  <w:r>
                    <w:rPr>
                      <w:rFonts w:hint="eastAsia"/>
                      <w:smallCaps w:val="0"/>
                      <w:color w:val="auto"/>
                      <w:spacing w:val="0"/>
                      <w:szCs w:val="21"/>
                      <w:highlight w:val="none"/>
                      <w:lang w:val="en-US" w:eastAsia="zh-CN"/>
                    </w:rPr>
                    <w:t>249</w:t>
                  </w:r>
                  <w:r>
                    <w:rPr>
                      <w:rFonts w:hint="eastAsia" w:ascii="Times New Roman" w:hAnsi="Times New Roman" w:eastAsia="宋体"/>
                      <w:smallCaps w:val="0"/>
                      <w:color w:val="auto"/>
                      <w:spacing w:val="0"/>
                      <w:szCs w:val="21"/>
                      <w:highlight w:val="none"/>
                    </w:rPr>
                    <w:t>-0</w:t>
                  </w:r>
                  <w:r>
                    <w:rPr>
                      <w:rFonts w:hint="eastAsia"/>
                      <w:smallCaps w:val="0"/>
                      <w:color w:val="auto"/>
                      <w:spacing w:val="0"/>
                      <w:szCs w:val="21"/>
                      <w:highlight w:val="none"/>
                      <w:lang w:val="en-US" w:eastAsia="zh-CN"/>
                    </w:rPr>
                    <w:t>8</w:t>
                  </w:r>
                </w:p>
              </w:tc>
              <w:tc>
                <w:tcPr>
                  <w:tcW w:w="579" w:type="pct"/>
                  <w:vAlign w:val="center"/>
                </w:tcPr>
                <w:p w14:paraId="2C3C7C87">
                  <w:pPr>
                    <w:snapToGrid w:val="0"/>
                    <w:jc w:val="center"/>
                    <w:rPr>
                      <w:rFonts w:hint="default" w:ascii="Times New Roman" w:hAnsi="Times New Roman" w:eastAsia="宋体" w:cs="宋体"/>
                      <w:color w:val="auto"/>
                      <w:szCs w:val="21"/>
                      <w:highlight w:val="none"/>
                      <w:lang w:val="en-US"/>
                    </w:rPr>
                  </w:pPr>
                  <w:r>
                    <w:rPr>
                      <w:rFonts w:hint="eastAsia" w:ascii="Times New Roman" w:hAnsi="Times New Roman" w:eastAsia="宋体" w:cs="宋体"/>
                      <w:color w:val="auto"/>
                      <w:szCs w:val="21"/>
                      <w:highlight w:val="none"/>
                      <w:lang w:val="en-US" w:eastAsia="zh-CN"/>
                    </w:rPr>
                    <w:t>T</w:t>
                  </w:r>
                  <w:r>
                    <w:rPr>
                      <w:rFonts w:hint="eastAsia" w:cs="宋体"/>
                      <w:color w:val="auto"/>
                      <w:szCs w:val="21"/>
                      <w:highlight w:val="none"/>
                      <w:lang w:val="en-US" w:eastAsia="zh-CN"/>
                    </w:rPr>
                    <w:t>，I</w:t>
                  </w:r>
                </w:p>
              </w:tc>
              <w:tc>
                <w:tcPr>
                  <w:tcW w:w="722" w:type="pct"/>
                  <w:shd w:val="clear" w:color="auto" w:fill="auto"/>
                  <w:vAlign w:val="center"/>
                </w:tcPr>
                <w:p w14:paraId="6A289D0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smallCaps w:val="0"/>
                      <w:color w:val="auto"/>
                      <w:spacing w:val="0"/>
                      <w:szCs w:val="21"/>
                      <w:highlight w:val="none"/>
                      <w:lang w:val="en-US" w:eastAsia="zh-CN"/>
                    </w:rPr>
                    <w:t>矿物油</w:t>
                  </w:r>
                </w:p>
              </w:tc>
              <w:tc>
                <w:tcPr>
                  <w:tcW w:w="579" w:type="pct"/>
                  <w:vAlign w:val="center"/>
                </w:tcPr>
                <w:p w14:paraId="191621F5">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37" w:type="pct"/>
                  <w:vMerge w:val="continue"/>
                  <w:vAlign w:val="center"/>
                </w:tcPr>
                <w:p w14:paraId="05558FFE">
                  <w:pPr>
                    <w:topLinePunct/>
                    <w:snapToGrid w:val="0"/>
                    <w:jc w:val="center"/>
                    <w:rPr>
                      <w:rFonts w:ascii="Times New Roman" w:hAnsi="Times New Roman" w:eastAsia="宋体" w:cs="宋体"/>
                      <w:color w:val="auto"/>
                      <w:kern w:val="0"/>
                      <w:szCs w:val="21"/>
                      <w:highlight w:val="none"/>
                    </w:rPr>
                  </w:pPr>
                </w:p>
              </w:tc>
            </w:tr>
            <w:tr w14:paraId="287E7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52" w:type="pct"/>
                  <w:shd w:val="clear" w:color="auto" w:fill="auto"/>
                  <w:vAlign w:val="center"/>
                </w:tcPr>
                <w:p w14:paraId="62521CE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废包装桶</w:t>
                  </w:r>
                </w:p>
              </w:tc>
              <w:tc>
                <w:tcPr>
                  <w:tcW w:w="631" w:type="pct"/>
                  <w:shd w:val="clear" w:color="auto" w:fill="auto"/>
                  <w:vAlign w:val="center"/>
                </w:tcPr>
                <w:p w14:paraId="1918EC8D">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HW49</w:t>
                  </w:r>
                </w:p>
              </w:tc>
              <w:tc>
                <w:tcPr>
                  <w:tcW w:w="696" w:type="pct"/>
                  <w:shd w:val="clear" w:color="auto" w:fill="auto"/>
                  <w:vAlign w:val="center"/>
                </w:tcPr>
                <w:p w14:paraId="1F8FF8D6">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900-041-49</w:t>
                  </w:r>
                </w:p>
              </w:tc>
              <w:tc>
                <w:tcPr>
                  <w:tcW w:w="579" w:type="pct"/>
                  <w:vAlign w:val="center"/>
                </w:tcPr>
                <w:p w14:paraId="33B332F9">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r>
                    <w:rPr>
                      <w:rFonts w:hint="eastAsia" w:cs="宋体"/>
                      <w:color w:val="auto"/>
                      <w:szCs w:val="21"/>
                      <w:highlight w:val="none"/>
                      <w:lang w:val="en-US" w:eastAsia="zh-CN"/>
                    </w:rPr>
                    <w:t>/In</w:t>
                  </w:r>
                </w:p>
              </w:tc>
              <w:tc>
                <w:tcPr>
                  <w:tcW w:w="722" w:type="pct"/>
                  <w:shd w:val="clear" w:color="auto" w:fill="auto"/>
                  <w:vAlign w:val="center"/>
                </w:tcPr>
                <w:p w14:paraId="6E3C0BC8">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铁、塑料等</w:t>
                  </w:r>
                </w:p>
              </w:tc>
              <w:tc>
                <w:tcPr>
                  <w:tcW w:w="579" w:type="pct"/>
                  <w:vAlign w:val="center"/>
                </w:tcPr>
                <w:p w14:paraId="64439705">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m</w:t>
                  </w:r>
                </w:p>
              </w:tc>
              <w:tc>
                <w:tcPr>
                  <w:tcW w:w="837" w:type="pct"/>
                  <w:vMerge w:val="continue"/>
                  <w:vAlign w:val="center"/>
                </w:tcPr>
                <w:p w14:paraId="4F3967DA">
                  <w:pPr>
                    <w:topLinePunct/>
                    <w:snapToGrid w:val="0"/>
                    <w:jc w:val="center"/>
                    <w:rPr>
                      <w:rFonts w:ascii="Times New Roman" w:hAnsi="Times New Roman" w:eastAsia="宋体" w:cs="宋体"/>
                      <w:color w:val="auto"/>
                      <w:kern w:val="0"/>
                      <w:szCs w:val="21"/>
                      <w:highlight w:val="none"/>
                    </w:rPr>
                  </w:pPr>
                </w:p>
              </w:tc>
            </w:tr>
          </w:tbl>
          <w:p w14:paraId="4B2BD629">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4.4-</w:t>
            </w:r>
            <w:r>
              <w:rPr>
                <w:rFonts w:hint="eastAsia" w:cs="宋体"/>
                <w:b/>
                <w:bCs/>
                <w:color w:val="auto"/>
                <w:spacing w:val="-4"/>
                <w:szCs w:val="21"/>
                <w:highlight w:val="none"/>
                <w:lang w:val="en-US" w:eastAsia="zh-CN"/>
              </w:rPr>
              <w:t>4</w:t>
            </w:r>
            <w:r>
              <w:rPr>
                <w:rFonts w:hint="eastAsia" w:ascii="Times New Roman" w:hAnsi="Times New Roman" w:eastAsia="宋体" w:cs="宋体"/>
                <w:b/>
                <w:bCs/>
                <w:color w:val="auto"/>
                <w:spacing w:val="-4"/>
                <w:szCs w:val="21"/>
                <w:highlight w:val="none"/>
              </w:rPr>
              <w:t xml:space="preserve">  </w:t>
            </w:r>
            <w:r>
              <w:rPr>
                <w:rFonts w:hint="eastAsia" w:cs="宋体"/>
                <w:b/>
                <w:bCs/>
                <w:color w:val="auto"/>
                <w:spacing w:val="-4"/>
                <w:szCs w:val="21"/>
                <w:highlight w:val="none"/>
                <w:lang w:val="en-US" w:eastAsia="zh-CN"/>
              </w:rPr>
              <w:t>全厂项目</w:t>
            </w:r>
            <w:r>
              <w:rPr>
                <w:rFonts w:ascii="Times New Roman" w:hAnsi="Times New Roman" w:eastAsia="宋体" w:cs="宋体"/>
                <w:b/>
                <w:bCs/>
                <w:color w:val="auto"/>
                <w:spacing w:val="-4"/>
                <w:szCs w:val="21"/>
                <w:highlight w:val="none"/>
              </w:rPr>
              <w:t>危险废物分析结果汇总表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96"/>
              <w:gridCol w:w="1007"/>
              <w:gridCol w:w="1169"/>
              <w:gridCol w:w="1008"/>
              <w:gridCol w:w="1251"/>
              <w:gridCol w:w="1008"/>
              <w:gridCol w:w="1500"/>
            </w:tblGrid>
            <w:tr w14:paraId="3D2C3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vAlign w:val="center"/>
                </w:tcPr>
                <w:p w14:paraId="25D86705">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危险废物名称</w:t>
                  </w:r>
                </w:p>
              </w:tc>
              <w:tc>
                <w:tcPr>
                  <w:tcW w:w="596" w:type="pct"/>
                  <w:vAlign w:val="center"/>
                </w:tcPr>
                <w:p w14:paraId="7D80DAE5">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废物类别</w:t>
                  </w:r>
                </w:p>
              </w:tc>
              <w:tc>
                <w:tcPr>
                  <w:tcW w:w="692" w:type="pct"/>
                  <w:vAlign w:val="center"/>
                </w:tcPr>
                <w:p w14:paraId="492A9E58">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废物代码</w:t>
                  </w:r>
                </w:p>
              </w:tc>
              <w:tc>
                <w:tcPr>
                  <w:tcW w:w="597" w:type="pct"/>
                  <w:vAlign w:val="center"/>
                </w:tcPr>
                <w:p w14:paraId="75CF958E">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危险特性</w:t>
                  </w:r>
                </w:p>
              </w:tc>
              <w:tc>
                <w:tcPr>
                  <w:tcW w:w="741" w:type="pct"/>
                  <w:vAlign w:val="center"/>
                </w:tcPr>
                <w:p w14:paraId="5770D5A8">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有害成分</w:t>
                  </w:r>
                </w:p>
              </w:tc>
              <w:tc>
                <w:tcPr>
                  <w:tcW w:w="597" w:type="pct"/>
                  <w:vAlign w:val="center"/>
                </w:tcPr>
                <w:p w14:paraId="11E62A82">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产废周期</w:t>
                  </w:r>
                </w:p>
              </w:tc>
              <w:tc>
                <w:tcPr>
                  <w:tcW w:w="888" w:type="pct"/>
                  <w:vAlign w:val="center"/>
                </w:tcPr>
                <w:p w14:paraId="7D6E746B">
                  <w:pPr>
                    <w:topLinePunct/>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污染防治措施</w:t>
                  </w:r>
                </w:p>
              </w:tc>
            </w:tr>
            <w:tr w14:paraId="0F508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0173AB0D">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铝灰渣</w:t>
                  </w:r>
                </w:p>
              </w:tc>
              <w:tc>
                <w:tcPr>
                  <w:tcW w:w="596" w:type="pct"/>
                  <w:shd w:val="clear" w:color="auto" w:fill="auto"/>
                  <w:vAlign w:val="center"/>
                </w:tcPr>
                <w:p w14:paraId="7002B5A7">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HW</w:t>
                  </w:r>
                  <w:r>
                    <w:rPr>
                      <w:rFonts w:hint="eastAsia" w:cs="宋体"/>
                      <w:color w:val="auto"/>
                      <w:szCs w:val="21"/>
                      <w:highlight w:val="none"/>
                      <w:lang w:val="en-US" w:eastAsia="zh-CN"/>
                    </w:rPr>
                    <w:t>48</w:t>
                  </w:r>
                </w:p>
              </w:tc>
              <w:tc>
                <w:tcPr>
                  <w:tcW w:w="692" w:type="pct"/>
                  <w:shd w:val="clear" w:color="auto" w:fill="auto"/>
                  <w:vAlign w:val="center"/>
                </w:tcPr>
                <w:p w14:paraId="557667B4">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3</w:t>
                  </w:r>
                  <w:r>
                    <w:rPr>
                      <w:rFonts w:hint="eastAsia" w:cs="宋体"/>
                      <w:color w:val="auto"/>
                      <w:szCs w:val="21"/>
                      <w:highlight w:val="none"/>
                      <w:lang w:val="en-US" w:eastAsia="zh-CN"/>
                    </w:rPr>
                    <w:t>21</w:t>
                  </w:r>
                  <w:r>
                    <w:rPr>
                      <w:rFonts w:hint="eastAsia" w:ascii="Times New Roman" w:hAnsi="Times New Roman" w:eastAsia="宋体" w:cs="宋体"/>
                      <w:color w:val="auto"/>
                      <w:szCs w:val="21"/>
                      <w:highlight w:val="none"/>
                      <w:lang w:val="en-US" w:eastAsia="zh-CN"/>
                    </w:rPr>
                    <w:t>-0</w:t>
                  </w:r>
                  <w:r>
                    <w:rPr>
                      <w:rFonts w:hint="eastAsia" w:cs="宋体"/>
                      <w:color w:val="auto"/>
                      <w:szCs w:val="21"/>
                      <w:highlight w:val="none"/>
                      <w:lang w:val="en-US" w:eastAsia="zh-CN"/>
                    </w:rPr>
                    <w:t>26</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48</w:t>
                  </w:r>
                </w:p>
              </w:tc>
              <w:tc>
                <w:tcPr>
                  <w:tcW w:w="597" w:type="pct"/>
                  <w:vAlign w:val="center"/>
                </w:tcPr>
                <w:p w14:paraId="156FAEFA">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R</w:t>
                  </w:r>
                </w:p>
              </w:tc>
              <w:tc>
                <w:tcPr>
                  <w:tcW w:w="741" w:type="pct"/>
                  <w:shd w:val="clear" w:color="auto" w:fill="auto"/>
                  <w:vAlign w:val="center"/>
                </w:tcPr>
                <w:p w14:paraId="5C21C60D">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铝</w:t>
                  </w:r>
                </w:p>
              </w:tc>
              <w:tc>
                <w:tcPr>
                  <w:tcW w:w="597" w:type="pct"/>
                  <w:vAlign w:val="center"/>
                </w:tcPr>
                <w:p w14:paraId="5EBCAE99">
                  <w:pPr>
                    <w:topLinePunct/>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1d</w:t>
                  </w:r>
                </w:p>
              </w:tc>
              <w:tc>
                <w:tcPr>
                  <w:tcW w:w="888" w:type="pct"/>
                  <w:vMerge w:val="restart"/>
                  <w:vAlign w:val="center"/>
                </w:tcPr>
                <w:p w14:paraId="7DB0D3B2">
                  <w:pPr>
                    <w:topLinePunct/>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贮存于危险废物暂存间</w:t>
                  </w:r>
                </w:p>
              </w:tc>
            </w:tr>
            <w:tr w14:paraId="051A4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3D7B731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脱模废液</w:t>
                  </w:r>
                </w:p>
              </w:tc>
              <w:tc>
                <w:tcPr>
                  <w:tcW w:w="596" w:type="pct"/>
                  <w:shd w:val="clear" w:color="auto" w:fill="auto"/>
                  <w:vAlign w:val="center"/>
                </w:tcPr>
                <w:p w14:paraId="01EED7C6">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09</w:t>
                  </w:r>
                </w:p>
              </w:tc>
              <w:tc>
                <w:tcPr>
                  <w:tcW w:w="692" w:type="pct"/>
                  <w:shd w:val="clear" w:color="auto" w:fill="auto"/>
                  <w:vAlign w:val="center"/>
                </w:tcPr>
                <w:p w14:paraId="5C2F8D5B">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007</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09</w:t>
                  </w:r>
                </w:p>
              </w:tc>
              <w:tc>
                <w:tcPr>
                  <w:tcW w:w="597" w:type="pct"/>
                  <w:vAlign w:val="center"/>
                </w:tcPr>
                <w:p w14:paraId="3C9BA3EE">
                  <w:pPr>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p>
              </w:tc>
              <w:tc>
                <w:tcPr>
                  <w:tcW w:w="741" w:type="pct"/>
                  <w:shd w:val="clear" w:color="auto" w:fill="auto"/>
                  <w:vAlign w:val="center"/>
                </w:tcPr>
                <w:p w14:paraId="1486F338">
                  <w:pPr>
                    <w:snapToGrid w:val="0"/>
                    <w:jc w:val="center"/>
                    <w:rPr>
                      <w:rFonts w:hint="eastAsia" w:cs="宋体"/>
                      <w:color w:val="auto"/>
                      <w:szCs w:val="21"/>
                      <w:highlight w:val="none"/>
                      <w:lang w:val="en-US" w:eastAsia="zh-CN"/>
                    </w:rPr>
                  </w:pPr>
                  <w:r>
                    <w:rPr>
                      <w:rFonts w:hint="eastAsia" w:cs="宋体"/>
                      <w:color w:val="auto"/>
                      <w:szCs w:val="21"/>
                      <w:highlight w:val="none"/>
                      <w:lang w:val="en-US" w:eastAsia="zh-CN"/>
                    </w:rPr>
                    <w:t>烃水混合物</w:t>
                  </w:r>
                </w:p>
              </w:tc>
              <w:tc>
                <w:tcPr>
                  <w:tcW w:w="597" w:type="pct"/>
                  <w:vAlign w:val="center"/>
                </w:tcPr>
                <w:p w14:paraId="70068846">
                  <w:pPr>
                    <w:topLinePunct/>
                    <w:snapToGrid w:val="0"/>
                    <w:jc w:val="center"/>
                    <w:rPr>
                      <w:rFonts w:hint="eastAsia"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88" w:type="pct"/>
                  <w:vMerge w:val="continue"/>
                  <w:vAlign w:val="center"/>
                </w:tcPr>
                <w:p w14:paraId="2BF586F3">
                  <w:pPr>
                    <w:topLinePunct/>
                    <w:snapToGrid w:val="0"/>
                    <w:jc w:val="center"/>
                    <w:rPr>
                      <w:rFonts w:ascii="Times New Roman" w:hAnsi="Times New Roman" w:eastAsia="宋体" w:cs="宋体"/>
                      <w:color w:val="auto"/>
                      <w:kern w:val="0"/>
                      <w:szCs w:val="21"/>
                      <w:highlight w:val="none"/>
                    </w:rPr>
                  </w:pPr>
                </w:p>
              </w:tc>
            </w:tr>
            <w:tr w14:paraId="25E88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3B86F4B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废乳化液</w:t>
                  </w:r>
                </w:p>
              </w:tc>
              <w:tc>
                <w:tcPr>
                  <w:tcW w:w="596" w:type="pct"/>
                  <w:shd w:val="clear" w:color="auto" w:fill="auto"/>
                  <w:vAlign w:val="center"/>
                </w:tcPr>
                <w:p w14:paraId="5DF3608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HW</w:t>
                  </w:r>
                  <w:r>
                    <w:rPr>
                      <w:rFonts w:hint="eastAsia" w:cs="宋体"/>
                      <w:color w:val="auto"/>
                      <w:szCs w:val="21"/>
                      <w:highlight w:val="none"/>
                      <w:lang w:val="en-US" w:eastAsia="zh-CN"/>
                    </w:rPr>
                    <w:t>09</w:t>
                  </w:r>
                </w:p>
              </w:tc>
              <w:tc>
                <w:tcPr>
                  <w:tcW w:w="692" w:type="pct"/>
                  <w:shd w:val="clear" w:color="auto" w:fill="auto"/>
                  <w:vAlign w:val="center"/>
                </w:tcPr>
                <w:p w14:paraId="44543D4A">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900</w:t>
                  </w:r>
                  <w:r>
                    <w:rPr>
                      <w:rFonts w:hint="eastAsia" w:ascii="Times New Roman" w:hAnsi="Times New Roman" w:eastAsia="宋体" w:cs="宋体"/>
                      <w:color w:val="auto"/>
                      <w:szCs w:val="21"/>
                      <w:highlight w:val="none"/>
                      <w:lang w:val="en-US" w:eastAsia="zh-CN"/>
                    </w:rPr>
                    <w:t>-0</w:t>
                  </w:r>
                  <w:r>
                    <w:rPr>
                      <w:rFonts w:hint="eastAsia" w:cs="宋体"/>
                      <w:color w:val="auto"/>
                      <w:szCs w:val="21"/>
                      <w:highlight w:val="none"/>
                      <w:lang w:val="en-US" w:eastAsia="zh-CN"/>
                    </w:rPr>
                    <w:t>06</w:t>
                  </w:r>
                  <w:r>
                    <w:rPr>
                      <w:rFonts w:hint="eastAsia" w:ascii="Times New Roman" w:hAnsi="Times New Roman" w:eastAsia="宋体" w:cs="宋体"/>
                      <w:color w:val="auto"/>
                      <w:szCs w:val="21"/>
                      <w:highlight w:val="none"/>
                      <w:lang w:val="en-US" w:eastAsia="zh-CN"/>
                    </w:rPr>
                    <w:t>-</w:t>
                  </w:r>
                  <w:r>
                    <w:rPr>
                      <w:rFonts w:hint="eastAsia" w:cs="宋体"/>
                      <w:color w:val="auto"/>
                      <w:szCs w:val="21"/>
                      <w:highlight w:val="none"/>
                      <w:lang w:val="en-US" w:eastAsia="zh-CN"/>
                    </w:rPr>
                    <w:t>09</w:t>
                  </w:r>
                </w:p>
              </w:tc>
              <w:tc>
                <w:tcPr>
                  <w:tcW w:w="597" w:type="pct"/>
                  <w:vAlign w:val="center"/>
                </w:tcPr>
                <w:p w14:paraId="0125ECEB">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T</w:t>
                  </w:r>
                </w:p>
              </w:tc>
              <w:tc>
                <w:tcPr>
                  <w:tcW w:w="741" w:type="pct"/>
                  <w:shd w:val="clear" w:color="auto" w:fill="auto"/>
                  <w:vAlign w:val="center"/>
                </w:tcPr>
                <w:p w14:paraId="08A0CC98">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烃水混合物</w:t>
                  </w:r>
                </w:p>
              </w:tc>
              <w:tc>
                <w:tcPr>
                  <w:tcW w:w="597" w:type="pct"/>
                  <w:vAlign w:val="center"/>
                </w:tcPr>
                <w:p w14:paraId="286EB473">
                  <w:pPr>
                    <w:topLinePunct/>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1m</w:t>
                  </w:r>
                </w:p>
              </w:tc>
              <w:tc>
                <w:tcPr>
                  <w:tcW w:w="888" w:type="pct"/>
                  <w:vMerge w:val="continue"/>
                  <w:vAlign w:val="center"/>
                </w:tcPr>
                <w:p w14:paraId="62094E5C">
                  <w:pPr>
                    <w:topLinePunct/>
                    <w:snapToGrid w:val="0"/>
                    <w:jc w:val="center"/>
                    <w:rPr>
                      <w:rFonts w:ascii="Times New Roman" w:hAnsi="Times New Roman" w:eastAsia="宋体" w:cs="宋体"/>
                      <w:color w:val="auto"/>
                      <w:kern w:val="0"/>
                      <w:szCs w:val="21"/>
                      <w:highlight w:val="none"/>
                    </w:rPr>
                  </w:pPr>
                </w:p>
              </w:tc>
            </w:tr>
            <w:tr w14:paraId="2877A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0A1D4609">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RO浓液</w:t>
                  </w:r>
                </w:p>
              </w:tc>
              <w:tc>
                <w:tcPr>
                  <w:tcW w:w="596" w:type="pct"/>
                  <w:shd w:val="clear" w:color="auto" w:fill="auto"/>
                  <w:vAlign w:val="center"/>
                </w:tcPr>
                <w:p w14:paraId="21EFC3B9">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09</w:t>
                  </w:r>
                </w:p>
              </w:tc>
              <w:tc>
                <w:tcPr>
                  <w:tcW w:w="692" w:type="pct"/>
                  <w:shd w:val="clear" w:color="auto" w:fill="auto"/>
                  <w:vAlign w:val="center"/>
                </w:tcPr>
                <w:p w14:paraId="048348ED">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007</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09</w:t>
                  </w:r>
                </w:p>
              </w:tc>
              <w:tc>
                <w:tcPr>
                  <w:tcW w:w="597" w:type="pct"/>
                  <w:vAlign w:val="center"/>
                </w:tcPr>
                <w:p w14:paraId="287B3698">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p>
              </w:tc>
              <w:tc>
                <w:tcPr>
                  <w:tcW w:w="741" w:type="pct"/>
                  <w:shd w:val="clear" w:color="auto" w:fill="auto"/>
                  <w:vAlign w:val="center"/>
                </w:tcPr>
                <w:p w14:paraId="2938B9F6">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烃水混合物</w:t>
                  </w:r>
                </w:p>
              </w:tc>
              <w:tc>
                <w:tcPr>
                  <w:tcW w:w="597" w:type="pct"/>
                  <w:vAlign w:val="center"/>
                </w:tcPr>
                <w:p w14:paraId="43700E18">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d</w:t>
                  </w:r>
                </w:p>
              </w:tc>
              <w:tc>
                <w:tcPr>
                  <w:tcW w:w="888" w:type="pct"/>
                  <w:vMerge w:val="continue"/>
                  <w:vAlign w:val="center"/>
                </w:tcPr>
                <w:p w14:paraId="03F93422">
                  <w:pPr>
                    <w:topLinePunct/>
                    <w:snapToGrid w:val="0"/>
                    <w:jc w:val="center"/>
                    <w:rPr>
                      <w:rFonts w:ascii="Times New Roman" w:hAnsi="Times New Roman" w:eastAsia="宋体" w:cs="宋体"/>
                      <w:color w:val="auto"/>
                      <w:kern w:val="0"/>
                      <w:szCs w:val="21"/>
                      <w:highlight w:val="none"/>
                    </w:rPr>
                  </w:pPr>
                </w:p>
              </w:tc>
            </w:tr>
            <w:tr w14:paraId="5DDAA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3753DA60">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废过滤介质</w:t>
                  </w:r>
                </w:p>
              </w:tc>
              <w:tc>
                <w:tcPr>
                  <w:tcW w:w="596" w:type="pct"/>
                  <w:shd w:val="clear" w:color="auto" w:fill="auto"/>
                  <w:vAlign w:val="center"/>
                </w:tcPr>
                <w:p w14:paraId="09EB3205">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w:t>
                  </w:r>
                  <w:r>
                    <w:rPr>
                      <w:rFonts w:hint="eastAsia" w:cs="宋体"/>
                      <w:color w:val="auto"/>
                      <w:szCs w:val="21"/>
                      <w:highlight w:val="none"/>
                      <w:lang w:val="en-US" w:eastAsia="zh-CN"/>
                    </w:rPr>
                    <w:t>49</w:t>
                  </w:r>
                </w:p>
              </w:tc>
              <w:tc>
                <w:tcPr>
                  <w:tcW w:w="692" w:type="pct"/>
                  <w:shd w:val="clear" w:color="auto" w:fill="auto"/>
                  <w:vAlign w:val="center"/>
                </w:tcPr>
                <w:p w14:paraId="0650B2BC">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900-</w:t>
                  </w:r>
                  <w:r>
                    <w:rPr>
                      <w:rFonts w:hint="eastAsia" w:cs="宋体"/>
                      <w:color w:val="auto"/>
                      <w:szCs w:val="21"/>
                      <w:highlight w:val="none"/>
                      <w:lang w:val="en-US" w:eastAsia="zh-CN"/>
                    </w:rPr>
                    <w:t>041</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49</w:t>
                  </w:r>
                </w:p>
              </w:tc>
              <w:tc>
                <w:tcPr>
                  <w:tcW w:w="597" w:type="pct"/>
                  <w:vAlign w:val="center"/>
                </w:tcPr>
                <w:p w14:paraId="424B7351">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T/In</w:t>
                  </w:r>
                </w:p>
              </w:tc>
              <w:tc>
                <w:tcPr>
                  <w:tcW w:w="741" w:type="pct"/>
                  <w:shd w:val="clear" w:color="auto" w:fill="auto"/>
                  <w:vAlign w:val="center"/>
                </w:tcPr>
                <w:p w14:paraId="0A5F6516">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RO膜、活性炭等</w:t>
                  </w:r>
                </w:p>
              </w:tc>
              <w:tc>
                <w:tcPr>
                  <w:tcW w:w="597" w:type="pct"/>
                  <w:vAlign w:val="center"/>
                </w:tcPr>
                <w:p w14:paraId="59146ECA">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88" w:type="pct"/>
                  <w:vMerge w:val="continue"/>
                  <w:vAlign w:val="center"/>
                </w:tcPr>
                <w:p w14:paraId="2CA2B504">
                  <w:pPr>
                    <w:topLinePunct/>
                    <w:snapToGrid w:val="0"/>
                    <w:jc w:val="center"/>
                    <w:rPr>
                      <w:rFonts w:ascii="Times New Roman" w:hAnsi="Times New Roman" w:eastAsia="宋体" w:cs="宋体"/>
                      <w:color w:val="auto"/>
                      <w:kern w:val="0"/>
                      <w:szCs w:val="21"/>
                      <w:highlight w:val="none"/>
                    </w:rPr>
                  </w:pPr>
                </w:p>
              </w:tc>
            </w:tr>
            <w:tr w14:paraId="5C2A7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1C94AEB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除尘渣</w:t>
                  </w:r>
                </w:p>
              </w:tc>
              <w:tc>
                <w:tcPr>
                  <w:tcW w:w="596" w:type="pct"/>
                  <w:shd w:val="clear" w:color="auto" w:fill="auto"/>
                  <w:vAlign w:val="center"/>
                </w:tcPr>
                <w:p w14:paraId="2F14D87B">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HW4</w:t>
                  </w:r>
                  <w:r>
                    <w:rPr>
                      <w:rFonts w:hint="eastAsia" w:cs="宋体"/>
                      <w:color w:val="auto"/>
                      <w:szCs w:val="21"/>
                      <w:highlight w:val="none"/>
                      <w:lang w:val="en-US" w:eastAsia="zh-CN"/>
                    </w:rPr>
                    <w:t>8</w:t>
                  </w:r>
                </w:p>
              </w:tc>
              <w:tc>
                <w:tcPr>
                  <w:tcW w:w="692" w:type="pct"/>
                  <w:shd w:val="clear" w:color="auto" w:fill="auto"/>
                  <w:vAlign w:val="center"/>
                </w:tcPr>
                <w:p w14:paraId="1507130C">
                  <w:pPr>
                    <w:keepNext w:val="0"/>
                    <w:pageBreakBefore w:val="0"/>
                    <w:widowControl w:val="0"/>
                    <w:kinsoku/>
                    <w:wordWrap/>
                    <w:overflowPunct/>
                    <w:topLinePunct w:val="0"/>
                    <w:bidi w:val="0"/>
                    <w:adjustRightInd/>
                    <w:snapToGrid w:val="0"/>
                    <w:spacing w:line="300" w:lineRule="exact"/>
                    <w:jc w:val="center"/>
                    <w:textAlignment w:val="auto"/>
                    <w:rPr>
                      <w:rFonts w:hint="default"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321</w:t>
                  </w:r>
                  <w:r>
                    <w:rPr>
                      <w:rFonts w:hint="eastAsia" w:ascii="Times New Roman" w:hAnsi="Times New Roman" w:eastAsia="宋体" w:cs="宋体"/>
                      <w:color w:val="auto"/>
                      <w:szCs w:val="21"/>
                      <w:highlight w:val="none"/>
                    </w:rPr>
                    <w:t>-03</w:t>
                  </w:r>
                  <w:r>
                    <w:rPr>
                      <w:rFonts w:hint="eastAsia" w:cs="宋体"/>
                      <w:color w:val="auto"/>
                      <w:szCs w:val="21"/>
                      <w:highlight w:val="none"/>
                      <w:lang w:val="en-US" w:eastAsia="zh-CN"/>
                    </w:rPr>
                    <w:t>4</w:t>
                  </w:r>
                  <w:r>
                    <w:rPr>
                      <w:rFonts w:hint="eastAsia" w:ascii="Times New Roman" w:hAnsi="Times New Roman" w:eastAsia="宋体" w:cs="宋体"/>
                      <w:color w:val="auto"/>
                      <w:szCs w:val="21"/>
                      <w:highlight w:val="none"/>
                    </w:rPr>
                    <w:t>-</w:t>
                  </w:r>
                  <w:r>
                    <w:rPr>
                      <w:rFonts w:hint="eastAsia" w:cs="宋体"/>
                      <w:color w:val="auto"/>
                      <w:szCs w:val="21"/>
                      <w:highlight w:val="none"/>
                      <w:lang w:val="en-US" w:eastAsia="zh-CN"/>
                    </w:rPr>
                    <w:t>48</w:t>
                  </w:r>
                </w:p>
              </w:tc>
              <w:tc>
                <w:tcPr>
                  <w:tcW w:w="597" w:type="pct"/>
                  <w:vAlign w:val="center"/>
                </w:tcPr>
                <w:p w14:paraId="3FFB616A">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T</w:t>
                  </w:r>
                  <w:r>
                    <w:rPr>
                      <w:rFonts w:hint="eastAsia" w:cs="宋体"/>
                      <w:color w:val="auto"/>
                      <w:szCs w:val="21"/>
                      <w:highlight w:val="none"/>
                      <w:lang w:val="en-US" w:eastAsia="zh-CN"/>
                    </w:rPr>
                    <w:t>，R</w:t>
                  </w:r>
                </w:p>
              </w:tc>
              <w:tc>
                <w:tcPr>
                  <w:tcW w:w="741" w:type="pct"/>
                  <w:shd w:val="clear" w:color="auto" w:fill="auto"/>
                  <w:vAlign w:val="center"/>
                </w:tcPr>
                <w:p w14:paraId="1B33C1F8">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铝</w:t>
                  </w:r>
                </w:p>
              </w:tc>
              <w:tc>
                <w:tcPr>
                  <w:tcW w:w="597" w:type="pct"/>
                  <w:vAlign w:val="center"/>
                </w:tcPr>
                <w:p w14:paraId="44CE765E">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1m</w:t>
                  </w:r>
                </w:p>
              </w:tc>
              <w:tc>
                <w:tcPr>
                  <w:tcW w:w="888" w:type="pct"/>
                  <w:vMerge w:val="continue"/>
                  <w:vAlign w:val="center"/>
                </w:tcPr>
                <w:p w14:paraId="0319EFDB">
                  <w:pPr>
                    <w:topLinePunct/>
                    <w:snapToGrid w:val="0"/>
                    <w:jc w:val="center"/>
                    <w:rPr>
                      <w:rFonts w:ascii="Times New Roman" w:hAnsi="Times New Roman" w:eastAsia="宋体" w:cs="宋体"/>
                      <w:color w:val="auto"/>
                      <w:kern w:val="0"/>
                      <w:szCs w:val="21"/>
                      <w:highlight w:val="none"/>
                    </w:rPr>
                  </w:pPr>
                </w:p>
              </w:tc>
            </w:tr>
            <w:tr w14:paraId="75FB6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6A868585">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废活性炭</w:t>
                  </w:r>
                </w:p>
              </w:tc>
              <w:tc>
                <w:tcPr>
                  <w:tcW w:w="596" w:type="pct"/>
                  <w:shd w:val="clear" w:color="auto" w:fill="auto"/>
                  <w:vAlign w:val="center"/>
                </w:tcPr>
                <w:p w14:paraId="0133D229">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HW49</w:t>
                  </w:r>
                </w:p>
              </w:tc>
              <w:tc>
                <w:tcPr>
                  <w:tcW w:w="692" w:type="pct"/>
                  <w:shd w:val="clear" w:color="auto" w:fill="auto"/>
                  <w:vAlign w:val="center"/>
                </w:tcPr>
                <w:p w14:paraId="48378599">
                  <w:pPr>
                    <w:keepNext w:val="0"/>
                    <w:pageBreakBefore w:val="0"/>
                    <w:widowControl w:val="0"/>
                    <w:kinsoku/>
                    <w:wordWrap/>
                    <w:overflowPunct/>
                    <w:topLinePunct w:val="0"/>
                    <w:bidi w:val="0"/>
                    <w:adjustRightInd/>
                    <w:snapToGrid w:val="0"/>
                    <w:spacing w:line="300" w:lineRule="exact"/>
                    <w:jc w:val="center"/>
                    <w:textAlignment w:val="auto"/>
                    <w:rPr>
                      <w:rFonts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900-0</w:t>
                  </w:r>
                  <w:r>
                    <w:rPr>
                      <w:rFonts w:hint="eastAsia" w:ascii="Times New Roman" w:hAnsi="Times New Roman" w:eastAsia="宋体" w:cs="宋体"/>
                      <w:color w:val="auto"/>
                      <w:szCs w:val="21"/>
                      <w:highlight w:val="none"/>
                      <w:lang w:val="en-US" w:eastAsia="zh-CN"/>
                    </w:rPr>
                    <w:t>39</w:t>
                  </w:r>
                  <w:r>
                    <w:rPr>
                      <w:rFonts w:hint="eastAsia" w:ascii="Times New Roman" w:hAnsi="Times New Roman" w:eastAsia="宋体" w:cs="宋体"/>
                      <w:color w:val="auto"/>
                      <w:szCs w:val="21"/>
                      <w:highlight w:val="none"/>
                    </w:rPr>
                    <w:t>-49</w:t>
                  </w:r>
                </w:p>
              </w:tc>
              <w:tc>
                <w:tcPr>
                  <w:tcW w:w="597" w:type="pct"/>
                  <w:vAlign w:val="center"/>
                </w:tcPr>
                <w:p w14:paraId="54219B37">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T</w:t>
                  </w:r>
                </w:p>
              </w:tc>
              <w:tc>
                <w:tcPr>
                  <w:tcW w:w="741" w:type="pct"/>
                  <w:shd w:val="clear" w:color="auto" w:fill="auto"/>
                  <w:vAlign w:val="center"/>
                </w:tcPr>
                <w:p w14:paraId="51FA2106">
                  <w:pPr>
                    <w:snapToGrid w:val="0"/>
                    <w:jc w:val="center"/>
                    <w:rPr>
                      <w:rFonts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铝</w:t>
                  </w:r>
                </w:p>
              </w:tc>
              <w:tc>
                <w:tcPr>
                  <w:tcW w:w="597" w:type="pct"/>
                  <w:vAlign w:val="center"/>
                </w:tcPr>
                <w:p w14:paraId="2AE0CB1B">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1m</w:t>
                  </w:r>
                </w:p>
              </w:tc>
              <w:tc>
                <w:tcPr>
                  <w:tcW w:w="888" w:type="pct"/>
                  <w:vMerge w:val="continue"/>
                  <w:vAlign w:val="center"/>
                </w:tcPr>
                <w:p w14:paraId="62328E07">
                  <w:pPr>
                    <w:topLinePunct/>
                    <w:snapToGrid w:val="0"/>
                    <w:jc w:val="center"/>
                    <w:rPr>
                      <w:rFonts w:ascii="Times New Roman" w:hAnsi="Times New Roman" w:eastAsia="宋体" w:cs="宋体"/>
                      <w:color w:val="auto"/>
                      <w:kern w:val="0"/>
                      <w:szCs w:val="21"/>
                      <w:highlight w:val="none"/>
                    </w:rPr>
                  </w:pPr>
                </w:p>
              </w:tc>
            </w:tr>
            <w:tr w14:paraId="664E8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7C3E42DC">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cs="宋体"/>
                      <w:color w:val="auto"/>
                      <w:szCs w:val="21"/>
                      <w:highlight w:val="none"/>
                      <w:lang w:val="en-US" w:eastAsia="zh-CN"/>
                    </w:rPr>
                    <w:t>废矿物油</w:t>
                  </w:r>
                </w:p>
              </w:tc>
              <w:tc>
                <w:tcPr>
                  <w:tcW w:w="596" w:type="pct"/>
                  <w:shd w:val="clear" w:color="auto" w:fill="auto"/>
                  <w:vAlign w:val="center"/>
                </w:tcPr>
                <w:p w14:paraId="1E77BE99">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HW0</w:t>
                  </w:r>
                  <w:r>
                    <w:rPr>
                      <w:rFonts w:hint="eastAsia"/>
                      <w:smallCaps w:val="0"/>
                      <w:color w:val="auto"/>
                      <w:spacing w:val="0"/>
                      <w:szCs w:val="21"/>
                      <w:highlight w:val="none"/>
                      <w:lang w:val="en-US" w:eastAsia="zh-CN"/>
                    </w:rPr>
                    <w:t>8</w:t>
                  </w:r>
                </w:p>
              </w:tc>
              <w:tc>
                <w:tcPr>
                  <w:tcW w:w="692" w:type="pct"/>
                  <w:shd w:val="clear" w:color="auto" w:fill="auto"/>
                  <w:vAlign w:val="center"/>
                </w:tcPr>
                <w:p w14:paraId="12297062">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900-</w:t>
                  </w:r>
                  <w:r>
                    <w:rPr>
                      <w:rFonts w:hint="eastAsia"/>
                      <w:smallCaps w:val="0"/>
                      <w:color w:val="auto"/>
                      <w:spacing w:val="0"/>
                      <w:szCs w:val="21"/>
                      <w:highlight w:val="none"/>
                      <w:lang w:val="en-US" w:eastAsia="zh-CN"/>
                    </w:rPr>
                    <w:t>249</w:t>
                  </w:r>
                  <w:r>
                    <w:rPr>
                      <w:rFonts w:hint="eastAsia" w:ascii="Times New Roman" w:hAnsi="Times New Roman" w:eastAsia="宋体"/>
                      <w:smallCaps w:val="0"/>
                      <w:color w:val="auto"/>
                      <w:spacing w:val="0"/>
                      <w:szCs w:val="21"/>
                      <w:highlight w:val="none"/>
                    </w:rPr>
                    <w:t>-0</w:t>
                  </w:r>
                  <w:r>
                    <w:rPr>
                      <w:rFonts w:hint="eastAsia"/>
                      <w:smallCaps w:val="0"/>
                      <w:color w:val="auto"/>
                      <w:spacing w:val="0"/>
                      <w:szCs w:val="21"/>
                      <w:highlight w:val="none"/>
                      <w:lang w:val="en-US" w:eastAsia="zh-CN"/>
                    </w:rPr>
                    <w:t>8</w:t>
                  </w:r>
                </w:p>
              </w:tc>
              <w:tc>
                <w:tcPr>
                  <w:tcW w:w="597" w:type="pct"/>
                  <w:vAlign w:val="center"/>
                </w:tcPr>
                <w:p w14:paraId="7DC761F4">
                  <w:pPr>
                    <w:snapToGrid w:val="0"/>
                    <w:jc w:val="center"/>
                    <w:rPr>
                      <w:rFonts w:hint="default" w:ascii="Times New Roman" w:hAnsi="Times New Roman" w:eastAsia="宋体" w:cs="宋体"/>
                      <w:color w:val="auto"/>
                      <w:szCs w:val="21"/>
                      <w:highlight w:val="none"/>
                      <w:lang w:val="en-US"/>
                    </w:rPr>
                  </w:pPr>
                  <w:r>
                    <w:rPr>
                      <w:rFonts w:hint="eastAsia" w:ascii="Times New Roman" w:hAnsi="Times New Roman" w:eastAsia="宋体" w:cs="宋体"/>
                      <w:color w:val="auto"/>
                      <w:szCs w:val="21"/>
                      <w:highlight w:val="none"/>
                      <w:lang w:val="en-US" w:eastAsia="zh-CN"/>
                    </w:rPr>
                    <w:t>T</w:t>
                  </w:r>
                  <w:r>
                    <w:rPr>
                      <w:rFonts w:hint="eastAsia" w:cs="宋体"/>
                      <w:color w:val="auto"/>
                      <w:szCs w:val="21"/>
                      <w:highlight w:val="none"/>
                      <w:lang w:val="en-US" w:eastAsia="zh-CN"/>
                    </w:rPr>
                    <w:t>，I</w:t>
                  </w:r>
                </w:p>
              </w:tc>
              <w:tc>
                <w:tcPr>
                  <w:tcW w:w="741" w:type="pct"/>
                  <w:shd w:val="clear" w:color="auto" w:fill="auto"/>
                  <w:vAlign w:val="center"/>
                </w:tcPr>
                <w:p w14:paraId="433824A2">
                  <w:pPr>
                    <w:snapToGrid w:val="0"/>
                    <w:jc w:val="center"/>
                    <w:rPr>
                      <w:rFonts w:ascii="Times New Roman" w:hAnsi="Times New Roman" w:eastAsia="宋体" w:cs="宋体"/>
                      <w:color w:val="auto"/>
                      <w:kern w:val="2"/>
                      <w:sz w:val="21"/>
                      <w:szCs w:val="21"/>
                      <w:highlight w:val="none"/>
                      <w:lang w:val="en-US" w:eastAsia="zh-CN" w:bidi="ar-SA"/>
                    </w:rPr>
                  </w:pPr>
                  <w:r>
                    <w:rPr>
                      <w:rFonts w:hint="eastAsia"/>
                      <w:smallCaps w:val="0"/>
                      <w:color w:val="auto"/>
                      <w:szCs w:val="21"/>
                      <w:highlight w:val="none"/>
                      <w:lang w:val="en-US" w:eastAsia="zh-CN"/>
                    </w:rPr>
                    <w:t>有机物</w:t>
                  </w:r>
                </w:p>
              </w:tc>
              <w:tc>
                <w:tcPr>
                  <w:tcW w:w="597" w:type="pct"/>
                  <w:vAlign w:val="center"/>
                </w:tcPr>
                <w:p w14:paraId="5EFFA452">
                  <w:pPr>
                    <w:topLinePunct/>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y</w:t>
                  </w:r>
                </w:p>
              </w:tc>
              <w:tc>
                <w:tcPr>
                  <w:tcW w:w="888" w:type="pct"/>
                  <w:vMerge w:val="continue"/>
                  <w:vAlign w:val="center"/>
                </w:tcPr>
                <w:p w14:paraId="2FB4B008">
                  <w:pPr>
                    <w:topLinePunct/>
                    <w:snapToGrid w:val="0"/>
                    <w:jc w:val="center"/>
                    <w:rPr>
                      <w:rFonts w:ascii="Times New Roman" w:hAnsi="Times New Roman" w:eastAsia="宋体" w:cs="宋体"/>
                      <w:color w:val="auto"/>
                      <w:kern w:val="0"/>
                      <w:szCs w:val="21"/>
                      <w:highlight w:val="none"/>
                    </w:rPr>
                  </w:pPr>
                </w:p>
              </w:tc>
            </w:tr>
            <w:tr w14:paraId="6D46C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6" w:type="pct"/>
                  <w:shd w:val="clear" w:color="auto" w:fill="auto"/>
                  <w:vAlign w:val="center"/>
                </w:tcPr>
                <w:p w14:paraId="76C7B701">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废包装桶</w:t>
                  </w:r>
                </w:p>
              </w:tc>
              <w:tc>
                <w:tcPr>
                  <w:tcW w:w="596" w:type="pct"/>
                  <w:shd w:val="clear" w:color="auto" w:fill="auto"/>
                  <w:vAlign w:val="center"/>
                </w:tcPr>
                <w:p w14:paraId="63C001FE">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HW49</w:t>
                  </w:r>
                </w:p>
              </w:tc>
              <w:tc>
                <w:tcPr>
                  <w:tcW w:w="692" w:type="pct"/>
                  <w:shd w:val="clear" w:color="auto" w:fill="auto"/>
                  <w:vAlign w:val="center"/>
                </w:tcPr>
                <w:p w14:paraId="2D82EA3F">
                  <w:pPr>
                    <w:keepNext w:val="0"/>
                    <w:pageBreakBefore w:val="0"/>
                    <w:widowControl w:val="0"/>
                    <w:kinsoku/>
                    <w:wordWrap/>
                    <w:overflowPunct/>
                    <w:topLinePunct w:val="0"/>
                    <w:bidi w:val="0"/>
                    <w:adjustRightInd/>
                    <w:snapToGrid w:val="0"/>
                    <w:spacing w:line="300" w:lineRule="exact"/>
                    <w:jc w:val="center"/>
                    <w:textAlignment w:val="auto"/>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rPr>
                    <w:t>900-041-49</w:t>
                  </w:r>
                </w:p>
              </w:tc>
              <w:tc>
                <w:tcPr>
                  <w:tcW w:w="597" w:type="pct"/>
                  <w:shd w:val="clear" w:color="auto" w:fill="auto"/>
                  <w:vAlign w:val="center"/>
                </w:tcPr>
                <w:p w14:paraId="78A3D476">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T/In</w:t>
                  </w:r>
                </w:p>
              </w:tc>
              <w:tc>
                <w:tcPr>
                  <w:tcW w:w="741" w:type="pct"/>
                  <w:shd w:val="clear" w:color="auto" w:fill="auto"/>
                  <w:vAlign w:val="center"/>
                </w:tcPr>
                <w:p w14:paraId="132E1064">
                  <w:pPr>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smallCaps w:val="0"/>
                      <w:color w:val="auto"/>
                      <w:szCs w:val="21"/>
                      <w:highlight w:val="none"/>
                      <w:lang w:val="en-US" w:eastAsia="zh-CN"/>
                    </w:rPr>
                    <w:t>矿物油</w:t>
                  </w:r>
                </w:p>
              </w:tc>
              <w:tc>
                <w:tcPr>
                  <w:tcW w:w="597" w:type="pct"/>
                  <w:shd w:val="clear" w:color="auto" w:fill="auto"/>
                  <w:vAlign w:val="center"/>
                </w:tcPr>
                <w:p w14:paraId="30BF4419">
                  <w:pPr>
                    <w:topLinePunct/>
                    <w:snapToGrid w:val="0"/>
                    <w:jc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szCs w:val="21"/>
                      <w:highlight w:val="none"/>
                      <w:lang w:val="en-US" w:eastAsia="zh-CN"/>
                    </w:rPr>
                    <w:t>1</w:t>
                  </w:r>
                  <w:r>
                    <w:rPr>
                      <w:rFonts w:hint="eastAsia" w:cs="宋体"/>
                      <w:color w:val="auto"/>
                      <w:szCs w:val="21"/>
                      <w:highlight w:val="none"/>
                      <w:lang w:val="en-US" w:eastAsia="zh-CN"/>
                    </w:rPr>
                    <w:t>m</w:t>
                  </w:r>
                </w:p>
              </w:tc>
              <w:tc>
                <w:tcPr>
                  <w:tcW w:w="888" w:type="pct"/>
                  <w:vMerge w:val="continue"/>
                  <w:vAlign w:val="center"/>
                </w:tcPr>
                <w:p w14:paraId="20AB58D5">
                  <w:pPr>
                    <w:topLinePunct/>
                    <w:snapToGrid w:val="0"/>
                    <w:jc w:val="center"/>
                    <w:rPr>
                      <w:rFonts w:ascii="Times New Roman" w:hAnsi="Times New Roman" w:eastAsia="宋体" w:cs="宋体"/>
                      <w:color w:val="auto"/>
                      <w:kern w:val="0"/>
                      <w:szCs w:val="21"/>
                      <w:highlight w:val="none"/>
                    </w:rPr>
                  </w:pPr>
                </w:p>
              </w:tc>
            </w:tr>
          </w:tbl>
          <w:p w14:paraId="0518A9F4">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（2）固体废物影响分析</w:t>
            </w:r>
          </w:p>
          <w:p w14:paraId="3D23232E">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本项目对固体废物进行分类收集、贮存。</w:t>
            </w:r>
            <w:r>
              <w:rPr>
                <w:rFonts w:hint="eastAsia" w:cs="宋体"/>
                <w:color w:val="auto"/>
                <w:sz w:val="24"/>
                <w:highlight w:val="none"/>
                <w:lang w:val="en-US" w:eastAsia="zh-CN"/>
              </w:rPr>
              <w:t>废机加工</w:t>
            </w:r>
            <w:r>
              <w:rPr>
                <w:rFonts w:hint="eastAsia" w:ascii="Times New Roman" w:hAnsi="Times New Roman" w:eastAsia="宋体" w:cs="宋体"/>
                <w:color w:val="auto"/>
                <w:sz w:val="24"/>
                <w:highlight w:val="none"/>
                <w:lang w:eastAsia="zh-CN"/>
              </w:rPr>
              <w:t>边角料、除尘器收尘</w:t>
            </w:r>
            <w:r>
              <w:rPr>
                <w:rFonts w:hint="eastAsia" w:ascii="Times New Roman" w:hAnsi="Times New Roman" w:eastAsia="宋体" w:cs="宋体"/>
                <w:color w:val="auto"/>
                <w:sz w:val="24"/>
                <w:highlight w:val="none"/>
              </w:rPr>
              <w:t>外售综合利用，</w:t>
            </w:r>
            <w:r>
              <w:rPr>
                <w:rFonts w:hint="eastAsia" w:cs="宋体"/>
                <w:color w:val="auto"/>
                <w:sz w:val="24"/>
                <w:highlight w:val="none"/>
                <w:lang w:val="en-US" w:eastAsia="zh-CN"/>
              </w:rPr>
              <w:t>废打磨边角料、不合格品回用于熔化工序，铝灰渣、脱模废液、废乳化液、RO浓液、废过滤介质</w:t>
            </w:r>
            <w:r>
              <w:rPr>
                <w:rFonts w:hint="eastAsia" w:ascii="Times New Roman" w:hAnsi="Times New Roman" w:eastAsia="宋体" w:cs="宋体"/>
                <w:color w:val="auto"/>
                <w:sz w:val="24"/>
                <w:highlight w:val="none"/>
                <w:lang w:eastAsia="zh-CN"/>
              </w:rPr>
              <w:t>、</w:t>
            </w:r>
            <w:r>
              <w:rPr>
                <w:rFonts w:hint="eastAsia" w:cs="宋体"/>
                <w:color w:val="auto"/>
                <w:sz w:val="24"/>
                <w:highlight w:val="none"/>
                <w:lang w:val="en-US" w:eastAsia="zh-CN"/>
              </w:rPr>
              <w:t>除尘渣、废活性炭、废矿物油、</w:t>
            </w:r>
            <w:r>
              <w:rPr>
                <w:rFonts w:hint="eastAsia" w:ascii="Times New Roman" w:hAnsi="Times New Roman" w:eastAsia="宋体" w:cs="宋体"/>
                <w:color w:val="auto"/>
                <w:sz w:val="24"/>
                <w:highlight w:val="none"/>
                <w:lang w:eastAsia="zh-CN"/>
              </w:rPr>
              <w:t>废包装桶</w:t>
            </w:r>
            <w:r>
              <w:rPr>
                <w:rFonts w:hint="eastAsia" w:ascii="Times New Roman" w:hAnsi="Times New Roman" w:eastAsia="宋体" w:cs="宋体"/>
                <w:color w:val="auto"/>
                <w:sz w:val="24"/>
                <w:highlight w:val="none"/>
              </w:rPr>
              <w:t>委托有资质单位处置，</w:t>
            </w:r>
            <w:r>
              <w:rPr>
                <w:rFonts w:hint="eastAsia" w:cs="宋体"/>
                <w:color w:val="auto"/>
                <w:sz w:val="24"/>
                <w:highlight w:val="none"/>
                <w:lang w:val="en-US" w:eastAsia="zh-CN"/>
              </w:rPr>
              <w:t>含油劳保用品</w:t>
            </w:r>
            <w:r>
              <w:rPr>
                <w:rFonts w:hint="eastAsia" w:ascii="Times New Roman" w:hAnsi="Times New Roman" w:eastAsia="宋体" w:cs="宋体"/>
                <w:color w:val="auto"/>
                <w:sz w:val="24"/>
                <w:highlight w:val="none"/>
              </w:rPr>
              <w:t>由当地环卫部门及时收集和清运，进入城市垃圾处理系统统一处置</w:t>
            </w:r>
            <w:r>
              <w:rPr>
                <w:rFonts w:ascii="Times New Roman" w:hAnsi="Times New Roman" w:eastAsia="宋体" w:cs="宋体"/>
                <w:color w:val="auto"/>
                <w:sz w:val="24"/>
                <w:highlight w:val="none"/>
              </w:rPr>
              <w:t>。项目运营期产生的固体废弃物均得到了有效</w:t>
            </w:r>
            <w:r>
              <w:rPr>
                <w:rFonts w:hint="eastAsia" w:cs="宋体"/>
                <w:color w:val="auto"/>
                <w:sz w:val="24"/>
                <w:highlight w:val="none"/>
                <w:lang w:eastAsia="zh-CN"/>
              </w:rPr>
              <w:t>地</w:t>
            </w:r>
            <w:r>
              <w:rPr>
                <w:rFonts w:ascii="Times New Roman" w:hAnsi="Times New Roman" w:eastAsia="宋体" w:cs="宋体"/>
                <w:color w:val="auto"/>
                <w:sz w:val="24"/>
                <w:highlight w:val="none"/>
              </w:rPr>
              <w:t>处理处置，固废处置率达到100%，不会对外环境造成二次污染。</w:t>
            </w:r>
          </w:p>
          <w:p w14:paraId="64102B8C">
            <w:pPr>
              <w:spacing w:line="360" w:lineRule="auto"/>
              <w:ind w:firstLine="482" w:firstLineChars="200"/>
              <w:rPr>
                <w:rFonts w:ascii="Times New Roman" w:hAnsi="Times New Roman" w:eastAsia="宋体" w:cs="宋体"/>
                <w:b/>
                <w:bCs/>
                <w:color w:val="auto"/>
                <w:sz w:val="24"/>
                <w:highlight w:val="none"/>
              </w:rPr>
            </w:pPr>
            <w:r>
              <w:rPr>
                <w:rFonts w:ascii="Times New Roman" w:hAnsi="Times New Roman" w:eastAsia="宋体" w:cs="宋体"/>
                <w:b/>
                <w:bCs/>
                <w:color w:val="auto"/>
                <w:sz w:val="24"/>
                <w:highlight w:val="none"/>
              </w:rPr>
              <w:t>一般工业固废</w:t>
            </w:r>
            <w:r>
              <w:rPr>
                <w:rFonts w:hint="eastAsia" w:ascii="Times New Roman" w:hAnsi="Times New Roman" w:eastAsia="宋体" w:cs="宋体"/>
                <w:b/>
                <w:bCs/>
                <w:color w:val="auto"/>
                <w:sz w:val="24"/>
                <w:highlight w:val="none"/>
              </w:rPr>
              <w:t>管理措施分析：</w:t>
            </w:r>
          </w:p>
          <w:p w14:paraId="1798DED9">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w:t>
            </w:r>
            <w:r>
              <w:rPr>
                <w:rFonts w:hint="eastAsia" w:ascii="Times New Roman" w:hAnsi="Times New Roman" w:eastAsia="宋体" w:cs="宋体"/>
                <w:color w:val="auto"/>
                <w:sz w:val="24"/>
                <w:szCs w:val="32"/>
                <w:highlight w:val="none"/>
              </w:rPr>
              <w:t>满足相应防渗漏、防雨淋、防扬尘等环境保护要求</w:t>
            </w:r>
            <w:r>
              <w:rPr>
                <w:rFonts w:ascii="Times New Roman" w:hAnsi="Times New Roman" w:eastAsia="宋体" w:cs="宋体"/>
                <w:color w:val="auto"/>
                <w:sz w:val="24"/>
                <w:highlight w:val="none"/>
              </w:rPr>
              <w:t>。</w:t>
            </w:r>
          </w:p>
          <w:p w14:paraId="1EDE595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w:t>
            </w:r>
            <w:r>
              <w:rPr>
                <w:rFonts w:ascii="Times New Roman" w:hAnsi="Times New Roman" w:eastAsia="宋体" w:cs="宋体"/>
                <w:color w:val="auto"/>
                <w:sz w:val="24"/>
                <w:highlight w:val="none"/>
              </w:rPr>
              <w:t>不得露天堆放，防止雨水进入产生二次污染。</w:t>
            </w:r>
          </w:p>
          <w:p w14:paraId="4999ECFC">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w:t>
            </w:r>
            <w:r>
              <w:rPr>
                <w:rFonts w:hint="eastAsia" w:ascii="Times New Roman" w:hAnsi="Times New Roman" w:eastAsia="宋体" w:cs="宋体"/>
                <w:color w:val="auto"/>
                <w:sz w:val="24"/>
                <w:szCs w:val="32"/>
                <w:highlight w:val="none"/>
              </w:rPr>
              <w:t>根据省生态</w:t>
            </w:r>
            <w:r>
              <w:rPr>
                <w:rFonts w:ascii="Times New Roman" w:hAnsi="Times New Roman" w:eastAsia="宋体" w:cs="宋体"/>
                <w:color w:val="auto"/>
                <w:sz w:val="24"/>
                <w:szCs w:val="32"/>
                <w:highlight w:val="none"/>
              </w:rPr>
              <w:t>环境厅</w:t>
            </w:r>
            <w:r>
              <w:rPr>
                <w:rFonts w:hint="eastAsia" w:ascii="Times New Roman" w:hAnsi="Times New Roman" w:eastAsia="宋体" w:cs="宋体"/>
                <w:color w:val="auto"/>
                <w:sz w:val="24"/>
                <w:szCs w:val="32"/>
                <w:highlight w:val="none"/>
              </w:rPr>
              <w:t>关于</w:t>
            </w:r>
            <w:r>
              <w:rPr>
                <w:rFonts w:ascii="Times New Roman" w:hAnsi="Times New Roman" w:eastAsia="宋体" w:cs="宋体"/>
                <w:color w:val="auto"/>
                <w:sz w:val="24"/>
                <w:szCs w:val="32"/>
                <w:highlight w:val="none"/>
              </w:rPr>
              <w:t>印发</w:t>
            </w:r>
            <w:r>
              <w:rPr>
                <w:rFonts w:hint="eastAsia" w:ascii="Times New Roman" w:hAnsi="Times New Roman" w:eastAsia="宋体" w:cs="宋体"/>
                <w:color w:val="auto"/>
                <w:sz w:val="24"/>
                <w:szCs w:val="32"/>
                <w:highlight w:val="none"/>
              </w:rPr>
              <w:t>《江苏省固体废物全过程环境监管工作意见》的</w:t>
            </w:r>
            <w:r>
              <w:rPr>
                <w:rFonts w:ascii="Times New Roman" w:hAnsi="Times New Roman" w:eastAsia="宋体" w:cs="宋体"/>
                <w:color w:val="auto"/>
                <w:sz w:val="24"/>
                <w:szCs w:val="32"/>
                <w:highlight w:val="none"/>
              </w:rPr>
              <w:t>通知</w:t>
            </w:r>
            <w:r>
              <w:rPr>
                <w:rFonts w:hint="eastAsia" w:ascii="Times New Roman" w:hAnsi="Times New Roman" w:eastAsia="宋体" w:cs="宋体"/>
                <w:color w:val="auto"/>
                <w:sz w:val="24"/>
                <w:szCs w:val="32"/>
                <w:highlight w:val="none"/>
              </w:rPr>
              <w:t>（苏环办〔</w:t>
            </w:r>
            <w:r>
              <w:rPr>
                <w:rFonts w:ascii="Times New Roman" w:hAnsi="Times New Roman" w:eastAsia="宋体" w:cs="宋体"/>
                <w:color w:val="auto"/>
                <w:sz w:val="24"/>
                <w:szCs w:val="32"/>
                <w:highlight w:val="none"/>
              </w:rPr>
              <w:t>2024</w:t>
            </w:r>
            <w:r>
              <w:rPr>
                <w:rFonts w:hint="eastAsia" w:ascii="Times New Roman" w:hAnsi="Times New Roman" w:eastAsia="宋体" w:cs="宋体"/>
                <w:color w:val="auto"/>
                <w:sz w:val="24"/>
                <w:szCs w:val="32"/>
                <w:highlight w:val="none"/>
              </w:rPr>
              <w:t>〕</w:t>
            </w:r>
            <w:r>
              <w:rPr>
                <w:rFonts w:ascii="Times New Roman" w:hAnsi="Times New Roman" w:eastAsia="宋体" w:cs="宋体"/>
                <w:color w:val="auto"/>
                <w:sz w:val="24"/>
                <w:szCs w:val="32"/>
                <w:highlight w:val="none"/>
              </w:rPr>
              <w:t>16</w:t>
            </w:r>
            <w:r>
              <w:rPr>
                <w:rFonts w:hint="eastAsia" w:ascii="Times New Roman" w:hAnsi="Times New Roman" w:eastAsia="宋体" w:cs="宋体"/>
                <w:color w:val="auto"/>
                <w:sz w:val="24"/>
                <w:szCs w:val="32"/>
                <w:highlight w:val="none"/>
              </w:rPr>
              <w:t>号），</w:t>
            </w:r>
            <w:r>
              <w:rPr>
                <w:rFonts w:hint="eastAsia" w:ascii="Times New Roman" w:hAnsi="Times New Roman" w:eastAsia="宋体" w:cs="宋体"/>
                <w:color w:val="auto"/>
                <w:sz w:val="24"/>
                <w:highlight w:val="none"/>
              </w:rPr>
              <w:t>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w:t>
            </w:r>
          </w:p>
          <w:p w14:paraId="6837DF6A">
            <w:pPr>
              <w:spacing w:line="360" w:lineRule="auto"/>
              <w:ind w:firstLine="482" w:firstLineChars="200"/>
              <w:rPr>
                <w:rFonts w:ascii="Times New Roman" w:hAnsi="Times New Roman" w:eastAsia="宋体" w:cs="宋体"/>
                <w:b/>
                <w:bCs/>
                <w:color w:val="auto"/>
                <w:sz w:val="24"/>
                <w:szCs w:val="32"/>
                <w:highlight w:val="none"/>
              </w:rPr>
            </w:pPr>
            <w:r>
              <w:rPr>
                <w:rFonts w:hint="eastAsia" w:ascii="Times New Roman" w:hAnsi="Times New Roman" w:eastAsia="宋体" w:cs="宋体"/>
                <w:b/>
                <w:bCs/>
                <w:color w:val="auto"/>
                <w:sz w:val="24"/>
                <w:szCs w:val="32"/>
                <w:highlight w:val="none"/>
              </w:rPr>
              <w:t>危险废物及危险废物暂存间按照《危险废物贮存污染控制标准》（GB18597-2023）</w:t>
            </w:r>
            <w:r>
              <w:rPr>
                <w:rFonts w:hint="eastAsia" w:cs="宋体"/>
                <w:b/>
                <w:bCs/>
                <w:color w:val="auto"/>
                <w:sz w:val="24"/>
                <w:szCs w:val="32"/>
                <w:highlight w:val="none"/>
                <w:lang w:eastAsia="zh-CN"/>
              </w:rPr>
              <w:t>作出</w:t>
            </w:r>
            <w:r>
              <w:rPr>
                <w:rFonts w:hint="eastAsia" w:ascii="Times New Roman" w:hAnsi="Times New Roman" w:eastAsia="宋体" w:cs="宋体"/>
                <w:b/>
                <w:bCs/>
                <w:color w:val="auto"/>
                <w:sz w:val="24"/>
                <w:szCs w:val="32"/>
                <w:highlight w:val="none"/>
              </w:rPr>
              <w:t>以下要求：</w:t>
            </w:r>
          </w:p>
          <w:p w14:paraId="079AD4AE">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危险废物贮存设施污染控制要求：</w:t>
            </w:r>
          </w:p>
          <w:p w14:paraId="138F7240">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①贮存设施应根据危险废物的形态、物理化学性质、包装形式和污染物迁移途径，采取必要的防风、防晒、防雨、防漏、防渗、防腐以及其他环境污染防治措施，不应露天堆放危险废物。</w:t>
            </w:r>
          </w:p>
          <w:p w14:paraId="3997DC83">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②贮存设施应根据危险废物的类别、数量、形态、物理化学性质和污染防治等要求设置必要的贮存分区，避免不相容的危险废物接触、混合。</w:t>
            </w:r>
          </w:p>
          <w:p w14:paraId="3DBFF490">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③贮存设施或贮存分区内地面、墙面裙脚、堵截泄漏的围堰、接触危险废物的隔板和墙体等应采用坚固的材料建造，表面无裂缝。</w:t>
            </w:r>
          </w:p>
          <w:p w14:paraId="5DB550E1">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color w:val="auto"/>
                <w:sz w:val="24"/>
                <w:szCs w:val="32"/>
                <w:highlight w:val="none"/>
                <w:vertAlign w:val="superscript"/>
              </w:rPr>
              <w:t>-7</w:t>
            </w:r>
            <w:r>
              <w:rPr>
                <w:rFonts w:hint="eastAsia" w:ascii="Times New Roman" w:hAnsi="Times New Roman" w:eastAsia="宋体" w:cs="宋体"/>
                <w:color w:val="auto"/>
                <w:sz w:val="24"/>
                <w:szCs w:val="32"/>
                <w:highlight w:val="none"/>
              </w:rPr>
              <w:t>cm/s），或至少2mm厚高密度聚乙烯膜等人工防渗材料（渗透系数不大于10</w:t>
            </w:r>
            <w:r>
              <w:rPr>
                <w:rFonts w:hint="eastAsia" w:ascii="Times New Roman" w:hAnsi="Times New Roman" w:eastAsia="宋体" w:cs="宋体"/>
                <w:color w:val="auto"/>
                <w:sz w:val="24"/>
                <w:szCs w:val="32"/>
                <w:highlight w:val="none"/>
                <w:vertAlign w:val="superscript"/>
              </w:rPr>
              <w:t>-10</w:t>
            </w:r>
            <w:r>
              <w:rPr>
                <w:rFonts w:hint="eastAsia" w:ascii="Times New Roman" w:hAnsi="Times New Roman" w:eastAsia="宋体" w:cs="宋体"/>
                <w:color w:val="auto"/>
                <w:sz w:val="24"/>
                <w:szCs w:val="32"/>
                <w:highlight w:val="none"/>
              </w:rPr>
              <w:t>cm/s），或其他防渗性能等效的材料。</w:t>
            </w:r>
          </w:p>
          <w:p w14:paraId="35859530">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14:paraId="2719100F">
            <w:pPr>
              <w:spacing w:line="360" w:lineRule="auto"/>
              <w:ind w:firstLine="480" w:firstLineChars="200"/>
              <w:rPr>
                <w:rFonts w:ascii="Times New Roman" w:hAnsi="Times New Roman" w:eastAsia="宋体" w:cs="宋体"/>
                <w:color w:val="auto"/>
                <w:sz w:val="24"/>
                <w:szCs w:val="32"/>
                <w:highlight w:val="none"/>
              </w:rPr>
            </w:pPr>
            <w:r>
              <w:rPr>
                <w:rFonts w:hint="eastAsia" w:ascii="Times New Roman" w:hAnsi="Times New Roman" w:eastAsia="宋体" w:cs="宋体"/>
                <w:color w:val="auto"/>
                <w:sz w:val="24"/>
                <w:szCs w:val="32"/>
                <w:highlight w:val="none"/>
              </w:rPr>
              <w:t>⑥贮存设施应采取技术和管理措施防止无关人员进入。</w:t>
            </w:r>
          </w:p>
          <w:p w14:paraId="32735617">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危险废物贮存</w:t>
            </w:r>
            <w:r>
              <w:rPr>
                <w:rFonts w:ascii="Times New Roman" w:hAnsi="Times New Roman" w:eastAsia="宋体" w:cs="宋体"/>
                <w:b/>
                <w:color w:val="auto"/>
                <w:sz w:val="24"/>
                <w:highlight w:val="none"/>
              </w:rPr>
              <w:t>过程污染</w:t>
            </w:r>
            <w:r>
              <w:rPr>
                <w:rFonts w:hint="eastAsia" w:ascii="Times New Roman" w:hAnsi="Times New Roman" w:eastAsia="宋体" w:cs="宋体"/>
                <w:b/>
                <w:color w:val="auto"/>
                <w:sz w:val="24"/>
                <w:highlight w:val="none"/>
              </w:rPr>
              <w:t>控制要求：</w:t>
            </w:r>
          </w:p>
          <w:p w14:paraId="2BF07BB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①在常温常压下不易水解、不易挥发的固态危险废物可分类堆放贮存，其他固态危险废物应装入容器或包装物内贮存。</w:t>
            </w:r>
          </w:p>
          <w:p w14:paraId="5B76AF8A">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②液态危险废物应装入容器内贮存，或直接采用贮存池、贮存罐区贮存。</w:t>
            </w:r>
          </w:p>
          <w:p w14:paraId="5F312F3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③半固态危险废物应装入容器或包装袋内贮存，或直接采用贮存池贮存。</w:t>
            </w:r>
          </w:p>
          <w:p w14:paraId="57E46669">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④具有热塑性的危险废物应装入容器或包装袋内进行贮存。</w:t>
            </w:r>
          </w:p>
          <w:p w14:paraId="213A5C4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⑤易产生粉尘、VOCs、酸雾、有毒有害大气污染物和刺激性气味气体的危险废物应装入闭口容器或包装物内贮存。</w:t>
            </w:r>
          </w:p>
          <w:p w14:paraId="45804B4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⑥危险废物贮存过程中易产生粉尘等无组织排放的，应采取抑尘等有效措施。</w:t>
            </w:r>
          </w:p>
          <w:p w14:paraId="3B424EA0">
            <w:pPr>
              <w:spacing w:line="360" w:lineRule="auto"/>
              <w:ind w:firstLine="482" w:firstLineChars="200"/>
              <w:rPr>
                <w:rFonts w:ascii="Times New Roman" w:hAnsi="Times New Roman" w:eastAsia="宋体" w:cs="宋体"/>
                <w:b/>
                <w:bCs/>
                <w:color w:val="auto"/>
                <w:kern w:val="0"/>
                <w:sz w:val="24"/>
                <w:highlight w:val="none"/>
              </w:rPr>
            </w:pPr>
            <w:r>
              <w:rPr>
                <w:rFonts w:hint="eastAsia" w:ascii="Times New Roman" w:hAnsi="Times New Roman" w:eastAsia="宋体" w:cs="宋体"/>
                <w:b/>
                <w:bCs/>
                <w:color w:val="auto"/>
                <w:kern w:val="0"/>
                <w:sz w:val="24"/>
                <w:highlight w:val="none"/>
              </w:rPr>
              <w:t>危险废物贮存设施运行环境管理要求：</w:t>
            </w:r>
          </w:p>
          <w:p w14:paraId="17C5C4C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①危险废物存入贮存设施前应对危险废物类别和特性与危险废物标签等危险废物识别标志的一致性进行核验，不一致的或类别、特性不明的不应存入。</w:t>
            </w:r>
          </w:p>
          <w:p w14:paraId="77F85220">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②应定期检查危险废物的贮存状况，及时清理贮存设施地面，更换破损泄漏的危险废物贮存容器和包装物，保证堆存危险废物的防雨、防风、防扬尘等设施功能完好。</w:t>
            </w:r>
          </w:p>
          <w:p w14:paraId="2A0332F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③作业设备及车辆等结束作业离开贮存设施时，应对其残留的危险废物进行清理，清理的废物或清洗废水应收集处理。</w:t>
            </w:r>
          </w:p>
          <w:p w14:paraId="4C03DC51">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④贮存设施运行期间，应按国家有关标准和规定建立危险废物管理台账并保存。</w:t>
            </w:r>
          </w:p>
          <w:p w14:paraId="7D6EAD6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⑤贮存设施所有者或运营者应建立贮存设施环境管理制度、管理人员岗位职责制度、设施运行操作制度、人员岗位培训制度等。</w:t>
            </w:r>
          </w:p>
          <w:p w14:paraId="28ADC6FE">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18AF5A52">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⑦贮存设施所有者或运营者应建立贮存设施全部档案，包括设计、施工、验收、运行、监测和环境应急等，应按国家有关档案管理的法律法规进行整理和归档。</w:t>
            </w:r>
          </w:p>
          <w:p w14:paraId="6758DCAA">
            <w:pPr>
              <w:spacing w:line="360" w:lineRule="auto"/>
              <w:ind w:firstLine="482" w:firstLineChars="200"/>
              <w:rPr>
                <w:rFonts w:ascii="Times New Roman" w:hAnsi="Times New Roman" w:eastAsia="宋体" w:cs="宋体"/>
                <w:b/>
                <w:color w:val="auto"/>
                <w:sz w:val="24"/>
                <w:highlight w:val="none"/>
              </w:rPr>
            </w:pPr>
            <w:r>
              <w:rPr>
                <w:rFonts w:ascii="Times New Roman" w:hAnsi="Times New Roman" w:eastAsia="宋体" w:cs="宋体"/>
                <w:b/>
                <w:color w:val="auto"/>
                <w:sz w:val="24"/>
                <w:highlight w:val="none"/>
              </w:rPr>
              <w:t>危险废物运输过程污染防治措施分析</w:t>
            </w:r>
            <w:r>
              <w:rPr>
                <w:rFonts w:hint="eastAsia" w:ascii="Times New Roman" w:hAnsi="Times New Roman" w:eastAsia="宋体" w:cs="宋体"/>
                <w:b/>
                <w:color w:val="auto"/>
                <w:sz w:val="24"/>
                <w:highlight w:val="none"/>
              </w:rPr>
              <w:t>：</w:t>
            </w:r>
          </w:p>
          <w:p w14:paraId="17F100B4">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w:t>
            </w:r>
            <w:r>
              <w:rPr>
                <w:rFonts w:ascii="Times New Roman" w:hAnsi="Times New Roman" w:eastAsia="宋体" w:cs="宋体"/>
                <w:color w:val="auto"/>
                <w:sz w:val="24"/>
                <w:highlight w:val="none"/>
              </w:rPr>
              <w:t>危险废物的运输车辆须经主管单位检查，并持有有关单位签发的许可证，负责运输的司机应通过培训，持有证明文件。</w:t>
            </w:r>
          </w:p>
          <w:p w14:paraId="72931A9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w:t>
            </w:r>
            <w:r>
              <w:rPr>
                <w:rFonts w:ascii="Times New Roman" w:hAnsi="Times New Roman" w:eastAsia="宋体" w:cs="宋体"/>
                <w:color w:val="auto"/>
                <w:sz w:val="24"/>
                <w:highlight w:val="none"/>
              </w:rPr>
              <w:t>承载危险废物的车辆须有明显的标志或适当的危险符号，以引起注意。</w:t>
            </w:r>
          </w:p>
          <w:p w14:paraId="31033ED8">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w:t>
            </w:r>
            <w:r>
              <w:rPr>
                <w:rFonts w:ascii="Times New Roman" w:hAnsi="Times New Roman" w:eastAsia="宋体" w:cs="宋体"/>
                <w:color w:val="auto"/>
                <w:sz w:val="24"/>
                <w:highlight w:val="none"/>
              </w:rPr>
              <w:t>载有危险废物的车辆在公路上行驶时，</w:t>
            </w:r>
            <w:r>
              <w:rPr>
                <w:rFonts w:hint="eastAsia" w:ascii="Times New Roman" w:hAnsi="Times New Roman" w:eastAsia="宋体" w:cs="宋体"/>
                <w:color w:val="auto"/>
                <w:sz w:val="24"/>
                <w:highlight w:val="none"/>
              </w:rPr>
              <w:t>须</w:t>
            </w:r>
            <w:r>
              <w:rPr>
                <w:rFonts w:ascii="Times New Roman" w:hAnsi="Times New Roman" w:eastAsia="宋体" w:cs="宋体"/>
                <w:color w:val="auto"/>
                <w:sz w:val="24"/>
                <w:highlight w:val="none"/>
              </w:rPr>
              <w:t>持有运输许可证，其上应注明废物来源、性质和运往地点。</w:t>
            </w:r>
          </w:p>
          <w:p w14:paraId="4B45C137">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④</w:t>
            </w:r>
            <w:r>
              <w:rPr>
                <w:rFonts w:ascii="Times New Roman" w:hAnsi="Times New Roman" w:eastAsia="宋体" w:cs="宋体"/>
                <w:color w:val="auto"/>
                <w:sz w:val="24"/>
                <w:highlight w:val="none"/>
              </w:rPr>
              <w:t>组织危险废物的运输单位，在事先需</w:t>
            </w:r>
            <w:r>
              <w:rPr>
                <w:rFonts w:hint="eastAsia" w:cs="宋体"/>
                <w:color w:val="auto"/>
                <w:sz w:val="24"/>
                <w:highlight w:val="none"/>
                <w:lang w:eastAsia="zh-CN"/>
              </w:rPr>
              <w:t>做出</w:t>
            </w:r>
            <w:r>
              <w:rPr>
                <w:rFonts w:ascii="Times New Roman" w:hAnsi="Times New Roman" w:eastAsia="宋体" w:cs="宋体"/>
                <w:color w:val="auto"/>
                <w:sz w:val="24"/>
                <w:highlight w:val="none"/>
              </w:rPr>
              <w:t>周密的运输计划和行驶路线，其中包括有效的废物泄漏情况下的应急措施。</w:t>
            </w:r>
          </w:p>
          <w:p w14:paraId="569D7622">
            <w:pPr>
              <w:spacing w:line="360" w:lineRule="auto"/>
              <w:ind w:firstLine="482" w:firstLineChars="200"/>
              <w:rPr>
                <w:rFonts w:ascii="Times New Roman" w:hAnsi="Times New Roman" w:eastAsia="宋体" w:cs="宋体"/>
                <w:color w:val="auto"/>
                <w:sz w:val="24"/>
                <w:highlight w:val="none"/>
              </w:rPr>
            </w:pPr>
            <w:r>
              <w:rPr>
                <w:rFonts w:ascii="Times New Roman" w:hAnsi="Times New Roman" w:eastAsia="宋体" w:cs="宋体"/>
                <w:b/>
                <w:color w:val="auto"/>
                <w:sz w:val="24"/>
                <w:highlight w:val="none"/>
              </w:rPr>
              <w:t>危险废物委托处置可行性分析</w:t>
            </w:r>
            <w:r>
              <w:rPr>
                <w:rFonts w:hint="eastAsia" w:ascii="Times New Roman" w:hAnsi="Times New Roman" w:eastAsia="宋体" w:cs="宋体"/>
                <w:b/>
                <w:bCs/>
                <w:color w:val="auto"/>
                <w:sz w:val="24"/>
                <w:highlight w:val="none"/>
              </w:rPr>
              <w:t>：</w:t>
            </w:r>
          </w:p>
          <w:p w14:paraId="2377F872">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常州大维环境科技有限公司位于武进区雪堰镇夹山南麓，危险废物经营许可证号JSCZ0412OOI043-</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rPr>
              <w:t>，该公司批准经营方式为焚烧处置，经营品种为焚烧处置医药废物（HW02）、废药物药品（HW03）、农药废物（HW04）、木材防腐剂废物（HW05）、废有机溶剂与含有机溶剂废物（HW06）、废矿物油与含矿物油废物（HW08）、油/水、烃/水混合物或乳化液（HW09）、精（蒸）馏残渣（HW11）、染料涂料废物（HW12）、有机树脂类废物（HW13）、新化学物质废物（HW14）、感光材料废物（HW16）、表面处理废物（HW17，仅限336-064-17）、含金属羰基化合物废物（HW19）、无机氰化物废物（HW33）、有机磷化合物废物（HW37）、有机氰化物废物（HW38）、含酚废物（HW39）、含醚废物（HW40）、含有机卤化物废物（HW45）和其他废物（HW49，仅限309-001-49、900-039-49、900-041-49、900-044-49、900-045-49、900-046-49、900-047-49），合计9000吨/年</w:t>
            </w:r>
            <w:r>
              <w:rPr>
                <w:rFonts w:ascii="Times New Roman" w:hAnsi="Times New Roman" w:eastAsia="宋体" w:cs="宋体"/>
                <w:color w:val="auto"/>
                <w:sz w:val="24"/>
                <w:highlight w:val="none"/>
              </w:rPr>
              <w:t>。</w:t>
            </w:r>
          </w:p>
          <w:p w14:paraId="0215CA81">
            <w:pPr>
              <w:spacing w:line="360" w:lineRule="auto"/>
              <w:ind w:firstLine="480" w:firstLineChars="200"/>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rPr>
              <w:t>江苏瑞孚金属有限公司</w:t>
            </w:r>
            <w:r>
              <w:rPr>
                <w:rFonts w:hint="eastAsia" w:cs="宋体"/>
                <w:color w:val="auto"/>
                <w:sz w:val="24"/>
                <w:highlight w:val="none"/>
                <w:lang w:val="en-US" w:eastAsia="zh-CN"/>
              </w:rPr>
              <w:t>位于常州市武进区湟里镇东安工业集中区，</w:t>
            </w:r>
            <w:r>
              <w:rPr>
                <w:rFonts w:hint="eastAsia" w:ascii="Times New Roman" w:hAnsi="Times New Roman" w:eastAsia="宋体" w:cs="宋体"/>
                <w:color w:val="auto"/>
                <w:sz w:val="24"/>
                <w:highlight w:val="none"/>
              </w:rPr>
              <w:t>危险废物经营许可证号JSCZ0412OOD092-2</w:t>
            </w:r>
            <w:r>
              <w:rPr>
                <w:rFonts w:hint="eastAsia" w:cs="宋体"/>
                <w:color w:val="auto"/>
                <w:sz w:val="24"/>
                <w:highlight w:val="none"/>
                <w:lang w:eastAsia="zh-CN"/>
              </w:rPr>
              <w:t>，</w:t>
            </w:r>
            <w:r>
              <w:rPr>
                <w:rFonts w:hint="eastAsia" w:ascii="Times New Roman" w:hAnsi="Times New Roman" w:eastAsia="宋体" w:cs="宋体"/>
                <w:color w:val="auto"/>
                <w:sz w:val="24"/>
                <w:highlight w:val="none"/>
              </w:rPr>
              <w:t>经营品种为</w:t>
            </w:r>
            <w:r>
              <w:rPr>
                <w:rFonts w:hint="eastAsia" w:cs="宋体"/>
                <w:color w:val="auto"/>
                <w:sz w:val="24"/>
                <w:highlight w:val="none"/>
                <w:lang w:eastAsia="zh-CN"/>
              </w:rPr>
              <w:t>处置、利用铝灰渣(HW48，321-024-48、321-026-48、321-034-48)30000吨/年。</w:t>
            </w:r>
          </w:p>
          <w:p w14:paraId="07974B0E">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本项目危险废物类型</w:t>
            </w:r>
            <w:r>
              <w:rPr>
                <w:rFonts w:hint="eastAsia" w:ascii="Times New Roman" w:hAnsi="Times New Roman" w:eastAsia="宋体" w:cs="宋体"/>
                <w:color w:val="auto"/>
                <w:sz w:val="24"/>
                <w:highlight w:val="none"/>
              </w:rPr>
              <w:t>可</w:t>
            </w:r>
            <w:r>
              <w:rPr>
                <w:rFonts w:ascii="Times New Roman" w:hAnsi="Times New Roman" w:eastAsia="宋体" w:cs="宋体"/>
                <w:color w:val="auto"/>
                <w:sz w:val="24"/>
                <w:highlight w:val="none"/>
              </w:rPr>
              <w:t>委托</w:t>
            </w:r>
            <w:r>
              <w:rPr>
                <w:rFonts w:hint="eastAsia" w:ascii="Times New Roman" w:hAnsi="Times New Roman" w:eastAsia="宋体" w:cs="宋体"/>
                <w:color w:val="auto"/>
                <w:sz w:val="24"/>
                <w:highlight w:val="none"/>
              </w:rPr>
              <w:t>上述</w:t>
            </w:r>
            <w:r>
              <w:rPr>
                <w:rFonts w:ascii="Times New Roman" w:hAnsi="Times New Roman" w:eastAsia="宋体" w:cs="宋体"/>
                <w:color w:val="auto"/>
                <w:sz w:val="24"/>
                <w:highlight w:val="none"/>
              </w:rPr>
              <w:t>公司进行专业处置，项目危险废物类别均在核准经营危险废物类别之内。本项目危险废物年处理费用约</w:t>
            </w:r>
            <w:r>
              <w:rPr>
                <w:rFonts w:hint="eastAsia" w:ascii="Times New Roman" w:hAnsi="Times New Roman" w:eastAsia="宋体" w:cs="宋体"/>
                <w:color w:val="auto"/>
                <w:sz w:val="24"/>
                <w:highlight w:val="none"/>
                <w:lang w:val="en-US" w:eastAsia="zh-CN"/>
              </w:rPr>
              <w:t>2</w:t>
            </w:r>
            <w:r>
              <w:rPr>
                <w:rFonts w:hint="eastAsia" w:ascii="Times New Roman" w:hAnsi="Times New Roman" w:eastAsia="宋体" w:cs="宋体"/>
                <w:color w:val="auto"/>
                <w:sz w:val="24"/>
                <w:highlight w:val="none"/>
              </w:rPr>
              <w:t>0</w:t>
            </w:r>
            <w:r>
              <w:rPr>
                <w:rFonts w:ascii="Times New Roman" w:hAnsi="Times New Roman" w:eastAsia="宋体" w:cs="宋体"/>
                <w:color w:val="auto"/>
                <w:sz w:val="24"/>
                <w:highlight w:val="none"/>
              </w:rPr>
              <w:t>万元，经济上具有可行性。</w:t>
            </w:r>
          </w:p>
          <w:p w14:paraId="2E37B9F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本项目危险废物暂存间基本情况见下表：</w:t>
            </w:r>
          </w:p>
          <w:p w14:paraId="5C1CDB20">
            <w:pPr>
              <w:tabs>
                <w:tab w:val="left" w:pos="960"/>
              </w:tabs>
              <w:spacing w:beforeLines="50"/>
              <w:jc w:val="center"/>
              <w:rPr>
                <w:rFonts w:ascii="Times New Roman" w:hAnsi="Times New Roman" w:eastAsia="宋体" w:cs="宋体"/>
                <w:b/>
                <w:bCs/>
                <w:color w:val="auto"/>
                <w:spacing w:val="-4"/>
                <w:szCs w:val="21"/>
                <w:highlight w:val="none"/>
              </w:rPr>
            </w:pPr>
          </w:p>
          <w:p w14:paraId="265C9967">
            <w:pPr>
              <w:tabs>
                <w:tab w:val="left" w:pos="960"/>
              </w:tabs>
              <w:spacing w:beforeLines="50"/>
              <w:jc w:val="center"/>
              <w:rPr>
                <w:rFonts w:ascii="Times New Roman" w:hAnsi="Times New Roman" w:eastAsia="宋体" w:cs="宋体"/>
                <w:b/>
                <w:bCs/>
                <w:color w:val="auto"/>
                <w:spacing w:val="-4"/>
                <w:szCs w:val="21"/>
                <w:highlight w:val="none"/>
              </w:rPr>
            </w:pPr>
          </w:p>
          <w:p w14:paraId="1DBCB725">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4.4-</w:t>
            </w:r>
            <w:r>
              <w:rPr>
                <w:rFonts w:hint="eastAsia" w:cs="宋体"/>
                <w:b/>
                <w:bCs/>
                <w:color w:val="auto"/>
                <w:spacing w:val="-4"/>
                <w:szCs w:val="21"/>
                <w:highlight w:val="none"/>
                <w:lang w:val="en-US" w:eastAsia="zh-CN"/>
              </w:rPr>
              <w:t>5</w:t>
            </w:r>
            <w:r>
              <w:rPr>
                <w:rFonts w:hint="eastAsia" w:ascii="Times New Roman" w:hAnsi="Times New Roman" w:eastAsia="宋体" w:cs="宋体"/>
                <w:b/>
                <w:bCs/>
                <w:color w:val="auto"/>
                <w:spacing w:val="-4"/>
                <w:szCs w:val="21"/>
                <w:highlight w:val="none"/>
              </w:rPr>
              <w:t xml:space="preserve">  </w:t>
            </w:r>
            <w:r>
              <w:rPr>
                <w:rFonts w:ascii="Times New Roman" w:hAnsi="Times New Roman" w:eastAsia="宋体" w:cs="宋体"/>
                <w:b/>
                <w:bCs/>
                <w:color w:val="auto"/>
                <w:spacing w:val="-4"/>
                <w:szCs w:val="21"/>
                <w:highlight w:val="none"/>
              </w:rPr>
              <w:t>危险废物贮存场所（设施）基本情况</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795"/>
              <w:gridCol w:w="1327"/>
              <w:gridCol w:w="1087"/>
              <w:gridCol w:w="1199"/>
              <w:gridCol w:w="1207"/>
              <w:gridCol w:w="608"/>
              <w:gridCol w:w="610"/>
              <w:gridCol w:w="603"/>
            </w:tblGrid>
            <w:tr w14:paraId="56850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Align w:val="center"/>
                </w:tcPr>
                <w:p w14:paraId="743BB74B">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贮存场所（设施）名称</w:t>
                  </w:r>
                </w:p>
              </w:tc>
              <w:tc>
                <w:tcPr>
                  <w:tcW w:w="786" w:type="pct"/>
                  <w:vAlign w:val="center"/>
                </w:tcPr>
                <w:p w14:paraId="3A0C26D7">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危险废物名称</w:t>
                  </w:r>
                </w:p>
              </w:tc>
              <w:tc>
                <w:tcPr>
                  <w:tcW w:w="644" w:type="pct"/>
                  <w:vAlign w:val="center"/>
                </w:tcPr>
                <w:p w14:paraId="65906424">
                  <w:pPr>
                    <w:snapToGrid w:val="0"/>
                    <w:jc w:val="center"/>
                    <w:rPr>
                      <w:rFonts w:ascii="Times New Roman" w:hAnsi="Times New Roman" w:eastAsia="宋体" w:cs="宋体"/>
                      <w:b/>
                      <w:color w:val="auto"/>
                      <w:szCs w:val="21"/>
                      <w:highlight w:val="none"/>
                    </w:rPr>
                  </w:pPr>
                  <w:r>
                    <w:rPr>
                      <w:rFonts w:ascii="Times New Roman" w:hAnsi="Times New Roman" w:eastAsia="宋体" w:cs="宋体"/>
                      <w:b/>
                      <w:color w:val="auto"/>
                      <w:szCs w:val="21"/>
                      <w:highlight w:val="none"/>
                    </w:rPr>
                    <w:t>废物类别</w:t>
                  </w:r>
                </w:p>
              </w:tc>
              <w:tc>
                <w:tcPr>
                  <w:tcW w:w="710" w:type="pct"/>
                  <w:vAlign w:val="center"/>
                </w:tcPr>
                <w:p w14:paraId="2B58F679">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位置</w:t>
                  </w:r>
                </w:p>
              </w:tc>
              <w:tc>
                <w:tcPr>
                  <w:tcW w:w="715" w:type="pct"/>
                  <w:vAlign w:val="center"/>
                </w:tcPr>
                <w:p w14:paraId="227B255F">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占地面积</w:t>
                  </w:r>
                </w:p>
              </w:tc>
              <w:tc>
                <w:tcPr>
                  <w:tcW w:w="360" w:type="pct"/>
                  <w:vAlign w:val="center"/>
                </w:tcPr>
                <w:p w14:paraId="7A01553B">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贮存</w:t>
                  </w:r>
                </w:p>
                <w:p w14:paraId="65CDE650">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方式</w:t>
                  </w:r>
                </w:p>
              </w:tc>
              <w:tc>
                <w:tcPr>
                  <w:tcW w:w="361" w:type="pct"/>
                  <w:vAlign w:val="center"/>
                </w:tcPr>
                <w:p w14:paraId="76292764">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贮存</w:t>
                  </w:r>
                </w:p>
                <w:p w14:paraId="75F4C180">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能力</w:t>
                  </w:r>
                </w:p>
              </w:tc>
              <w:tc>
                <w:tcPr>
                  <w:tcW w:w="357" w:type="pct"/>
                  <w:vAlign w:val="center"/>
                </w:tcPr>
                <w:p w14:paraId="02CC56D2">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贮存</w:t>
                  </w:r>
                </w:p>
                <w:p w14:paraId="4920F22A">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周期</w:t>
                  </w:r>
                </w:p>
              </w:tc>
            </w:tr>
            <w:tr w14:paraId="37505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restart"/>
                  <w:vAlign w:val="center"/>
                </w:tcPr>
                <w:p w14:paraId="7413CDA9">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危险废物暂存间</w:t>
                  </w:r>
                </w:p>
              </w:tc>
              <w:tc>
                <w:tcPr>
                  <w:tcW w:w="786" w:type="pct"/>
                  <w:shd w:val="clear" w:color="auto" w:fill="auto"/>
                  <w:vAlign w:val="center"/>
                </w:tcPr>
                <w:p w14:paraId="5C11B099">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铝灰渣</w:t>
                  </w:r>
                </w:p>
              </w:tc>
              <w:tc>
                <w:tcPr>
                  <w:tcW w:w="644" w:type="pct"/>
                  <w:shd w:val="clear" w:color="auto" w:fill="auto"/>
                  <w:vAlign w:val="center"/>
                </w:tcPr>
                <w:p w14:paraId="5BAA7B48">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48</w:t>
                  </w:r>
                </w:p>
              </w:tc>
              <w:tc>
                <w:tcPr>
                  <w:tcW w:w="710" w:type="pct"/>
                  <w:vMerge w:val="restart"/>
                  <w:vAlign w:val="center"/>
                </w:tcPr>
                <w:p w14:paraId="04EACC30">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办公楼西侧</w:t>
                  </w:r>
                </w:p>
              </w:tc>
              <w:tc>
                <w:tcPr>
                  <w:tcW w:w="715" w:type="pct"/>
                  <w:vMerge w:val="restart"/>
                  <w:vAlign w:val="center"/>
                </w:tcPr>
                <w:p w14:paraId="204FFAA7">
                  <w:pPr>
                    <w:snapToGrid w:val="0"/>
                    <w:jc w:val="center"/>
                    <w:rPr>
                      <w:rFonts w:ascii="Times New Roman" w:hAnsi="Times New Roman" w:eastAsia="宋体" w:cs="宋体"/>
                      <w:color w:val="auto"/>
                      <w:kern w:val="0"/>
                      <w:szCs w:val="21"/>
                      <w:highlight w:val="none"/>
                    </w:rPr>
                  </w:pPr>
                  <w:r>
                    <w:rPr>
                      <w:rFonts w:hint="eastAsia" w:cs="宋体"/>
                      <w:color w:val="auto"/>
                      <w:kern w:val="0"/>
                      <w:szCs w:val="21"/>
                      <w:highlight w:val="none"/>
                      <w:lang w:val="en-US" w:eastAsia="zh-CN"/>
                    </w:rPr>
                    <w:t>22</w:t>
                  </w:r>
                  <w:r>
                    <w:rPr>
                      <w:rFonts w:ascii="Times New Roman" w:hAnsi="Times New Roman" w:eastAsia="宋体" w:cs="宋体"/>
                      <w:color w:val="auto"/>
                      <w:kern w:val="0"/>
                      <w:szCs w:val="21"/>
                      <w:highlight w:val="none"/>
                    </w:rPr>
                    <w:t>m</w:t>
                  </w:r>
                  <w:r>
                    <w:rPr>
                      <w:rFonts w:ascii="Times New Roman" w:hAnsi="Times New Roman" w:eastAsia="宋体" w:cs="宋体"/>
                      <w:color w:val="auto"/>
                      <w:kern w:val="0"/>
                      <w:szCs w:val="21"/>
                      <w:highlight w:val="none"/>
                      <w:vertAlign w:val="superscript"/>
                    </w:rPr>
                    <w:t>2</w:t>
                  </w:r>
                </w:p>
              </w:tc>
              <w:tc>
                <w:tcPr>
                  <w:tcW w:w="360" w:type="pct"/>
                  <w:vMerge w:val="restart"/>
                  <w:vAlign w:val="center"/>
                </w:tcPr>
                <w:p w14:paraId="0E351D8C">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密闭容器</w:t>
                  </w:r>
                </w:p>
              </w:tc>
              <w:tc>
                <w:tcPr>
                  <w:tcW w:w="361" w:type="pct"/>
                  <w:vAlign w:val="center"/>
                </w:tcPr>
                <w:p w14:paraId="2B8F1815">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1.50</w:t>
                  </w:r>
                  <w:r>
                    <w:rPr>
                      <w:rFonts w:hint="eastAsia" w:ascii="Times New Roman" w:hAnsi="Times New Roman" w:eastAsia="宋体" w:cs="宋体"/>
                      <w:color w:val="auto"/>
                      <w:kern w:val="0"/>
                      <w:szCs w:val="21"/>
                      <w:highlight w:val="none"/>
                      <w:lang w:val="en-US" w:eastAsia="zh-CN"/>
                    </w:rPr>
                    <w:t>t</w:t>
                  </w:r>
                </w:p>
              </w:tc>
              <w:tc>
                <w:tcPr>
                  <w:tcW w:w="357" w:type="pct"/>
                  <w:vMerge w:val="restart"/>
                  <w:vAlign w:val="center"/>
                </w:tcPr>
                <w:p w14:paraId="6E666BE0">
                  <w:pPr>
                    <w:topLinePunct/>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3m</w:t>
                  </w:r>
                </w:p>
              </w:tc>
            </w:tr>
            <w:tr w14:paraId="25F53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6319B64D">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054DF44D">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脱模废液</w:t>
                  </w:r>
                </w:p>
              </w:tc>
              <w:tc>
                <w:tcPr>
                  <w:tcW w:w="644" w:type="pct"/>
                  <w:shd w:val="clear" w:color="auto" w:fill="auto"/>
                  <w:vAlign w:val="center"/>
                </w:tcPr>
                <w:p w14:paraId="2F478EA8">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710" w:type="pct"/>
                  <w:vMerge w:val="continue"/>
                  <w:vAlign w:val="center"/>
                </w:tcPr>
                <w:p w14:paraId="2A9D539C">
                  <w:pPr>
                    <w:snapToGrid w:val="0"/>
                    <w:jc w:val="center"/>
                    <w:rPr>
                      <w:rFonts w:hint="eastAsia" w:cs="宋体"/>
                      <w:color w:val="auto"/>
                      <w:szCs w:val="21"/>
                      <w:highlight w:val="none"/>
                      <w:lang w:val="en-US" w:eastAsia="zh-CN"/>
                    </w:rPr>
                  </w:pPr>
                </w:p>
              </w:tc>
              <w:tc>
                <w:tcPr>
                  <w:tcW w:w="715" w:type="pct"/>
                  <w:vMerge w:val="continue"/>
                  <w:vAlign w:val="center"/>
                </w:tcPr>
                <w:p w14:paraId="2BF72EB0">
                  <w:pPr>
                    <w:snapToGrid w:val="0"/>
                    <w:jc w:val="center"/>
                    <w:rPr>
                      <w:rFonts w:hint="eastAsia" w:cs="宋体"/>
                      <w:color w:val="auto"/>
                      <w:kern w:val="0"/>
                      <w:szCs w:val="21"/>
                      <w:highlight w:val="none"/>
                      <w:lang w:val="en-US" w:eastAsia="zh-CN"/>
                    </w:rPr>
                  </w:pPr>
                </w:p>
              </w:tc>
              <w:tc>
                <w:tcPr>
                  <w:tcW w:w="360" w:type="pct"/>
                  <w:vMerge w:val="continue"/>
                  <w:vAlign w:val="center"/>
                </w:tcPr>
                <w:p w14:paraId="41471E9D">
                  <w:pPr>
                    <w:snapToGrid w:val="0"/>
                    <w:jc w:val="center"/>
                    <w:rPr>
                      <w:rFonts w:hint="eastAsia" w:ascii="Times New Roman" w:hAnsi="Times New Roman" w:eastAsia="宋体" w:cs="宋体"/>
                      <w:color w:val="auto"/>
                      <w:kern w:val="0"/>
                      <w:szCs w:val="21"/>
                      <w:highlight w:val="none"/>
                    </w:rPr>
                  </w:pPr>
                </w:p>
              </w:tc>
              <w:tc>
                <w:tcPr>
                  <w:tcW w:w="361" w:type="pct"/>
                  <w:vAlign w:val="center"/>
                </w:tcPr>
                <w:p w14:paraId="6ECFE59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0.3t</w:t>
                  </w:r>
                </w:p>
              </w:tc>
              <w:tc>
                <w:tcPr>
                  <w:tcW w:w="357" w:type="pct"/>
                  <w:vMerge w:val="continue"/>
                  <w:vAlign w:val="center"/>
                </w:tcPr>
                <w:p w14:paraId="52844CC3">
                  <w:pPr>
                    <w:topLinePunct/>
                    <w:snapToGrid w:val="0"/>
                    <w:jc w:val="center"/>
                    <w:rPr>
                      <w:rFonts w:hint="eastAsia" w:ascii="Times New Roman" w:hAnsi="Times New Roman" w:eastAsia="宋体" w:cs="宋体"/>
                      <w:color w:val="auto"/>
                      <w:szCs w:val="21"/>
                      <w:highlight w:val="none"/>
                    </w:rPr>
                  </w:pPr>
                </w:p>
              </w:tc>
            </w:tr>
            <w:tr w14:paraId="18E81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27B8C591">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34CDDECE">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废乳化液</w:t>
                  </w:r>
                </w:p>
              </w:tc>
              <w:tc>
                <w:tcPr>
                  <w:tcW w:w="644" w:type="pct"/>
                  <w:shd w:val="clear" w:color="auto" w:fill="auto"/>
                  <w:vAlign w:val="center"/>
                </w:tcPr>
                <w:p w14:paraId="1244F7D0">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HW</w:t>
                  </w:r>
                  <w:r>
                    <w:rPr>
                      <w:rFonts w:hint="eastAsia" w:cs="宋体"/>
                      <w:color w:val="auto"/>
                      <w:spacing w:val="0"/>
                      <w:szCs w:val="21"/>
                      <w:highlight w:val="none"/>
                      <w:lang w:val="en-US" w:eastAsia="zh-CN"/>
                    </w:rPr>
                    <w:t>09</w:t>
                  </w:r>
                </w:p>
              </w:tc>
              <w:tc>
                <w:tcPr>
                  <w:tcW w:w="710" w:type="pct"/>
                  <w:vMerge w:val="continue"/>
                  <w:vAlign w:val="center"/>
                </w:tcPr>
                <w:p w14:paraId="34521ED1">
                  <w:pPr>
                    <w:snapToGrid w:val="0"/>
                    <w:jc w:val="center"/>
                    <w:rPr>
                      <w:rFonts w:ascii="Times New Roman" w:hAnsi="Times New Roman" w:eastAsia="宋体" w:cs="宋体"/>
                      <w:color w:val="auto"/>
                      <w:szCs w:val="21"/>
                      <w:highlight w:val="none"/>
                    </w:rPr>
                  </w:pPr>
                </w:p>
              </w:tc>
              <w:tc>
                <w:tcPr>
                  <w:tcW w:w="715" w:type="pct"/>
                  <w:vMerge w:val="continue"/>
                  <w:vAlign w:val="center"/>
                </w:tcPr>
                <w:p w14:paraId="41DD6C1A">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60693A4E">
                  <w:pPr>
                    <w:snapToGrid w:val="0"/>
                    <w:jc w:val="center"/>
                    <w:rPr>
                      <w:rFonts w:ascii="Times New Roman" w:hAnsi="Times New Roman" w:eastAsia="宋体" w:cs="宋体"/>
                      <w:color w:val="auto"/>
                      <w:kern w:val="0"/>
                      <w:szCs w:val="21"/>
                      <w:highlight w:val="none"/>
                    </w:rPr>
                  </w:pPr>
                </w:p>
              </w:tc>
              <w:tc>
                <w:tcPr>
                  <w:tcW w:w="361" w:type="pct"/>
                  <w:vAlign w:val="center"/>
                </w:tcPr>
                <w:p w14:paraId="6356B0A3">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1.2</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494DF0E6">
                  <w:pPr>
                    <w:topLinePunct/>
                    <w:snapToGrid w:val="0"/>
                    <w:jc w:val="center"/>
                    <w:rPr>
                      <w:rFonts w:ascii="Times New Roman" w:hAnsi="Times New Roman" w:eastAsia="宋体" w:cs="宋体"/>
                      <w:color w:val="auto"/>
                      <w:szCs w:val="21"/>
                      <w:highlight w:val="none"/>
                    </w:rPr>
                  </w:pPr>
                </w:p>
              </w:tc>
            </w:tr>
            <w:tr w14:paraId="2F9BA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7CD1D3FD">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44417A07">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RO浓液</w:t>
                  </w:r>
                </w:p>
              </w:tc>
              <w:tc>
                <w:tcPr>
                  <w:tcW w:w="644" w:type="pct"/>
                  <w:shd w:val="clear" w:color="auto" w:fill="auto"/>
                  <w:vAlign w:val="center"/>
                </w:tcPr>
                <w:p w14:paraId="725DD560">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09</w:t>
                  </w:r>
                </w:p>
              </w:tc>
              <w:tc>
                <w:tcPr>
                  <w:tcW w:w="710" w:type="pct"/>
                  <w:vMerge w:val="continue"/>
                  <w:vAlign w:val="center"/>
                </w:tcPr>
                <w:p w14:paraId="2E1508F8">
                  <w:pPr>
                    <w:snapToGrid w:val="0"/>
                    <w:jc w:val="center"/>
                    <w:rPr>
                      <w:rFonts w:ascii="Times New Roman" w:hAnsi="Times New Roman" w:eastAsia="宋体" w:cs="宋体"/>
                      <w:color w:val="auto"/>
                      <w:szCs w:val="21"/>
                      <w:highlight w:val="none"/>
                    </w:rPr>
                  </w:pPr>
                </w:p>
              </w:tc>
              <w:tc>
                <w:tcPr>
                  <w:tcW w:w="715" w:type="pct"/>
                  <w:vMerge w:val="continue"/>
                  <w:vAlign w:val="center"/>
                </w:tcPr>
                <w:p w14:paraId="5F97368F">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4F5D5C8B">
                  <w:pPr>
                    <w:snapToGrid w:val="0"/>
                    <w:jc w:val="center"/>
                    <w:rPr>
                      <w:rFonts w:ascii="Times New Roman" w:hAnsi="Times New Roman" w:eastAsia="宋体" w:cs="宋体"/>
                      <w:color w:val="auto"/>
                      <w:kern w:val="0"/>
                      <w:szCs w:val="21"/>
                      <w:highlight w:val="none"/>
                    </w:rPr>
                  </w:pPr>
                </w:p>
              </w:tc>
              <w:tc>
                <w:tcPr>
                  <w:tcW w:w="361" w:type="pct"/>
                  <w:vAlign w:val="center"/>
                </w:tcPr>
                <w:p w14:paraId="4CDB1FC1">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3.53</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5285652C">
                  <w:pPr>
                    <w:topLinePunct/>
                    <w:snapToGrid w:val="0"/>
                    <w:jc w:val="center"/>
                    <w:rPr>
                      <w:rFonts w:ascii="Times New Roman" w:hAnsi="Times New Roman" w:eastAsia="宋体" w:cs="宋体"/>
                      <w:color w:val="auto"/>
                      <w:szCs w:val="21"/>
                      <w:highlight w:val="none"/>
                    </w:rPr>
                  </w:pPr>
                </w:p>
              </w:tc>
            </w:tr>
            <w:tr w14:paraId="54F63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37906125">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06C81A8C">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废过滤介质</w:t>
                  </w:r>
                </w:p>
              </w:tc>
              <w:tc>
                <w:tcPr>
                  <w:tcW w:w="644" w:type="pct"/>
                  <w:shd w:val="clear" w:color="auto" w:fill="auto"/>
                  <w:vAlign w:val="center"/>
                </w:tcPr>
                <w:p w14:paraId="1A257125">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w:t>
                  </w:r>
                  <w:r>
                    <w:rPr>
                      <w:rFonts w:hint="eastAsia" w:cs="宋体"/>
                      <w:color w:val="auto"/>
                      <w:spacing w:val="0"/>
                      <w:szCs w:val="21"/>
                      <w:highlight w:val="none"/>
                      <w:lang w:val="en-US" w:eastAsia="zh-CN"/>
                    </w:rPr>
                    <w:t>49</w:t>
                  </w:r>
                </w:p>
              </w:tc>
              <w:tc>
                <w:tcPr>
                  <w:tcW w:w="710" w:type="pct"/>
                  <w:vMerge w:val="continue"/>
                  <w:vAlign w:val="center"/>
                </w:tcPr>
                <w:p w14:paraId="42EC7675">
                  <w:pPr>
                    <w:snapToGrid w:val="0"/>
                    <w:jc w:val="center"/>
                    <w:rPr>
                      <w:rFonts w:ascii="Times New Roman" w:hAnsi="Times New Roman" w:eastAsia="宋体" w:cs="宋体"/>
                      <w:color w:val="auto"/>
                      <w:szCs w:val="21"/>
                      <w:highlight w:val="none"/>
                    </w:rPr>
                  </w:pPr>
                </w:p>
              </w:tc>
              <w:tc>
                <w:tcPr>
                  <w:tcW w:w="715" w:type="pct"/>
                  <w:vMerge w:val="continue"/>
                  <w:vAlign w:val="center"/>
                </w:tcPr>
                <w:p w14:paraId="3855EDB6">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1382E20F">
                  <w:pPr>
                    <w:snapToGrid w:val="0"/>
                    <w:jc w:val="center"/>
                    <w:rPr>
                      <w:rFonts w:ascii="Times New Roman" w:hAnsi="Times New Roman" w:eastAsia="宋体" w:cs="宋体"/>
                      <w:color w:val="auto"/>
                      <w:kern w:val="0"/>
                      <w:szCs w:val="21"/>
                      <w:highlight w:val="none"/>
                    </w:rPr>
                  </w:pPr>
                </w:p>
              </w:tc>
              <w:tc>
                <w:tcPr>
                  <w:tcW w:w="361" w:type="pct"/>
                  <w:vAlign w:val="center"/>
                </w:tcPr>
                <w:p w14:paraId="7F6AAB37">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5C07F975">
                  <w:pPr>
                    <w:topLinePunct/>
                    <w:snapToGrid w:val="0"/>
                    <w:jc w:val="center"/>
                    <w:rPr>
                      <w:rFonts w:ascii="Times New Roman" w:hAnsi="Times New Roman" w:eastAsia="宋体" w:cs="宋体"/>
                      <w:color w:val="auto"/>
                      <w:szCs w:val="21"/>
                      <w:highlight w:val="none"/>
                    </w:rPr>
                  </w:pPr>
                </w:p>
              </w:tc>
            </w:tr>
            <w:tr w14:paraId="4E080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6B9E31E5">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63543261">
                  <w:pPr>
                    <w:keepNext w:val="0"/>
                    <w:pageBreakBefore w:val="0"/>
                    <w:widowControl w:val="0"/>
                    <w:kinsoku/>
                    <w:wordWrap/>
                    <w:overflowPunct/>
                    <w:topLinePunct w:val="0"/>
                    <w:bidi w:val="0"/>
                    <w:adjustRightInd/>
                    <w:snapToGrid w:val="0"/>
                    <w:spacing w:line="320" w:lineRule="exact"/>
                    <w:jc w:val="center"/>
                    <w:textAlignment w:val="auto"/>
                    <w:rPr>
                      <w:rFonts w:hint="default"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除尘渣</w:t>
                  </w:r>
                </w:p>
              </w:tc>
              <w:tc>
                <w:tcPr>
                  <w:tcW w:w="644" w:type="pct"/>
                  <w:shd w:val="clear" w:color="auto" w:fill="auto"/>
                  <w:vAlign w:val="center"/>
                </w:tcPr>
                <w:p w14:paraId="01AD32C7">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w:t>
                  </w:r>
                  <w:r>
                    <w:rPr>
                      <w:rFonts w:hint="eastAsia" w:cs="宋体"/>
                      <w:color w:val="auto"/>
                      <w:spacing w:val="0"/>
                      <w:szCs w:val="21"/>
                      <w:highlight w:val="none"/>
                      <w:lang w:val="en-US" w:eastAsia="zh-CN"/>
                    </w:rPr>
                    <w:t>8</w:t>
                  </w:r>
                </w:p>
              </w:tc>
              <w:tc>
                <w:tcPr>
                  <w:tcW w:w="710" w:type="pct"/>
                  <w:vMerge w:val="continue"/>
                  <w:vAlign w:val="center"/>
                </w:tcPr>
                <w:p w14:paraId="4E89F381">
                  <w:pPr>
                    <w:snapToGrid w:val="0"/>
                    <w:jc w:val="center"/>
                    <w:rPr>
                      <w:rFonts w:ascii="Times New Roman" w:hAnsi="Times New Roman" w:eastAsia="宋体" w:cs="宋体"/>
                      <w:color w:val="auto"/>
                      <w:szCs w:val="21"/>
                      <w:highlight w:val="none"/>
                    </w:rPr>
                  </w:pPr>
                </w:p>
              </w:tc>
              <w:tc>
                <w:tcPr>
                  <w:tcW w:w="715" w:type="pct"/>
                  <w:vMerge w:val="continue"/>
                  <w:vAlign w:val="center"/>
                </w:tcPr>
                <w:p w14:paraId="7354EA92">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3967155D">
                  <w:pPr>
                    <w:snapToGrid w:val="0"/>
                    <w:jc w:val="center"/>
                    <w:rPr>
                      <w:rFonts w:ascii="Times New Roman" w:hAnsi="Times New Roman" w:eastAsia="宋体" w:cs="宋体"/>
                      <w:color w:val="auto"/>
                      <w:kern w:val="0"/>
                      <w:szCs w:val="21"/>
                      <w:highlight w:val="none"/>
                    </w:rPr>
                  </w:pPr>
                </w:p>
              </w:tc>
              <w:tc>
                <w:tcPr>
                  <w:tcW w:w="361" w:type="pct"/>
                  <w:vAlign w:val="center"/>
                </w:tcPr>
                <w:p w14:paraId="4E1DAAE2">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0.15</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21643912">
                  <w:pPr>
                    <w:topLinePunct/>
                    <w:snapToGrid w:val="0"/>
                    <w:jc w:val="center"/>
                    <w:rPr>
                      <w:rFonts w:ascii="Times New Roman" w:hAnsi="Times New Roman" w:eastAsia="宋体" w:cs="宋体"/>
                      <w:color w:val="auto"/>
                      <w:szCs w:val="21"/>
                      <w:highlight w:val="none"/>
                    </w:rPr>
                  </w:pPr>
                </w:p>
              </w:tc>
            </w:tr>
            <w:tr w14:paraId="66873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771927AE">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651A171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废活性炭</w:t>
                  </w:r>
                </w:p>
              </w:tc>
              <w:tc>
                <w:tcPr>
                  <w:tcW w:w="644" w:type="pct"/>
                  <w:shd w:val="clear" w:color="auto" w:fill="auto"/>
                  <w:vAlign w:val="center"/>
                </w:tcPr>
                <w:p w14:paraId="2920F110">
                  <w:pPr>
                    <w:keepNext w:val="0"/>
                    <w:pageBreakBefore w:val="0"/>
                    <w:widowControl w:val="0"/>
                    <w:kinsoku/>
                    <w:wordWrap/>
                    <w:overflowPunct/>
                    <w:topLinePunct w:val="0"/>
                    <w:bidi w:val="0"/>
                    <w:adjustRightInd/>
                    <w:snapToGrid w:val="0"/>
                    <w:spacing w:line="320" w:lineRule="exact"/>
                    <w:jc w:val="center"/>
                    <w:textAlignment w:val="auto"/>
                    <w:rPr>
                      <w:rFonts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HW49</w:t>
                  </w:r>
                </w:p>
              </w:tc>
              <w:tc>
                <w:tcPr>
                  <w:tcW w:w="710" w:type="pct"/>
                  <w:vMerge w:val="continue"/>
                  <w:vAlign w:val="center"/>
                </w:tcPr>
                <w:p w14:paraId="1BEF79A2">
                  <w:pPr>
                    <w:snapToGrid w:val="0"/>
                    <w:jc w:val="center"/>
                    <w:rPr>
                      <w:rFonts w:ascii="Times New Roman" w:hAnsi="Times New Roman" w:eastAsia="宋体" w:cs="宋体"/>
                      <w:color w:val="auto"/>
                      <w:szCs w:val="21"/>
                      <w:highlight w:val="none"/>
                    </w:rPr>
                  </w:pPr>
                </w:p>
              </w:tc>
              <w:tc>
                <w:tcPr>
                  <w:tcW w:w="715" w:type="pct"/>
                  <w:vMerge w:val="continue"/>
                  <w:vAlign w:val="center"/>
                </w:tcPr>
                <w:p w14:paraId="35F791D3">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24CC8E21">
                  <w:pPr>
                    <w:snapToGrid w:val="0"/>
                    <w:jc w:val="center"/>
                    <w:rPr>
                      <w:rFonts w:ascii="Times New Roman" w:hAnsi="Times New Roman" w:eastAsia="宋体" w:cs="宋体"/>
                      <w:color w:val="auto"/>
                      <w:kern w:val="0"/>
                      <w:szCs w:val="21"/>
                      <w:highlight w:val="none"/>
                    </w:rPr>
                  </w:pPr>
                </w:p>
              </w:tc>
              <w:tc>
                <w:tcPr>
                  <w:tcW w:w="361" w:type="pct"/>
                  <w:vAlign w:val="center"/>
                </w:tcPr>
                <w:p w14:paraId="45BB522A">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1.4</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3C4A3BB3">
                  <w:pPr>
                    <w:topLinePunct/>
                    <w:snapToGrid w:val="0"/>
                    <w:jc w:val="center"/>
                    <w:rPr>
                      <w:rFonts w:ascii="Times New Roman" w:hAnsi="Times New Roman" w:eastAsia="宋体" w:cs="宋体"/>
                      <w:color w:val="auto"/>
                      <w:szCs w:val="21"/>
                      <w:highlight w:val="none"/>
                    </w:rPr>
                  </w:pPr>
                </w:p>
              </w:tc>
            </w:tr>
            <w:tr w14:paraId="1AE42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4245D330">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06816D53">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cs="宋体"/>
                      <w:color w:val="auto"/>
                      <w:spacing w:val="0"/>
                      <w:szCs w:val="21"/>
                      <w:highlight w:val="none"/>
                      <w:lang w:val="en-US" w:eastAsia="zh-CN"/>
                    </w:rPr>
                    <w:t>废矿物油</w:t>
                  </w:r>
                </w:p>
              </w:tc>
              <w:tc>
                <w:tcPr>
                  <w:tcW w:w="644" w:type="pct"/>
                  <w:shd w:val="clear" w:color="auto" w:fill="auto"/>
                  <w:vAlign w:val="center"/>
                </w:tcPr>
                <w:p w14:paraId="0A44BC1E">
                  <w:pPr>
                    <w:keepNext w:val="0"/>
                    <w:keepLines/>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smallCaps w:val="0"/>
                      <w:color w:val="auto"/>
                      <w:spacing w:val="0"/>
                      <w:szCs w:val="21"/>
                      <w:highlight w:val="none"/>
                    </w:rPr>
                    <w:t>HW0</w:t>
                  </w:r>
                  <w:r>
                    <w:rPr>
                      <w:rFonts w:hint="eastAsia"/>
                      <w:smallCaps w:val="0"/>
                      <w:color w:val="auto"/>
                      <w:spacing w:val="0"/>
                      <w:szCs w:val="21"/>
                      <w:highlight w:val="none"/>
                      <w:lang w:val="en-US" w:eastAsia="zh-CN"/>
                    </w:rPr>
                    <w:t>8</w:t>
                  </w:r>
                </w:p>
              </w:tc>
              <w:tc>
                <w:tcPr>
                  <w:tcW w:w="710" w:type="pct"/>
                  <w:vMerge w:val="continue"/>
                  <w:vAlign w:val="center"/>
                </w:tcPr>
                <w:p w14:paraId="39DCD66C">
                  <w:pPr>
                    <w:snapToGrid w:val="0"/>
                    <w:jc w:val="center"/>
                    <w:rPr>
                      <w:rFonts w:ascii="Times New Roman" w:hAnsi="Times New Roman" w:eastAsia="宋体" w:cs="宋体"/>
                      <w:color w:val="auto"/>
                      <w:szCs w:val="21"/>
                      <w:highlight w:val="none"/>
                    </w:rPr>
                  </w:pPr>
                </w:p>
              </w:tc>
              <w:tc>
                <w:tcPr>
                  <w:tcW w:w="715" w:type="pct"/>
                  <w:vMerge w:val="continue"/>
                  <w:vAlign w:val="center"/>
                </w:tcPr>
                <w:p w14:paraId="1920AE68">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36D474A7">
                  <w:pPr>
                    <w:snapToGrid w:val="0"/>
                    <w:jc w:val="center"/>
                    <w:rPr>
                      <w:rFonts w:ascii="Times New Roman" w:hAnsi="Times New Roman" w:eastAsia="宋体" w:cs="宋体"/>
                      <w:color w:val="auto"/>
                      <w:kern w:val="0"/>
                      <w:szCs w:val="21"/>
                      <w:highlight w:val="none"/>
                    </w:rPr>
                  </w:pPr>
                </w:p>
              </w:tc>
              <w:tc>
                <w:tcPr>
                  <w:tcW w:w="361" w:type="pct"/>
                  <w:vAlign w:val="center"/>
                </w:tcPr>
                <w:p w14:paraId="30488AF8">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2.67</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0F50CE40">
                  <w:pPr>
                    <w:topLinePunct/>
                    <w:snapToGrid w:val="0"/>
                    <w:jc w:val="center"/>
                    <w:rPr>
                      <w:rFonts w:ascii="Times New Roman" w:hAnsi="Times New Roman" w:eastAsia="宋体" w:cs="宋体"/>
                      <w:color w:val="auto"/>
                      <w:szCs w:val="21"/>
                      <w:highlight w:val="none"/>
                    </w:rPr>
                  </w:pPr>
                </w:p>
              </w:tc>
            </w:tr>
            <w:tr w14:paraId="46EE7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63" w:type="pct"/>
                  <w:vMerge w:val="continue"/>
                  <w:vAlign w:val="center"/>
                </w:tcPr>
                <w:p w14:paraId="1FD48066">
                  <w:pPr>
                    <w:snapToGrid w:val="0"/>
                    <w:jc w:val="center"/>
                    <w:rPr>
                      <w:rFonts w:ascii="Times New Roman" w:hAnsi="Times New Roman" w:eastAsia="宋体" w:cs="宋体"/>
                      <w:color w:val="auto"/>
                      <w:kern w:val="0"/>
                      <w:szCs w:val="21"/>
                      <w:highlight w:val="none"/>
                    </w:rPr>
                  </w:pPr>
                </w:p>
              </w:tc>
              <w:tc>
                <w:tcPr>
                  <w:tcW w:w="786" w:type="pct"/>
                  <w:shd w:val="clear" w:color="auto" w:fill="auto"/>
                  <w:vAlign w:val="center"/>
                </w:tcPr>
                <w:p w14:paraId="62159F82">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lang w:val="en-US" w:eastAsia="zh-CN"/>
                    </w:rPr>
                    <w:t>废包装桶</w:t>
                  </w:r>
                </w:p>
              </w:tc>
              <w:tc>
                <w:tcPr>
                  <w:tcW w:w="644" w:type="pct"/>
                  <w:shd w:val="clear" w:color="auto" w:fill="auto"/>
                  <w:vAlign w:val="center"/>
                </w:tcPr>
                <w:p w14:paraId="5FC82701">
                  <w:pPr>
                    <w:keepNext w:val="0"/>
                    <w:pageBreakBefore w:val="0"/>
                    <w:widowControl w:val="0"/>
                    <w:kinsoku/>
                    <w:wordWrap/>
                    <w:overflowPunct/>
                    <w:topLinePunct w:val="0"/>
                    <w:bidi w:val="0"/>
                    <w:adjustRightInd/>
                    <w:snapToGrid w:val="0"/>
                    <w:spacing w:line="320" w:lineRule="exact"/>
                    <w:jc w:val="center"/>
                    <w:textAlignment w:val="auto"/>
                    <w:rPr>
                      <w:rFonts w:hint="eastAsia" w:ascii="Times New Roman" w:hAnsi="Times New Roman" w:eastAsia="宋体" w:cs="宋体"/>
                      <w:color w:val="auto"/>
                      <w:spacing w:val="0"/>
                      <w:kern w:val="2"/>
                      <w:sz w:val="21"/>
                      <w:szCs w:val="21"/>
                      <w:highlight w:val="none"/>
                      <w:lang w:val="en-US" w:eastAsia="zh-CN" w:bidi="ar-SA"/>
                    </w:rPr>
                  </w:pPr>
                  <w:r>
                    <w:rPr>
                      <w:rFonts w:hint="eastAsia" w:ascii="Times New Roman" w:hAnsi="Times New Roman" w:eastAsia="宋体" w:cs="宋体"/>
                      <w:color w:val="auto"/>
                      <w:spacing w:val="0"/>
                      <w:szCs w:val="21"/>
                      <w:highlight w:val="none"/>
                    </w:rPr>
                    <w:t>HW49</w:t>
                  </w:r>
                </w:p>
              </w:tc>
              <w:tc>
                <w:tcPr>
                  <w:tcW w:w="710" w:type="pct"/>
                  <w:vMerge w:val="continue"/>
                  <w:vAlign w:val="center"/>
                </w:tcPr>
                <w:p w14:paraId="710842F8">
                  <w:pPr>
                    <w:snapToGrid w:val="0"/>
                    <w:jc w:val="center"/>
                    <w:rPr>
                      <w:rFonts w:ascii="Times New Roman" w:hAnsi="Times New Roman" w:eastAsia="宋体" w:cs="宋体"/>
                      <w:color w:val="auto"/>
                      <w:szCs w:val="21"/>
                      <w:highlight w:val="none"/>
                    </w:rPr>
                  </w:pPr>
                </w:p>
              </w:tc>
              <w:tc>
                <w:tcPr>
                  <w:tcW w:w="715" w:type="pct"/>
                  <w:vMerge w:val="continue"/>
                  <w:vAlign w:val="center"/>
                </w:tcPr>
                <w:p w14:paraId="3C5D0850">
                  <w:pPr>
                    <w:snapToGrid w:val="0"/>
                    <w:jc w:val="center"/>
                    <w:rPr>
                      <w:rFonts w:ascii="Times New Roman" w:hAnsi="Times New Roman" w:eastAsia="宋体" w:cs="宋体"/>
                      <w:color w:val="auto"/>
                      <w:kern w:val="0"/>
                      <w:szCs w:val="21"/>
                      <w:highlight w:val="none"/>
                    </w:rPr>
                  </w:pPr>
                </w:p>
              </w:tc>
              <w:tc>
                <w:tcPr>
                  <w:tcW w:w="360" w:type="pct"/>
                  <w:vMerge w:val="continue"/>
                  <w:vAlign w:val="center"/>
                </w:tcPr>
                <w:p w14:paraId="0C876339">
                  <w:pPr>
                    <w:snapToGrid w:val="0"/>
                    <w:jc w:val="center"/>
                    <w:rPr>
                      <w:rFonts w:ascii="Times New Roman" w:hAnsi="Times New Roman" w:eastAsia="宋体" w:cs="宋体"/>
                      <w:color w:val="auto"/>
                      <w:kern w:val="0"/>
                      <w:szCs w:val="21"/>
                      <w:highlight w:val="none"/>
                    </w:rPr>
                  </w:pPr>
                </w:p>
              </w:tc>
              <w:tc>
                <w:tcPr>
                  <w:tcW w:w="361" w:type="pct"/>
                  <w:vAlign w:val="center"/>
                </w:tcPr>
                <w:p w14:paraId="14499F8B">
                  <w:pPr>
                    <w:snapToGrid w:val="0"/>
                    <w:jc w:val="center"/>
                    <w:rPr>
                      <w:rFonts w:hint="default" w:ascii="Times New Roman" w:hAnsi="Times New Roman" w:eastAsia="宋体" w:cs="宋体"/>
                      <w:color w:val="auto"/>
                      <w:kern w:val="0"/>
                      <w:szCs w:val="21"/>
                      <w:highlight w:val="none"/>
                      <w:lang w:val="en-US" w:eastAsia="zh-CN"/>
                    </w:rPr>
                  </w:pPr>
                  <w:r>
                    <w:rPr>
                      <w:rFonts w:hint="eastAsia" w:cs="宋体"/>
                      <w:color w:val="auto"/>
                      <w:kern w:val="0"/>
                      <w:szCs w:val="21"/>
                      <w:highlight w:val="none"/>
                      <w:lang w:val="en-US" w:eastAsia="zh-CN"/>
                    </w:rPr>
                    <w:t>0.28</w:t>
                  </w:r>
                  <w:r>
                    <w:rPr>
                      <w:rFonts w:hint="eastAsia" w:ascii="Times New Roman" w:hAnsi="Times New Roman" w:eastAsia="宋体" w:cs="宋体"/>
                      <w:color w:val="auto"/>
                      <w:kern w:val="0"/>
                      <w:szCs w:val="21"/>
                      <w:highlight w:val="none"/>
                      <w:lang w:val="en-US" w:eastAsia="zh-CN"/>
                    </w:rPr>
                    <w:t>t</w:t>
                  </w:r>
                </w:p>
              </w:tc>
              <w:tc>
                <w:tcPr>
                  <w:tcW w:w="357" w:type="pct"/>
                  <w:vMerge w:val="continue"/>
                  <w:vAlign w:val="center"/>
                </w:tcPr>
                <w:p w14:paraId="53B7101F">
                  <w:pPr>
                    <w:topLinePunct/>
                    <w:snapToGrid w:val="0"/>
                    <w:jc w:val="center"/>
                    <w:rPr>
                      <w:rFonts w:ascii="Times New Roman" w:hAnsi="Times New Roman" w:eastAsia="宋体" w:cs="宋体"/>
                      <w:color w:val="auto"/>
                      <w:szCs w:val="21"/>
                      <w:highlight w:val="none"/>
                    </w:rPr>
                  </w:pPr>
                </w:p>
              </w:tc>
            </w:tr>
          </w:tbl>
          <w:p w14:paraId="4E87901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smallCaps w:val="0"/>
                <w:color w:val="auto"/>
                <w:sz w:val="24"/>
                <w:szCs w:val="24"/>
                <w:highlight w:val="none"/>
              </w:rPr>
              <w:t>本项目</w:t>
            </w:r>
            <w:r>
              <w:rPr>
                <w:rFonts w:hint="eastAsia" w:ascii="Times New Roman" w:hAnsi="Times New Roman" w:eastAsia="宋体"/>
                <w:smallCaps w:val="0"/>
                <w:color w:val="auto"/>
                <w:sz w:val="24"/>
                <w:szCs w:val="24"/>
                <w:highlight w:val="none"/>
                <w:lang w:eastAsia="zh-CN"/>
              </w:rPr>
              <w:t>危险废物</w:t>
            </w:r>
            <w:r>
              <w:rPr>
                <w:rFonts w:hint="eastAsia" w:ascii="Times New Roman" w:hAnsi="Times New Roman" w:eastAsia="宋体"/>
                <w:smallCaps w:val="0"/>
                <w:color w:val="auto"/>
                <w:sz w:val="24"/>
                <w:szCs w:val="24"/>
                <w:highlight w:val="none"/>
              </w:rPr>
              <w:t>产生量为</w:t>
            </w:r>
            <w:r>
              <w:rPr>
                <w:rFonts w:hint="eastAsia"/>
                <w:smallCaps w:val="0"/>
                <w:color w:val="auto"/>
                <w:sz w:val="24"/>
                <w:szCs w:val="24"/>
                <w:highlight w:val="none"/>
                <w:lang w:val="en-US" w:eastAsia="zh-CN"/>
              </w:rPr>
              <w:t>34.971</w:t>
            </w:r>
            <w:r>
              <w:rPr>
                <w:rFonts w:hint="eastAsia" w:ascii="Times New Roman" w:hAnsi="Times New Roman" w:eastAsia="宋体"/>
                <w:smallCaps w:val="0"/>
                <w:color w:val="auto"/>
                <w:sz w:val="24"/>
                <w:szCs w:val="24"/>
                <w:highlight w:val="none"/>
              </w:rPr>
              <w:t>t/a（其中液态废物为</w:t>
            </w:r>
            <w:r>
              <w:rPr>
                <w:rFonts w:hint="eastAsia"/>
                <w:smallCaps w:val="0"/>
                <w:color w:val="auto"/>
                <w:sz w:val="24"/>
                <w:szCs w:val="24"/>
                <w:highlight w:val="none"/>
                <w:lang w:val="en-US" w:eastAsia="zh-CN"/>
              </w:rPr>
              <w:t>22.485</w:t>
            </w:r>
            <w:r>
              <w:rPr>
                <w:rFonts w:hint="eastAsia" w:ascii="Times New Roman" w:hAnsi="Times New Roman" w:eastAsia="宋体"/>
                <w:smallCaps w:val="0"/>
                <w:color w:val="auto"/>
                <w:sz w:val="24"/>
                <w:szCs w:val="24"/>
                <w:highlight w:val="none"/>
              </w:rPr>
              <w:t>t/a，固态废物为</w:t>
            </w:r>
            <w:r>
              <w:rPr>
                <w:rFonts w:hint="eastAsia"/>
                <w:smallCaps w:val="0"/>
                <w:color w:val="auto"/>
                <w:sz w:val="24"/>
                <w:szCs w:val="24"/>
                <w:highlight w:val="none"/>
                <w:lang w:val="en-US" w:eastAsia="zh-CN"/>
              </w:rPr>
              <w:t>12.206</w:t>
            </w:r>
            <w:r>
              <w:rPr>
                <w:rFonts w:hint="eastAsia" w:ascii="Times New Roman" w:hAnsi="Times New Roman" w:eastAsia="宋体"/>
                <w:smallCaps w:val="0"/>
                <w:color w:val="auto"/>
                <w:sz w:val="24"/>
                <w:szCs w:val="24"/>
                <w:highlight w:val="none"/>
              </w:rPr>
              <w:t>t/a</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smallCaps w:val="0"/>
                <w:color w:val="auto"/>
                <w:sz w:val="24"/>
                <w:szCs w:val="24"/>
                <w:highlight w:val="none"/>
                <w:lang w:val="en-US" w:eastAsia="zh-CN"/>
              </w:rPr>
              <w:t>废包装桶为</w:t>
            </w:r>
            <w:r>
              <w:rPr>
                <w:rFonts w:hint="eastAsia"/>
                <w:smallCaps w:val="0"/>
                <w:color w:val="auto"/>
                <w:sz w:val="24"/>
                <w:szCs w:val="24"/>
                <w:highlight w:val="none"/>
                <w:lang w:val="en-US" w:eastAsia="zh-CN"/>
              </w:rPr>
              <w:t>0.28t/a</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危险废物最长堆存时间不超过</w:t>
            </w:r>
            <w:r>
              <w:rPr>
                <w:rFonts w:hint="eastAsia" w:ascii="Times New Roman" w:hAnsi="Times New Roman" w:eastAsia="宋体"/>
                <w:smallCaps w:val="0"/>
                <w:color w:val="auto"/>
                <w:sz w:val="24"/>
                <w:szCs w:val="24"/>
                <w:highlight w:val="none"/>
                <w:lang w:val="en-US" w:eastAsia="zh-CN"/>
              </w:rPr>
              <w:t>3</w:t>
            </w:r>
            <w:r>
              <w:rPr>
                <w:rFonts w:hint="eastAsia" w:ascii="Times New Roman" w:hAnsi="Times New Roman" w:eastAsia="宋体"/>
                <w:smallCaps w:val="0"/>
                <w:color w:val="auto"/>
                <w:sz w:val="24"/>
                <w:szCs w:val="24"/>
                <w:highlight w:val="none"/>
              </w:rPr>
              <w:t>个月。液态</w:t>
            </w:r>
            <w:r>
              <w:rPr>
                <w:rFonts w:hint="eastAsia" w:ascii="Times New Roman" w:hAnsi="Times New Roman" w:eastAsia="宋体"/>
                <w:smallCaps w:val="0"/>
                <w:color w:val="auto"/>
                <w:sz w:val="24"/>
                <w:szCs w:val="24"/>
                <w:highlight w:val="none"/>
                <w:lang w:val="en-US" w:eastAsia="zh-CN"/>
              </w:rPr>
              <w:t>废物</w:t>
            </w:r>
            <w:r>
              <w:rPr>
                <w:rFonts w:hint="eastAsia" w:ascii="Times New Roman" w:hAnsi="Times New Roman" w:eastAsia="宋体"/>
                <w:smallCaps w:val="0"/>
                <w:color w:val="auto"/>
                <w:sz w:val="24"/>
                <w:szCs w:val="24"/>
                <w:highlight w:val="none"/>
              </w:rPr>
              <w:t>采用</w:t>
            </w:r>
            <w:r>
              <w:rPr>
                <w:rFonts w:hint="eastAsia"/>
                <w:smallCaps w:val="0"/>
                <w:color w:val="auto"/>
                <w:sz w:val="24"/>
                <w:szCs w:val="24"/>
                <w:highlight w:val="none"/>
                <w:lang w:val="en-US" w:eastAsia="zh-CN"/>
              </w:rPr>
              <w:t>200kg</w:t>
            </w:r>
            <w:r>
              <w:rPr>
                <w:rFonts w:hint="eastAsia" w:ascii="Times New Roman" w:hAnsi="Times New Roman" w:eastAsia="宋体"/>
                <w:smallCaps w:val="0"/>
                <w:color w:val="auto"/>
                <w:sz w:val="24"/>
                <w:szCs w:val="24"/>
                <w:highlight w:val="none"/>
              </w:rPr>
              <w:t>桶装，需要</w:t>
            </w:r>
            <w:r>
              <w:rPr>
                <w:rFonts w:hint="eastAsia"/>
                <w:smallCaps w:val="0"/>
                <w:color w:val="auto"/>
                <w:sz w:val="24"/>
                <w:szCs w:val="24"/>
                <w:highlight w:val="none"/>
                <w:lang w:val="en-US" w:eastAsia="zh-CN"/>
              </w:rPr>
              <w:t>28</w:t>
            </w:r>
            <w:r>
              <w:rPr>
                <w:rFonts w:hint="eastAsia" w:ascii="Times New Roman" w:hAnsi="Times New Roman" w:eastAsia="宋体"/>
                <w:smallCaps w:val="0"/>
                <w:color w:val="auto"/>
                <w:sz w:val="24"/>
                <w:szCs w:val="24"/>
                <w:highlight w:val="none"/>
              </w:rPr>
              <w:t>只包装桶</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每只包装桶占地面积按照</w:t>
            </w:r>
            <w:r>
              <w:rPr>
                <w:rFonts w:hint="eastAsia" w:ascii="Times New Roman" w:hAnsi="Times New Roman" w:eastAsia="宋体"/>
                <w:smallCaps w:val="0"/>
                <w:color w:val="auto"/>
                <w:sz w:val="24"/>
                <w:szCs w:val="24"/>
                <w:highlight w:val="none"/>
                <w:lang w:val="en-US" w:eastAsia="zh-CN"/>
              </w:rPr>
              <w:t>0.5</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ascii="Times New Roman" w:hAnsi="Times New Roman" w:eastAsia="宋体"/>
                <w:smallCaps w:val="0"/>
                <w:color w:val="auto"/>
                <w:sz w:val="24"/>
                <w:szCs w:val="24"/>
                <w:highlight w:val="none"/>
              </w:rPr>
              <w:t>计算，</w:t>
            </w:r>
            <w:r>
              <w:rPr>
                <w:rFonts w:hint="eastAsia" w:ascii="Times New Roman" w:hAnsi="Times New Roman" w:eastAsia="宋体"/>
                <w:smallCaps w:val="0"/>
                <w:color w:val="auto"/>
                <w:sz w:val="24"/>
                <w:szCs w:val="24"/>
                <w:highlight w:val="none"/>
                <w:lang w:val="en-US" w:eastAsia="zh-CN"/>
              </w:rPr>
              <w:t>合计</w:t>
            </w:r>
            <w:r>
              <w:rPr>
                <w:rFonts w:hint="eastAsia"/>
                <w:smallCaps w:val="0"/>
                <w:color w:val="auto"/>
                <w:sz w:val="24"/>
                <w:szCs w:val="24"/>
                <w:highlight w:val="none"/>
                <w:lang w:val="en-US" w:eastAsia="zh-CN"/>
              </w:rPr>
              <w:t>14</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lang w:val="en-US" w:eastAsia="zh-CN"/>
              </w:rPr>
              <w:t>固态废物</w:t>
            </w:r>
            <w:r>
              <w:rPr>
                <w:rFonts w:hint="eastAsia" w:ascii="Times New Roman" w:hAnsi="Times New Roman" w:eastAsia="宋体"/>
                <w:smallCaps w:val="0"/>
                <w:color w:val="auto"/>
                <w:sz w:val="24"/>
                <w:szCs w:val="24"/>
                <w:highlight w:val="none"/>
              </w:rPr>
              <w:t>采用专用塑料袋，每袋可存放0.1t，需要</w:t>
            </w:r>
            <w:r>
              <w:rPr>
                <w:rFonts w:hint="eastAsia"/>
                <w:smallCaps w:val="0"/>
                <w:color w:val="auto"/>
                <w:sz w:val="24"/>
                <w:szCs w:val="24"/>
                <w:highlight w:val="none"/>
                <w:lang w:val="en-US" w:eastAsia="zh-CN"/>
              </w:rPr>
              <w:t>30</w:t>
            </w:r>
            <w:r>
              <w:rPr>
                <w:rFonts w:hint="eastAsia" w:ascii="Times New Roman" w:hAnsi="Times New Roman" w:eastAsia="宋体"/>
                <w:smallCaps w:val="0"/>
                <w:color w:val="auto"/>
                <w:sz w:val="24"/>
                <w:szCs w:val="24"/>
                <w:highlight w:val="none"/>
              </w:rPr>
              <w:t>个塑料袋，每个塑料袋占地0.</w:t>
            </w:r>
            <w:r>
              <w:rPr>
                <w:rFonts w:hint="eastAsia" w:ascii="Times New Roman" w:hAnsi="Times New Roman" w:eastAsia="宋体"/>
                <w:smallCaps w:val="0"/>
                <w:color w:val="auto"/>
                <w:sz w:val="24"/>
                <w:szCs w:val="24"/>
                <w:highlight w:val="none"/>
                <w:lang w:val="en-US" w:eastAsia="zh-CN"/>
              </w:rPr>
              <w:t>1</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ascii="Times New Roman" w:hAnsi="Times New Roman" w:eastAsia="宋体"/>
                <w:smallCaps w:val="0"/>
                <w:color w:val="auto"/>
                <w:sz w:val="24"/>
                <w:szCs w:val="24"/>
                <w:highlight w:val="none"/>
              </w:rPr>
              <w:t>计算，</w:t>
            </w:r>
            <w:r>
              <w:rPr>
                <w:rFonts w:hint="eastAsia" w:ascii="Times New Roman" w:hAnsi="Times New Roman" w:eastAsia="宋体"/>
                <w:smallCaps w:val="0"/>
                <w:color w:val="auto"/>
                <w:sz w:val="24"/>
                <w:szCs w:val="24"/>
                <w:highlight w:val="none"/>
                <w:lang w:val="en-US" w:eastAsia="zh-CN"/>
              </w:rPr>
              <w:t>合计</w:t>
            </w:r>
            <w:r>
              <w:rPr>
                <w:rFonts w:hint="eastAsia"/>
                <w:smallCaps w:val="0"/>
                <w:color w:val="auto"/>
                <w:sz w:val="24"/>
                <w:szCs w:val="24"/>
                <w:highlight w:val="none"/>
                <w:lang w:val="en-US" w:eastAsia="zh-CN"/>
              </w:rPr>
              <w:t>3.0</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lang w:val="en-US" w:eastAsia="zh-CN"/>
              </w:rPr>
              <w:t>废包装桶最大存储</w:t>
            </w:r>
            <w:r>
              <w:rPr>
                <w:rFonts w:hint="eastAsia"/>
                <w:smallCaps w:val="0"/>
                <w:color w:val="auto"/>
                <w:sz w:val="24"/>
                <w:szCs w:val="24"/>
                <w:highlight w:val="none"/>
                <w:lang w:val="en-US" w:eastAsia="zh-CN"/>
              </w:rPr>
              <w:t>43</w:t>
            </w:r>
            <w:r>
              <w:rPr>
                <w:rFonts w:hint="eastAsia" w:ascii="Times New Roman" w:hAnsi="Times New Roman" w:eastAsia="宋体"/>
                <w:smallCaps w:val="0"/>
                <w:color w:val="auto"/>
                <w:sz w:val="24"/>
                <w:szCs w:val="24"/>
                <w:highlight w:val="none"/>
                <w:lang w:val="en-US" w:eastAsia="zh-CN"/>
              </w:rPr>
              <w:t>只，</w:t>
            </w:r>
            <w:r>
              <w:rPr>
                <w:rFonts w:hint="eastAsia" w:ascii="Times New Roman" w:hAnsi="Times New Roman" w:eastAsia="宋体"/>
                <w:smallCaps w:val="0"/>
                <w:color w:val="auto"/>
                <w:sz w:val="24"/>
                <w:szCs w:val="24"/>
                <w:highlight w:val="none"/>
              </w:rPr>
              <w:t>每只包装桶占地面积按照</w:t>
            </w:r>
            <w:r>
              <w:rPr>
                <w:rFonts w:hint="eastAsia" w:ascii="Times New Roman" w:hAnsi="Times New Roman" w:eastAsia="宋体"/>
                <w:smallCaps w:val="0"/>
                <w:color w:val="auto"/>
                <w:sz w:val="24"/>
                <w:szCs w:val="24"/>
                <w:highlight w:val="none"/>
                <w:lang w:val="en-US" w:eastAsia="zh-CN"/>
              </w:rPr>
              <w:t>0.</w:t>
            </w:r>
            <w:r>
              <w:rPr>
                <w:rFonts w:hint="eastAsia"/>
                <w:smallCaps w:val="0"/>
                <w:color w:val="auto"/>
                <w:sz w:val="24"/>
                <w:szCs w:val="24"/>
                <w:highlight w:val="none"/>
                <w:lang w:val="en-US" w:eastAsia="zh-CN"/>
              </w:rPr>
              <w:t>2</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ascii="Times New Roman" w:hAnsi="Times New Roman" w:eastAsia="宋体"/>
                <w:smallCaps w:val="0"/>
                <w:color w:val="auto"/>
                <w:sz w:val="24"/>
                <w:szCs w:val="24"/>
                <w:highlight w:val="none"/>
              </w:rPr>
              <w:t>计算，</w:t>
            </w:r>
            <w:r>
              <w:rPr>
                <w:rFonts w:hint="eastAsia" w:ascii="Times New Roman" w:hAnsi="Times New Roman" w:eastAsia="宋体"/>
                <w:smallCaps w:val="0"/>
                <w:color w:val="auto"/>
                <w:sz w:val="24"/>
                <w:szCs w:val="24"/>
                <w:highlight w:val="none"/>
                <w:lang w:val="en-US" w:eastAsia="zh-CN"/>
              </w:rPr>
              <w:t>最多堆叠2层，合计</w:t>
            </w:r>
            <w:r>
              <w:rPr>
                <w:rFonts w:hint="eastAsia"/>
                <w:smallCaps w:val="0"/>
                <w:color w:val="auto"/>
                <w:sz w:val="24"/>
                <w:szCs w:val="24"/>
                <w:highlight w:val="none"/>
                <w:lang w:val="en-US" w:eastAsia="zh-CN"/>
              </w:rPr>
              <w:t>4.3</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则本项目</w:t>
            </w:r>
            <w:r>
              <w:rPr>
                <w:rFonts w:hint="eastAsia" w:ascii="Times New Roman" w:hAnsi="Times New Roman" w:eastAsia="宋体"/>
                <w:smallCaps w:val="0"/>
                <w:color w:val="auto"/>
                <w:sz w:val="24"/>
                <w:szCs w:val="24"/>
                <w:highlight w:val="none"/>
                <w:lang w:val="en-US" w:eastAsia="zh-CN"/>
              </w:rPr>
              <w:t>危险废物</w:t>
            </w:r>
            <w:r>
              <w:rPr>
                <w:rFonts w:hint="eastAsia" w:ascii="Times New Roman" w:hAnsi="Times New Roman" w:eastAsia="宋体"/>
                <w:smallCaps w:val="0"/>
                <w:color w:val="auto"/>
                <w:sz w:val="24"/>
                <w:szCs w:val="24"/>
                <w:highlight w:val="none"/>
              </w:rPr>
              <w:t>最大暂存量需要的面积为</w:t>
            </w:r>
            <w:r>
              <w:rPr>
                <w:rFonts w:hint="eastAsia"/>
                <w:smallCaps w:val="0"/>
                <w:color w:val="auto"/>
                <w:sz w:val="24"/>
                <w:szCs w:val="24"/>
                <w:highlight w:val="none"/>
                <w:lang w:val="en-US" w:eastAsia="zh-CN"/>
              </w:rPr>
              <w:t>21.3</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本项目危险废物暂存间占地面积</w:t>
            </w:r>
            <w:r>
              <w:rPr>
                <w:rFonts w:hint="eastAsia" w:ascii="Times New Roman" w:hAnsi="Times New Roman" w:eastAsia="宋体"/>
                <w:smallCaps w:val="0"/>
                <w:color w:val="auto"/>
                <w:sz w:val="24"/>
                <w:szCs w:val="24"/>
                <w:highlight w:val="none"/>
                <w:lang w:val="en-US" w:eastAsia="zh-CN"/>
              </w:rPr>
              <w:t>设计</w:t>
            </w:r>
            <w:r>
              <w:rPr>
                <w:rFonts w:hint="eastAsia" w:ascii="Times New Roman" w:hAnsi="Times New Roman" w:eastAsia="宋体"/>
                <w:smallCaps w:val="0"/>
                <w:color w:val="auto"/>
                <w:sz w:val="24"/>
                <w:szCs w:val="24"/>
                <w:highlight w:val="none"/>
              </w:rPr>
              <w:t>为</w:t>
            </w:r>
            <w:r>
              <w:rPr>
                <w:rFonts w:hint="eastAsia"/>
                <w:smallCaps w:val="0"/>
                <w:color w:val="auto"/>
                <w:sz w:val="24"/>
                <w:szCs w:val="24"/>
                <w:highlight w:val="none"/>
                <w:lang w:val="en-US" w:eastAsia="zh-CN"/>
              </w:rPr>
              <w:t>22</w:t>
            </w:r>
            <w:r>
              <w:rPr>
                <w:rFonts w:hint="eastAsia" w:ascii="Times New Roman" w:hAnsi="Times New Roman" w:eastAsia="宋体"/>
                <w:smallCaps w:val="0"/>
                <w:color w:val="auto"/>
                <w:sz w:val="24"/>
                <w:szCs w:val="24"/>
                <w:highlight w:val="none"/>
              </w:rPr>
              <w:t>m</w:t>
            </w:r>
            <w:r>
              <w:rPr>
                <w:rFonts w:hint="eastAsia" w:ascii="Times New Roman" w:hAnsi="Times New Roman" w:eastAsia="宋体"/>
                <w:smallCaps w:val="0"/>
                <w:color w:val="auto"/>
                <w:sz w:val="24"/>
                <w:szCs w:val="24"/>
                <w:highlight w:val="none"/>
                <w:vertAlign w:val="superscript"/>
              </w:rPr>
              <w:t>2</w:t>
            </w:r>
            <w:r>
              <w:rPr>
                <w:rFonts w:hint="eastAsia" w:ascii="Times New Roman" w:hAnsi="Times New Roman" w:eastAsia="宋体"/>
                <w:smallCaps w:val="0"/>
                <w:color w:val="auto"/>
                <w:sz w:val="24"/>
                <w:szCs w:val="24"/>
                <w:highlight w:val="none"/>
              </w:rPr>
              <w:t>，可以满足项目</w:t>
            </w:r>
            <w:r>
              <w:rPr>
                <w:rFonts w:hint="eastAsia" w:ascii="Times New Roman" w:hAnsi="Times New Roman" w:eastAsia="宋体"/>
                <w:smallCaps w:val="0"/>
                <w:color w:val="auto"/>
                <w:sz w:val="24"/>
                <w:szCs w:val="24"/>
                <w:highlight w:val="none"/>
                <w:lang w:eastAsia="zh-CN"/>
              </w:rPr>
              <w:t>危险废物</w:t>
            </w:r>
            <w:r>
              <w:rPr>
                <w:rFonts w:hint="eastAsia" w:ascii="Times New Roman" w:hAnsi="Times New Roman" w:eastAsia="宋体"/>
                <w:smallCaps w:val="0"/>
                <w:color w:val="auto"/>
                <w:sz w:val="24"/>
                <w:szCs w:val="24"/>
                <w:highlight w:val="none"/>
              </w:rPr>
              <w:t>暂存的需要</w:t>
            </w:r>
            <w:r>
              <w:rPr>
                <w:rFonts w:hint="eastAsia" w:ascii="Times New Roman" w:hAnsi="Times New Roman" w:eastAsia="宋体" w:cs="宋体"/>
                <w:color w:val="auto"/>
                <w:sz w:val="24"/>
                <w:highlight w:val="none"/>
              </w:rPr>
              <w:t>。</w:t>
            </w:r>
          </w:p>
          <w:p w14:paraId="274154C9">
            <w:pPr>
              <w:spacing w:line="360" w:lineRule="auto"/>
              <w:ind w:firstLine="480" w:firstLineChars="200"/>
              <w:rPr>
                <w:rFonts w:ascii="Times New Roman" w:hAnsi="Times New Roman" w:eastAsia="宋体" w:cs="宋体"/>
                <w:color w:val="auto"/>
                <w:sz w:val="24"/>
                <w:szCs w:val="32"/>
                <w:highlight w:val="none"/>
              </w:rPr>
            </w:pPr>
            <w:r>
              <w:rPr>
                <w:rFonts w:ascii="Times New Roman" w:hAnsi="Times New Roman" w:eastAsia="宋体" w:cs="宋体"/>
                <w:color w:val="auto"/>
                <w:sz w:val="24"/>
                <w:highlight w:val="none"/>
              </w:rPr>
              <w:t>综上所述，本项目产生的固废委托有资质单位进行处理，技术上合理，经济上可行，确保不造成固体废物的二次污染。</w:t>
            </w:r>
          </w:p>
          <w:p w14:paraId="0037073A">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5、地下水、</w:t>
            </w:r>
            <w:r>
              <w:rPr>
                <w:rFonts w:ascii="Times New Roman" w:hAnsi="Times New Roman" w:eastAsia="宋体" w:cs="宋体"/>
                <w:b/>
                <w:color w:val="auto"/>
                <w:sz w:val="24"/>
                <w:highlight w:val="none"/>
              </w:rPr>
              <w:t>土壤</w:t>
            </w:r>
          </w:p>
          <w:p w14:paraId="722188CC">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sz w:val="24"/>
                <w:highlight w:val="none"/>
              </w:rPr>
              <w:t>根据</w:t>
            </w:r>
            <w:r>
              <w:rPr>
                <w:rFonts w:hint="eastAsia" w:ascii="Times New Roman" w:hAnsi="Times New Roman" w:eastAsia="宋体" w:cs="宋体"/>
                <w:color w:val="auto"/>
                <w:kern w:val="0"/>
                <w:sz w:val="24"/>
                <w:highlight w:val="none"/>
              </w:rPr>
              <w:t>分区管理和控制原则，分别设计地面防渗层结构。针对可能对地下水和土壤造成影响的各环节，按照“考虑重点，辐射全面”的防腐防渗原则，设置分区防渗。</w:t>
            </w:r>
          </w:p>
          <w:p w14:paraId="7CCDE3C8">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（1）</w:t>
            </w:r>
            <w:r>
              <w:rPr>
                <w:rFonts w:ascii="Times New Roman" w:hAnsi="Times New Roman" w:eastAsia="宋体" w:cs="宋体"/>
                <w:color w:val="auto"/>
                <w:kern w:val="0"/>
                <w:sz w:val="24"/>
                <w:highlight w:val="none"/>
              </w:rPr>
              <w:t>重点防渗区：包括危险废物暂存间</w:t>
            </w:r>
            <w:r>
              <w:rPr>
                <w:rFonts w:hint="eastAsia" w:ascii="Times New Roman" w:hAnsi="Times New Roman" w:eastAsia="宋体" w:cs="宋体"/>
                <w:color w:val="auto"/>
                <w:kern w:val="0"/>
                <w:sz w:val="24"/>
                <w:highlight w:val="none"/>
              </w:rPr>
              <w:t>、</w:t>
            </w:r>
            <w:r>
              <w:rPr>
                <w:rFonts w:hint="eastAsia" w:cs="宋体"/>
                <w:color w:val="auto"/>
                <w:kern w:val="0"/>
                <w:sz w:val="24"/>
                <w:highlight w:val="none"/>
                <w:lang w:val="en-US" w:eastAsia="zh-CN"/>
              </w:rPr>
              <w:t>熔化压铸区、清洗区、油品库</w:t>
            </w:r>
            <w:r>
              <w:rPr>
                <w:rFonts w:ascii="Times New Roman" w:hAnsi="Times New Roman" w:eastAsia="宋体" w:cs="宋体"/>
                <w:color w:val="auto"/>
                <w:kern w:val="0"/>
                <w:sz w:val="24"/>
                <w:highlight w:val="none"/>
              </w:rPr>
              <w:t>。</w:t>
            </w:r>
            <w:r>
              <w:rPr>
                <w:rFonts w:hint="eastAsia" w:ascii="Times New Roman" w:hAnsi="Times New Roman" w:eastAsia="宋体" w:cs="宋体"/>
                <w:color w:val="auto"/>
                <w:sz w:val="24"/>
                <w:szCs w:val="32"/>
                <w:highlight w:val="none"/>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宋体"/>
                <w:color w:val="auto"/>
                <w:sz w:val="24"/>
                <w:szCs w:val="32"/>
                <w:highlight w:val="none"/>
                <w:vertAlign w:val="superscript"/>
              </w:rPr>
              <w:t>-7</w:t>
            </w:r>
            <w:r>
              <w:rPr>
                <w:rFonts w:hint="eastAsia" w:ascii="Times New Roman" w:hAnsi="Times New Roman" w:eastAsia="宋体" w:cs="宋体"/>
                <w:color w:val="auto"/>
                <w:sz w:val="24"/>
                <w:szCs w:val="32"/>
                <w:highlight w:val="none"/>
              </w:rPr>
              <w:t>cm/s），或至少2mm厚高密度聚乙烯膜等人工防渗材料（渗透系数不大于10</w:t>
            </w:r>
            <w:r>
              <w:rPr>
                <w:rFonts w:hint="eastAsia" w:ascii="Times New Roman" w:hAnsi="Times New Roman" w:eastAsia="宋体" w:cs="宋体"/>
                <w:color w:val="auto"/>
                <w:sz w:val="24"/>
                <w:szCs w:val="32"/>
                <w:highlight w:val="none"/>
                <w:vertAlign w:val="superscript"/>
              </w:rPr>
              <w:t>-10</w:t>
            </w:r>
            <w:r>
              <w:rPr>
                <w:rFonts w:hint="eastAsia" w:ascii="Times New Roman" w:hAnsi="Times New Roman" w:eastAsia="宋体" w:cs="宋体"/>
                <w:color w:val="auto"/>
                <w:sz w:val="24"/>
                <w:szCs w:val="32"/>
                <w:highlight w:val="none"/>
              </w:rPr>
              <w:t>cm/s），或其他防渗性能等效的材料</w:t>
            </w:r>
            <w:r>
              <w:rPr>
                <w:rFonts w:ascii="Times New Roman" w:hAnsi="Times New Roman" w:eastAsia="宋体" w:cs="宋体"/>
                <w:color w:val="auto"/>
                <w:kern w:val="0"/>
                <w:sz w:val="24"/>
                <w:highlight w:val="none"/>
              </w:rPr>
              <w:t>。</w:t>
            </w:r>
          </w:p>
          <w:p w14:paraId="14D139B6">
            <w:pPr>
              <w:spacing w:line="360" w:lineRule="auto"/>
              <w:ind w:firstLine="480"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kern w:val="0"/>
                <w:sz w:val="24"/>
                <w:highlight w:val="none"/>
              </w:rPr>
              <w:t>（2）</w:t>
            </w:r>
            <w:r>
              <w:rPr>
                <w:rFonts w:ascii="Times New Roman" w:hAnsi="Times New Roman" w:eastAsia="宋体" w:cs="宋体"/>
                <w:color w:val="auto"/>
                <w:kern w:val="0"/>
                <w:sz w:val="24"/>
                <w:highlight w:val="none"/>
              </w:rPr>
              <w:t>一般防渗区：</w:t>
            </w:r>
            <w:r>
              <w:rPr>
                <w:rFonts w:hint="eastAsia" w:ascii="Times New Roman" w:hAnsi="Times New Roman" w:eastAsia="宋体" w:cs="宋体"/>
                <w:color w:val="auto"/>
                <w:kern w:val="0"/>
                <w:sz w:val="24"/>
                <w:highlight w:val="none"/>
              </w:rPr>
              <w:t>包括</w:t>
            </w:r>
            <w:r>
              <w:rPr>
                <w:rFonts w:ascii="Times New Roman" w:hAnsi="Times New Roman" w:eastAsia="宋体" w:cs="宋体"/>
                <w:color w:val="auto"/>
                <w:kern w:val="0"/>
                <w:sz w:val="24"/>
                <w:highlight w:val="none"/>
              </w:rPr>
              <w:t>除重点防渗区外的其余部分地面，包括生产车间等，采用抗渗等级不低于P1级的抗渗混凝土（渗透系数约1×10</w:t>
            </w:r>
            <w:r>
              <w:rPr>
                <w:rFonts w:ascii="Times New Roman" w:hAnsi="Times New Roman" w:eastAsia="宋体" w:cs="宋体"/>
                <w:color w:val="auto"/>
                <w:kern w:val="0"/>
                <w:sz w:val="24"/>
                <w:highlight w:val="none"/>
                <w:vertAlign w:val="superscript"/>
              </w:rPr>
              <w:t>-7</w:t>
            </w:r>
            <w:r>
              <w:rPr>
                <w:rFonts w:ascii="Times New Roman" w:hAnsi="Times New Roman" w:eastAsia="宋体" w:cs="宋体"/>
                <w:color w:val="auto"/>
                <w:kern w:val="0"/>
                <w:sz w:val="24"/>
                <w:highlight w:val="none"/>
              </w:rPr>
              <w:t>cm/s，厚度不低于20cm）硬化地面。</w:t>
            </w:r>
          </w:p>
          <w:p w14:paraId="3D8212F1">
            <w:pPr>
              <w:spacing w:line="360" w:lineRule="auto"/>
              <w:ind w:firstLine="480" w:firstLineChars="200"/>
              <w:rPr>
                <w:rFonts w:ascii="Times New Roman" w:hAnsi="Times New Roman" w:eastAsia="宋体" w:cs="宋体"/>
                <w:color w:val="auto"/>
                <w:kern w:val="0"/>
                <w:sz w:val="24"/>
                <w:highlight w:val="none"/>
              </w:rPr>
            </w:pPr>
            <w:r>
              <w:rPr>
                <w:rFonts w:ascii="Times New Roman" w:hAnsi="Times New Roman" w:eastAsia="宋体" w:cs="宋体"/>
                <w:color w:val="auto"/>
                <w:kern w:val="0"/>
                <w:sz w:val="24"/>
                <w:highlight w:val="none"/>
              </w:rPr>
              <w:t>（</w:t>
            </w:r>
            <w:r>
              <w:rPr>
                <w:rFonts w:hint="eastAsia" w:ascii="Times New Roman" w:hAnsi="Times New Roman" w:eastAsia="宋体" w:cs="宋体"/>
                <w:color w:val="auto"/>
                <w:kern w:val="0"/>
                <w:sz w:val="24"/>
                <w:highlight w:val="none"/>
              </w:rPr>
              <w:t>3</w:t>
            </w:r>
            <w:r>
              <w:rPr>
                <w:rFonts w:ascii="Times New Roman" w:hAnsi="Times New Roman" w:eastAsia="宋体" w:cs="宋体"/>
                <w:color w:val="auto"/>
                <w:kern w:val="0"/>
                <w:sz w:val="24"/>
                <w:highlight w:val="none"/>
              </w:rPr>
              <w:t>）除重点防渗区和一般防渗区外，厂区内过道需完善简单防渗处理。</w:t>
            </w:r>
          </w:p>
          <w:p w14:paraId="18E1F132">
            <w:pPr>
              <w:spacing w:line="360" w:lineRule="auto"/>
              <w:ind w:firstLine="480" w:firstLineChars="200"/>
              <w:rPr>
                <w:rFonts w:ascii="Times New Roman" w:hAnsi="Times New Roman" w:eastAsia="宋体" w:cs="宋体"/>
                <w:color w:val="auto"/>
                <w:szCs w:val="21"/>
                <w:highlight w:val="none"/>
              </w:rPr>
            </w:pPr>
            <w:r>
              <w:rPr>
                <w:rFonts w:hint="eastAsia" w:ascii="Times New Roman" w:hAnsi="Times New Roman" w:eastAsia="宋体" w:cs="宋体"/>
                <w:color w:val="auto"/>
                <w:kern w:val="0"/>
                <w:sz w:val="24"/>
                <w:highlight w:val="none"/>
              </w:rPr>
              <w:t>对不同污染防治区采取不同等级的防渗方案，分区防渗方案和防渗措施见下表</w:t>
            </w:r>
            <w:r>
              <w:rPr>
                <w:rFonts w:hint="eastAsia" w:ascii="Times New Roman" w:hAnsi="Times New Roman" w:eastAsia="宋体" w:cs="宋体"/>
                <w:color w:val="auto"/>
                <w:sz w:val="24"/>
                <w:highlight w:val="none"/>
              </w:rPr>
              <w:t>。</w:t>
            </w:r>
          </w:p>
          <w:p w14:paraId="6E2C5276">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4.5-1  分区防渗方案</w:t>
            </w:r>
            <w:r>
              <w:rPr>
                <w:rFonts w:ascii="Times New Roman" w:hAnsi="Times New Roman" w:eastAsia="宋体" w:cs="宋体"/>
                <w:b/>
                <w:bCs/>
                <w:color w:val="auto"/>
                <w:spacing w:val="-4"/>
                <w:szCs w:val="21"/>
                <w:highlight w:val="none"/>
              </w:rPr>
              <w:t>和防渗措施表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4"/>
              <w:gridCol w:w="1184"/>
              <w:gridCol w:w="829"/>
              <w:gridCol w:w="895"/>
              <w:gridCol w:w="1132"/>
              <w:gridCol w:w="3020"/>
            </w:tblGrid>
            <w:tr w14:paraId="2FDA6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4" w:type="dxa"/>
                  <w:noWrap/>
                  <w:vAlign w:val="center"/>
                </w:tcPr>
                <w:p w14:paraId="71B66DDA">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防渗分区</w:t>
                  </w:r>
                </w:p>
              </w:tc>
              <w:tc>
                <w:tcPr>
                  <w:tcW w:w="1184" w:type="dxa"/>
                  <w:noWrap/>
                  <w:vAlign w:val="center"/>
                </w:tcPr>
                <w:p w14:paraId="7D633FE8">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厂区分区</w:t>
                  </w:r>
                </w:p>
              </w:tc>
              <w:tc>
                <w:tcPr>
                  <w:tcW w:w="829" w:type="dxa"/>
                  <w:noWrap/>
                  <w:vAlign w:val="center"/>
                </w:tcPr>
                <w:p w14:paraId="78980756">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天然包气带防污性能</w:t>
                  </w:r>
                </w:p>
              </w:tc>
              <w:tc>
                <w:tcPr>
                  <w:tcW w:w="895" w:type="dxa"/>
                  <w:noWrap/>
                  <w:vAlign w:val="center"/>
                </w:tcPr>
                <w:p w14:paraId="052FCA3E">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污染控制难易程度</w:t>
                  </w:r>
                </w:p>
              </w:tc>
              <w:tc>
                <w:tcPr>
                  <w:tcW w:w="1132" w:type="dxa"/>
                  <w:noWrap/>
                  <w:vAlign w:val="center"/>
                </w:tcPr>
                <w:p w14:paraId="67842B94">
                  <w:pPr>
                    <w:snapToGrid w:val="0"/>
                    <w:jc w:val="center"/>
                    <w:rPr>
                      <w:rFonts w:ascii="Times New Roman" w:hAnsi="Times New Roman" w:eastAsia="宋体" w:cs="宋体"/>
                      <w:b/>
                      <w:color w:val="auto"/>
                      <w:kern w:val="0"/>
                      <w:szCs w:val="21"/>
                      <w:highlight w:val="none"/>
                    </w:rPr>
                  </w:pPr>
                  <w:r>
                    <w:rPr>
                      <w:rFonts w:hint="eastAsia" w:ascii="Times New Roman" w:hAnsi="Times New Roman" w:eastAsia="宋体" w:cs="宋体"/>
                      <w:b/>
                      <w:color w:val="auto"/>
                      <w:kern w:val="0"/>
                      <w:szCs w:val="21"/>
                      <w:highlight w:val="none"/>
                    </w:rPr>
                    <w:t>污染物类型</w:t>
                  </w:r>
                </w:p>
              </w:tc>
              <w:tc>
                <w:tcPr>
                  <w:tcW w:w="3020" w:type="dxa"/>
                  <w:noWrap/>
                  <w:vAlign w:val="center"/>
                </w:tcPr>
                <w:p w14:paraId="5B0ECC48">
                  <w:pPr>
                    <w:snapToGrid w:val="0"/>
                    <w:jc w:val="center"/>
                    <w:rPr>
                      <w:rFonts w:ascii="Times New Roman" w:hAnsi="Times New Roman" w:eastAsia="宋体" w:cs="宋体"/>
                      <w:b/>
                      <w:color w:val="auto"/>
                      <w:kern w:val="0"/>
                      <w:szCs w:val="21"/>
                      <w:highlight w:val="none"/>
                    </w:rPr>
                  </w:pPr>
                  <w:r>
                    <w:rPr>
                      <w:rFonts w:ascii="Times New Roman" w:hAnsi="Times New Roman" w:eastAsia="宋体" w:cs="宋体"/>
                      <w:b/>
                      <w:color w:val="auto"/>
                      <w:kern w:val="0"/>
                      <w:szCs w:val="21"/>
                      <w:highlight w:val="none"/>
                    </w:rPr>
                    <w:t>防渗</w:t>
                  </w:r>
                  <w:r>
                    <w:rPr>
                      <w:rFonts w:hint="eastAsia" w:ascii="Times New Roman" w:hAnsi="Times New Roman" w:eastAsia="宋体" w:cs="宋体"/>
                      <w:b/>
                      <w:color w:val="auto"/>
                      <w:kern w:val="0"/>
                      <w:szCs w:val="21"/>
                      <w:highlight w:val="none"/>
                    </w:rPr>
                    <w:t>技术要求</w:t>
                  </w:r>
                </w:p>
              </w:tc>
            </w:tr>
            <w:tr w14:paraId="3B62E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4" w:type="dxa"/>
                  <w:noWrap/>
                  <w:vAlign w:val="center"/>
                </w:tcPr>
                <w:p w14:paraId="6BFE8CBF">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重点防渗区</w:t>
                  </w:r>
                </w:p>
              </w:tc>
              <w:tc>
                <w:tcPr>
                  <w:tcW w:w="1184" w:type="dxa"/>
                  <w:noWrap/>
                  <w:vAlign w:val="center"/>
                </w:tcPr>
                <w:p w14:paraId="002E56D5">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危险废物暂存间、熔化压铸区、清洗区、油品库</w:t>
                  </w:r>
                </w:p>
              </w:tc>
              <w:tc>
                <w:tcPr>
                  <w:tcW w:w="829" w:type="dxa"/>
                  <w:noWrap/>
                  <w:vAlign w:val="center"/>
                </w:tcPr>
                <w:p w14:paraId="2D8A1877">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中</w:t>
                  </w:r>
                </w:p>
              </w:tc>
              <w:tc>
                <w:tcPr>
                  <w:tcW w:w="895" w:type="dxa"/>
                  <w:noWrap/>
                  <w:vAlign w:val="center"/>
                </w:tcPr>
                <w:p w14:paraId="2C7C597A">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难</w:t>
                  </w:r>
                </w:p>
              </w:tc>
              <w:tc>
                <w:tcPr>
                  <w:tcW w:w="1132" w:type="dxa"/>
                  <w:noWrap/>
                  <w:vAlign w:val="center"/>
                </w:tcPr>
                <w:p w14:paraId="04DCF2CE">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持久性有机物污染物</w:t>
                  </w:r>
                </w:p>
              </w:tc>
              <w:tc>
                <w:tcPr>
                  <w:tcW w:w="3020" w:type="dxa"/>
                  <w:noWrap/>
                  <w:vAlign w:val="center"/>
                </w:tcPr>
                <w:p w14:paraId="151F877F">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等效黏土防渗层</w:t>
                  </w:r>
                  <w:r>
                    <w:rPr>
                      <w:rFonts w:ascii="Times New Roman" w:hAnsi="Times New Roman" w:eastAsia="宋体" w:cs="宋体"/>
                      <w:color w:val="auto"/>
                      <w:kern w:val="0"/>
                      <w:szCs w:val="21"/>
                      <w:highlight w:val="none"/>
                    </w:rPr>
                    <w:t>Mb</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6.0m</w:t>
                  </w:r>
                  <w:r>
                    <w:rPr>
                      <w:rFonts w:hint="eastAsia" w:ascii="Times New Roman" w:hAnsi="Times New Roman" w:eastAsia="宋体" w:cs="宋体"/>
                      <w:color w:val="auto"/>
                      <w:kern w:val="0"/>
                      <w:szCs w:val="21"/>
                      <w:highlight w:val="none"/>
                    </w:rPr>
                    <w:t>，渗透系数</w:t>
                  </w:r>
                  <w:r>
                    <w:rPr>
                      <w:rFonts w:ascii="Times New Roman" w:hAnsi="Times New Roman" w:eastAsia="宋体" w:cs="宋体"/>
                      <w:color w:val="auto"/>
                      <w:kern w:val="0"/>
                      <w:szCs w:val="21"/>
                      <w:highlight w:val="none"/>
                    </w:rPr>
                    <w:t>K</w:t>
                  </w:r>
                  <w:r>
                    <w:rPr>
                      <w:rFonts w:hint="eastAsia" w:ascii="Times New Roman" w:hAnsi="Times New Roman" w:eastAsia="宋体" w:cs="宋体"/>
                      <w:color w:val="auto"/>
                      <w:kern w:val="0"/>
                      <w:szCs w:val="21"/>
                      <w:highlight w:val="none"/>
                    </w:rPr>
                    <w:t>≤1×</w:t>
                  </w:r>
                  <w:r>
                    <w:rPr>
                      <w:rFonts w:ascii="Times New Roman" w:hAnsi="Times New Roman" w:eastAsia="宋体" w:cs="宋体"/>
                      <w:color w:val="auto"/>
                      <w:kern w:val="0"/>
                      <w:szCs w:val="21"/>
                      <w:highlight w:val="none"/>
                    </w:rPr>
                    <w:t>10</w:t>
                  </w:r>
                  <w:r>
                    <w:rPr>
                      <w:rFonts w:ascii="Times New Roman" w:hAnsi="Times New Roman" w:eastAsia="宋体" w:cs="宋体"/>
                      <w:color w:val="auto"/>
                      <w:kern w:val="0"/>
                      <w:szCs w:val="21"/>
                      <w:highlight w:val="none"/>
                      <w:vertAlign w:val="superscript"/>
                    </w:rPr>
                    <w:t>-7</w:t>
                  </w:r>
                  <w:r>
                    <w:rPr>
                      <w:rFonts w:ascii="Times New Roman" w:hAnsi="Times New Roman" w:eastAsia="宋体" w:cs="宋体"/>
                      <w:color w:val="auto"/>
                      <w:kern w:val="0"/>
                      <w:szCs w:val="21"/>
                      <w:highlight w:val="none"/>
                    </w:rPr>
                    <w:t>cm/s</w:t>
                  </w:r>
                  <w:r>
                    <w:rPr>
                      <w:rFonts w:hint="eastAsia" w:ascii="Times New Roman" w:hAnsi="Times New Roman" w:eastAsia="宋体" w:cs="宋体"/>
                      <w:color w:val="auto"/>
                      <w:kern w:val="0"/>
                      <w:szCs w:val="21"/>
                      <w:highlight w:val="none"/>
                    </w:rPr>
                    <w:t>，依据国家危险贮存标准要求设计、施工，采用</w:t>
                  </w:r>
                  <w:r>
                    <w:rPr>
                      <w:rFonts w:ascii="Times New Roman" w:hAnsi="Times New Roman" w:eastAsia="宋体" w:cs="宋体"/>
                      <w:color w:val="auto"/>
                      <w:kern w:val="0"/>
                      <w:szCs w:val="21"/>
                      <w:highlight w:val="none"/>
                    </w:rPr>
                    <w:t>200mm</w:t>
                  </w:r>
                  <w:r>
                    <w:rPr>
                      <w:rFonts w:hint="eastAsia" w:ascii="Times New Roman" w:hAnsi="Times New Roman" w:eastAsia="宋体" w:cs="宋体"/>
                      <w:color w:val="auto"/>
                      <w:kern w:val="0"/>
                      <w:szCs w:val="21"/>
                      <w:highlight w:val="none"/>
                    </w:rPr>
                    <w:t>厚</w:t>
                  </w:r>
                  <w:r>
                    <w:rPr>
                      <w:rFonts w:ascii="Times New Roman" w:hAnsi="Times New Roman" w:eastAsia="宋体" w:cs="宋体"/>
                      <w:color w:val="auto"/>
                      <w:kern w:val="0"/>
                      <w:szCs w:val="21"/>
                      <w:highlight w:val="none"/>
                    </w:rPr>
                    <w:t>C15</w:t>
                  </w:r>
                  <w:r>
                    <w:rPr>
                      <w:rFonts w:hint="eastAsia" w:ascii="Times New Roman" w:hAnsi="Times New Roman" w:eastAsia="宋体" w:cs="宋体"/>
                      <w:color w:val="auto"/>
                      <w:kern w:val="0"/>
                      <w:szCs w:val="21"/>
                      <w:highlight w:val="none"/>
                    </w:rPr>
                    <w:t>砼垫层随打随抹光，设置钢筋混凝土围堰，并采用底部加设土工膜进行防渗，且防雨和防晒</w:t>
                  </w:r>
                </w:p>
              </w:tc>
            </w:tr>
            <w:tr w14:paraId="1C5F8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4" w:type="dxa"/>
                  <w:noWrap/>
                  <w:vAlign w:val="center"/>
                </w:tcPr>
                <w:p w14:paraId="0846B1D0">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一般防渗区</w:t>
                  </w:r>
                </w:p>
              </w:tc>
              <w:tc>
                <w:tcPr>
                  <w:tcW w:w="1184" w:type="dxa"/>
                  <w:noWrap/>
                  <w:vAlign w:val="center"/>
                </w:tcPr>
                <w:p w14:paraId="6F62136A">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生产车间、办公用房</w:t>
                  </w:r>
                </w:p>
              </w:tc>
              <w:tc>
                <w:tcPr>
                  <w:tcW w:w="829" w:type="dxa"/>
                  <w:noWrap/>
                  <w:vAlign w:val="center"/>
                </w:tcPr>
                <w:p w14:paraId="594A7555">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中</w:t>
                  </w:r>
                </w:p>
              </w:tc>
              <w:tc>
                <w:tcPr>
                  <w:tcW w:w="895" w:type="dxa"/>
                  <w:noWrap/>
                  <w:vAlign w:val="center"/>
                </w:tcPr>
                <w:p w14:paraId="31F85E10">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易</w:t>
                  </w:r>
                </w:p>
              </w:tc>
              <w:tc>
                <w:tcPr>
                  <w:tcW w:w="1132" w:type="dxa"/>
                  <w:noWrap/>
                  <w:vAlign w:val="center"/>
                </w:tcPr>
                <w:p w14:paraId="6A9E7EFB">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持久性有机物污染物</w:t>
                  </w:r>
                </w:p>
              </w:tc>
              <w:tc>
                <w:tcPr>
                  <w:tcW w:w="3020" w:type="dxa"/>
                  <w:noWrap/>
                  <w:vAlign w:val="center"/>
                </w:tcPr>
                <w:p w14:paraId="06C92FB0">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等效黏土防渗层</w:t>
                  </w:r>
                  <w:r>
                    <w:rPr>
                      <w:rFonts w:ascii="Times New Roman" w:hAnsi="Times New Roman" w:eastAsia="宋体" w:cs="宋体"/>
                      <w:color w:val="auto"/>
                      <w:kern w:val="0"/>
                      <w:szCs w:val="21"/>
                      <w:highlight w:val="none"/>
                    </w:rPr>
                    <w:t>Mb</w:t>
                  </w:r>
                  <w:r>
                    <w:rPr>
                      <w:rFonts w:hint="eastAsia" w:ascii="Times New Roman" w:hAnsi="Times New Roman" w:eastAsia="宋体" w:cs="宋体"/>
                      <w:color w:val="auto"/>
                      <w:kern w:val="0"/>
                      <w:szCs w:val="21"/>
                      <w:highlight w:val="none"/>
                    </w:rPr>
                    <w:t>≥1.5</w:t>
                  </w:r>
                  <w:r>
                    <w:rPr>
                      <w:rFonts w:ascii="Times New Roman" w:hAnsi="Times New Roman" w:eastAsia="宋体" w:cs="宋体"/>
                      <w:color w:val="auto"/>
                      <w:kern w:val="0"/>
                      <w:szCs w:val="21"/>
                      <w:highlight w:val="none"/>
                    </w:rPr>
                    <w:t>m</w:t>
                  </w:r>
                  <w:r>
                    <w:rPr>
                      <w:rFonts w:hint="eastAsia" w:ascii="Times New Roman" w:hAnsi="Times New Roman" w:eastAsia="宋体" w:cs="宋体"/>
                      <w:color w:val="auto"/>
                      <w:kern w:val="0"/>
                      <w:szCs w:val="21"/>
                      <w:highlight w:val="none"/>
                    </w:rPr>
                    <w:t>，渗透系数</w:t>
                  </w:r>
                  <w:r>
                    <w:rPr>
                      <w:rFonts w:ascii="Times New Roman" w:hAnsi="Times New Roman" w:eastAsia="宋体" w:cs="宋体"/>
                      <w:color w:val="auto"/>
                      <w:kern w:val="0"/>
                      <w:szCs w:val="21"/>
                      <w:highlight w:val="none"/>
                    </w:rPr>
                    <w:t>K</w:t>
                  </w:r>
                  <w:r>
                    <w:rPr>
                      <w:rFonts w:hint="eastAsia" w:ascii="Times New Roman" w:hAnsi="Times New Roman" w:eastAsia="宋体" w:cs="宋体"/>
                      <w:color w:val="auto"/>
                      <w:kern w:val="0"/>
                      <w:szCs w:val="21"/>
                      <w:highlight w:val="none"/>
                    </w:rPr>
                    <w:t>≤1×</w:t>
                  </w:r>
                  <w:r>
                    <w:rPr>
                      <w:rFonts w:ascii="Times New Roman" w:hAnsi="Times New Roman" w:eastAsia="宋体" w:cs="宋体"/>
                      <w:color w:val="auto"/>
                      <w:kern w:val="0"/>
                      <w:szCs w:val="21"/>
                      <w:highlight w:val="none"/>
                    </w:rPr>
                    <w:t>10</w:t>
                  </w:r>
                  <w:r>
                    <w:rPr>
                      <w:rFonts w:ascii="Times New Roman" w:hAnsi="Times New Roman" w:eastAsia="宋体" w:cs="宋体"/>
                      <w:color w:val="auto"/>
                      <w:kern w:val="0"/>
                      <w:szCs w:val="21"/>
                      <w:highlight w:val="none"/>
                      <w:vertAlign w:val="superscript"/>
                    </w:rPr>
                    <w:t>-7</w:t>
                  </w:r>
                  <w:r>
                    <w:rPr>
                      <w:rFonts w:ascii="Times New Roman" w:hAnsi="Times New Roman" w:eastAsia="宋体" w:cs="宋体"/>
                      <w:color w:val="auto"/>
                      <w:kern w:val="0"/>
                      <w:szCs w:val="21"/>
                      <w:highlight w:val="none"/>
                    </w:rPr>
                    <w:t>cm/s</w:t>
                  </w:r>
                  <w:r>
                    <w:rPr>
                      <w:rFonts w:hint="eastAsia" w:ascii="Times New Roman" w:hAnsi="Times New Roman" w:eastAsia="宋体" w:cs="宋体"/>
                      <w:color w:val="auto"/>
                      <w:kern w:val="0"/>
                      <w:szCs w:val="21"/>
                      <w:highlight w:val="none"/>
                    </w:rPr>
                    <w:t>，</w:t>
                  </w:r>
                  <w:r>
                    <w:rPr>
                      <w:rFonts w:ascii="Times New Roman" w:hAnsi="Times New Roman" w:eastAsia="宋体" w:cs="宋体"/>
                      <w:color w:val="auto"/>
                      <w:kern w:val="0"/>
                      <w:szCs w:val="21"/>
                      <w:highlight w:val="none"/>
                    </w:rPr>
                    <w:t>环氧胶泥面层，钢筋混凝土地面</w:t>
                  </w:r>
                </w:p>
              </w:tc>
            </w:tr>
            <w:tr w14:paraId="7F6C2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4" w:type="dxa"/>
                  <w:noWrap/>
                  <w:vAlign w:val="center"/>
                </w:tcPr>
                <w:p w14:paraId="78334E6B">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简单防渗区</w:t>
                  </w:r>
                </w:p>
              </w:tc>
              <w:tc>
                <w:tcPr>
                  <w:tcW w:w="1184" w:type="dxa"/>
                  <w:noWrap/>
                  <w:vAlign w:val="center"/>
                </w:tcPr>
                <w:p w14:paraId="41AF1859">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厂区内过道</w:t>
                  </w:r>
                </w:p>
              </w:tc>
              <w:tc>
                <w:tcPr>
                  <w:tcW w:w="829" w:type="dxa"/>
                  <w:noWrap/>
                  <w:vAlign w:val="center"/>
                </w:tcPr>
                <w:p w14:paraId="55FA09F2">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中</w:t>
                  </w:r>
                </w:p>
              </w:tc>
              <w:tc>
                <w:tcPr>
                  <w:tcW w:w="895" w:type="dxa"/>
                  <w:noWrap/>
                  <w:vAlign w:val="center"/>
                </w:tcPr>
                <w:p w14:paraId="76D18B0F">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易</w:t>
                  </w:r>
                </w:p>
              </w:tc>
              <w:tc>
                <w:tcPr>
                  <w:tcW w:w="1132" w:type="dxa"/>
                  <w:noWrap/>
                  <w:vAlign w:val="center"/>
                </w:tcPr>
                <w:p w14:paraId="4ACF4FA7">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其他类型</w:t>
                  </w:r>
                </w:p>
              </w:tc>
              <w:tc>
                <w:tcPr>
                  <w:tcW w:w="3020" w:type="dxa"/>
                  <w:noWrap/>
                  <w:vAlign w:val="center"/>
                </w:tcPr>
                <w:p w14:paraId="46C2B913">
                  <w:pPr>
                    <w:snapToGrid w:val="0"/>
                    <w:jc w:val="center"/>
                    <w:rPr>
                      <w:rFonts w:ascii="Times New Roman" w:hAnsi="Times New Roman" w:eastAsia="宋体" w:cs="宋体"/>
                      <w:color w:val="auto"/>
                      <w:kern w:val="0"/>
                      <w:szCs w:val="21"/>
                      <w:highlight w:val="none"/>
                    </w:rPr>
                  </w:pPr>
                  <w:r>
                    <w:rPr>
                      <w:rFonts w:ascii="Times New Roman" w:hAnsi="Times New Roman" w:eastAsia="宋体" w:cs="宋体"/>
                      <w:color w:val="auto"/>
                      <w:kern w:val="0"/>
                      <w:szCs w:val="21"/>
                      <w:highlight w:val="none"/>
                    </w:rPr>
                    <w:t>一般地面硬化，钢筋混凝土地面</w:t>
                  </w:r>
                </w:p>
              </w:tc>
            </w:tr>
          </w:tbl>
          <w:p w14:paraId="21E21B4A">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6、生态</w:t>
            </w:r>
          </w:p>
          <w:p w14:paraId="482827A5">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kern w:val="0"/>
                <w:sz w:val="24"/>
                <w:highlight w:val="none"/>
              </w:rPr>
              <w:t>本项目用地范围内不涉及生态环境保护目标，因此无需开展生态评价</w:t>
            </w:r>
            <w:r>
              <w:rPr>
                <w:rFonts w:hint="eastAsia" w:ascii="Times New Roman" w:hAnsi="Times New Roman" w:eastAsia="宋体" w:cs="宋体"/>
                <w:color w:val="auto"/>
                <w:sz w:val="24"/>
                <w:highlight w:val="none"/>
              </w:rPr>
              <w:t>。</w:t>
            </w:r>
          </w:p>
          <w:p w14:paraId="36F2240E">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7、环境风险</w:t>
            </w:r>
          </w:p>
          <w:p w14:paraId="08A439E8">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（1）评价依据</w:t>
            </w:r>
          </w:p>
          <w:p w14:paraId="36CFB492">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对照</w:t>
            </w:r>
            <w:r>
              <w:rPr>
                <w:rFonts w:hint="eastAsia" w:ascii="Times New Roman" w:hAnsi="Times New Roman" w:eastAsia="宋体" w:cs="宋体"/>
                <w:color w:val="auto"/>
                <w:sz w:val="24"/>
                <w:highlight w:val="none"/>
              </w:rPr>
              <w:t>《建设项目环境风险评价技术导则》（HJ169-2018）附录B</w:t>
            </w:r>
            <w:r>
              <w:rPr>
                <w:rFonts w:ascii="Times New Roman" w:hAnsi="Times New Roman" w:eastAsia="宋体" w:cs="宋体"/>
                <w:color w:val="auto"/>
                <w:sz w:val="24"/>
                <w:highlight w:val="none"/>
              </w:rPr>
              <w:t>，本项目涉及的风险物质识别见下表。</w:t>
            </w:r>
          </w:p>
          <w:p w14:paraId="2347CA6B">
            <w:pPr>
              <w:tabs>
                <w:tab w:val="left" w:pos="960"/>
              </w:tabs>
              <w:spacing w:beforeLines="50"/>
              <w:jc w:val="center"/>
              <w:rPr>
                <w:rFonts w:ascii="Times New Roman" w:hAnsi="Times New Roman" w:eastAsia="宋体" w:cs="宋体"/>
                <w:b/>
                <w:bCs/>
                <w:color w:val="auto"/>
                <w:spacing w:val="-4"/>
                <w:szCs w:val="21"/>
                <w:highlight w:val="none"/>
              </w:rPr>
            </w:pPr>
          </w:p>
          <w:p w14:paraId="17299099">
            <w:pPr>
              <w:tabs>
                <w:tab w:val="left" w:pos="960"/>
              </w:tabs>
              <w:spacing w:beforeLines="50"/>
              <w:jc w:val="center"/>
              <w:rPr>
                <w:rFonts w:ascii="Times New Roman" w:hAnsi="Times New Roman" w:eastAsia="宋体" w:cs="宋体"/>
                <w:b/>
                <w:bCs/>
                <w:color w:val="auto"/>
                <w:spacing w:val="-4"/>
                <w:szCs w:val="21"/>
                <w:highlight w:val="none"/>
              </w:rPr>
            </w:pPr>
          </w:p>
          <w:p w14:paraId="7FD2E1A1">
            <w:pPr>
              <w:tabs>
                <w:tab w:val="left" w:pos="960"/>
              </w:tabs>
              <w:spacing w:beforeLines="50"/>
              <w:jc w:val="center"/>
              <w:rPr>
                <w:rFonts w:ascii="Times New Roman" w:hAnsi="Times New Roman" w:eastAsia="宋体" w:cs="宋体"/>
                <w:b/>
                <w:bCs/>
                <w:color w:val="auto"/>
                <w:spacing w:val="-4"/>
                <w:szCs w:val="21"/>
                <w:highlight w:val="none"/>
              </w:rPr>
            </w:pPr>
          </w:p>
          <w:p w14:paraId="76A9E2FA">
            <w:pPr>
              <w:tabs>
                <w:tab w:val="left" w:pos="960"/>
              </w:tabs>
              <w:spacing w:beforeLines="50"/>
              <w:jc w:val="center"/>
              <w:rPr>
                <w:rFonts w:ascii="Times New Roman" w:hAnsi="Times New Roman" w:eastAsia="宋体" w:cs="宋体"/>
                <w:b/>
                <w:bCs/>
                <w:color w:val="auto"/>
                <w:spacing w:val="-4"/>
                <w:szCs w:val="21"/>
                <w:highlight w:val="none"/>
              </w:rPr>
            </w:pPr>
          </w:p>
          <w:p w14:paraId="476A3E30">
            <w:pPr>
              <w:tabs>
                <w:tab w:val="left" w:pos="960"/>
              </w:tabs>
              <w:spacing w:beforeLines="50"/>
              <w:jc w:val="center"/>
              <w:rPr>
                <w:rFonts w:ascii="Times New Roman" w:hAnsi="Times New Roman" w:eastAsia="宋体" w:cs="宋体"/>
                <w:b/>
                <w:bCs/>
                <w:color w:val="auto"/>
                <w:spacing w:val="-4"/>
                <w:szCs w:val="21"/>
                <w:highlight w:val="none"/>
              </w:rPr>
            </w:pPr>
          </w:p>
          <w:p w14:paraId="721E7F2A">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4.7-1  全厂</w:t>
            </w:r>
            <w:r>
              <w:rPr>
                <w:rFonts w:ascii="Times New Roman" w:hAnsi="Times New Roman" w:eastAsia="宋体" w:cs="宋体"/>
                <w:b/>
                <w:bCs/>
                <w:color w:val="auto"/>
                <w:spacing w:val="-4"/>
                <w:szCs w:val="21"/>
                <w:highlight w:val="none"/>
              </w:rPr>
              <w:t>涉及的危险</w:t>
            </w:r>
            <w:r>
              <w:rPr>
                <w:rFonts w:hint="eastAsia" w:ascii="Times New Roman" w:hAnsi="Times New Roman" w:eastAsia="宋体" w:cs="宋体"/>
                <w:b/>
                <w:bCs/>
                <w:color w:val="auto"/>
                <w:spacing w:val="-4"/>
                <w:szCs w:val="21"/>
                <w:highlight w:val="none"/>
              </w:rPr>
              <w:t>物质</w:t>
            </w:r>
            <w:r>
              <w:rPr>
                <w:rFonts w:ascii="Times New Roman" w:hAnsi="Times New Roman" w:eastAsia="宋体" w:cs="宋体"/>
                <w:b/>
                <w:bCs/>
                <w:color w:val="auto"/>
                <w:spacing w:val="-4"/>
                <w:szCs w:val="21"/>
                <w:highlight w:val="none"/>
              </w:rPr>
              <w:t>最大</w:t>
            </w:r>
            <w:r>
              <w:rPr>
                <w:rFonts w:hint="eastAsia" w:ascii="Times New Roman" w:hAnsi="Times New Roman" w:eastAsia="宋体" w:cs="宋体"/>
                <w:b/>
                <w:bCs/>
                <w:color w:val="auto"/>
                <w:spacing w:val="-4"/>
                <w:szCs w:val="21"/>
                <w:highlight w:val="none"/>
              </w:rPr>
              <w:t>存在量</w:t>
            </w:r>
            <w:r>
              <w:rPr>
                <w:rFonts w:ascii="Times New Roman" w:hAnsi="Times New Roman" w:eastAsia="宋体" w:cs="宋体"/>
                <w:b/>
                <w:bCs/>
                <w:color w:val="auto"/>
                <w:spacing w:val="-4"/>
                <w:szCs w:val="21"/>
                <w:highlight w:val="none"/>
              </w:rPr>
              <w:t>及储存方式</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83"/>
              <w:gridCol w:w="1368"/>
              <w:gridCol w:w="1768"/>
              <w:gridCol w:w="2109"/>
              <w:gridCol w:w="2111"/>
            </w:tblGrid>
            <w:tr w14:paraId="696E4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42F96CC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序号</w:t>
                  </w:r>
                </w:p>
              </w:tc>
              <w:tc>
                <w:tcPr>
                  <w:tcW w:w="810" w:type="pct"/>
                  <w:vAlign w:val="center"/>
                </w:tcPr>
                <w:p w14:paraId="3A82A4EF">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危险物质名称</w:t>
                  </w:r>
                </w:p>
              </w:tc>
              <w:tc>
                <w:tcPr>
                  <w:tcW w:w="1047" w:type="pct"/>
                  <w:vAlign w:val="center"/>
                </w:tcPr>
                <w:p w14:paraId="3C32770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最大存在总量/t</w:t>
                  </w:r>
                </w:p>
              </w:tc>
              <w:tc>
                <w:tcPr>
                  <w:tcW w:w="1249" w:type="pct"/>
                  <w:vAlign w:val="center"/>
                </w:tcPr>
                <w:p w14:paraId="7510E0E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存在方式</w:t>
                  </w:r>
                </w:p>
              </w:tc>
              <w:tc>
                <w:tcPr>
                  <w:tcW w:w="1250" w:type="pct"/>
                  <w:vAlign w:val="center"/>
                </w:tcPr>
                <w:p w14:paraId="40A1037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存在位置</w:t>
                  </w:r>
                </w:p>
              </w:tc>
            </w:tr>
            <w:tr w14:paraId="3AA24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1C371D4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1</w:t>
                  </w:r>
                </w:p>
              </w:tc>
              <w:tc>
                <w:tcPr>
                  <w:tcW w:w="810" w:type="pct"/>
                  <w:vAlign w:val="center"/>
                </w:tcPr>
                <w:p w14:paraId="1FFB137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清洗剂</w:t>
                  </w:r>
                </w:p>
              </w:tc>
              <w:tc>
                <w:tcPr>
                  <w:tcW w:w="1047" w:type="pct"/>
                  <w:vAlign w:val="center"/>
                </w:tcPr>
                <w:p w14:paraId="1F91290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0.04</w:t>
                  </w:r>
                </w:p>
              </w:tc>
              <w:tc>
                <w:tcPr>
                  <w:tcW w:w="1249" w:type="pct"/>
                  <w:vAlign w:val="center"/>
                </w:tcPr>
                <w:p w14:paraId="1B5B804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2</w:t>
                  </w:r>
                  <w:r>
                    <w:rPr>
                      <w:rFonts w:hint="eastAsia" w:cs="宋体"/>
                      <w:color w:val="auto"/>
                      <w:spacing w:val="-4"/>
                      <w:szCs w:val="21"/>
                      <w:highlight w:val="none"/>
                      <w:lang w:val="en-US" w:eastAsia="zh-CN"/>
                    </w:rPr>
                    <w:t>0</w:t>
                  </w:r>
                  <w:r>
                    <w:rPr>
                      <w:rFonts w:hint="eastAsia" w:ascii="Times New Roman" w:hAnsi="Times New Roman" w:eastAsia="宋体" w:cs="宋体"/>
                      <w:color w:val="auto"/>
                      <w:spacing w:val="-4"/>
                      <w:szCs w:val="21"/>
                      <w:highlight w:val="none"/>
                    </w:rPr>
                    <w:t>kg/桶</w:t>
                  </w:r>
                </w:p>
              </w:tc>
              <w:tc>
                <w:tcPr>
                  <w:tcW w:w="1250" w:type="pct"/>
                  <w:vMerge w:val="restart"/>
                  <w:vAlign w:val="center"/>
                </w:tcPr>
                <w:p w14:paraId="5C8805D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仓库</w:t>
                  </w:r>
                </w:p>
              </w:tc>
            </w:tr>
            <w:tr w14:paraId="5CAF7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07C0143F">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2</w:t>
                  </w:r>
                </w:p>
              </w:tc>
              <w:tc>
                <w:tcPr>
                  <w:tcW w:w="810" w:type="pct"/>
                  <w:vAlign w:val="center"/>
                </w:tcPr>
                <w:p w14:paraId="3158D32E">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eastAsia="zh-CN"/>
                    </w:rPr>
                  </w:pPr>
                  <w:r>
                    <w:rPr>
                      <w:rFonts w:hint="eastAsia" w:cs="宋体"/>
                      <w:color w:val="auto"/>
                      <w:spacing w:val="-4"/>
                      <w:szCs w:val="21"/>
                      <w:highlight w:val="none"/>
                      <w:lang w:val="en-US" w:eastAsia="zh-CN"/>
                    </w:rPr>
                    <w:t>光亮</w:t>
                  </w:r>
                  <w:r>
                    <w:rPr>
                      <w:rFonts w:hint="eastAsia" w:ascii="Times New Roman" w:hAnsi="Times New Roman" w:eastAsia="宋体" w:cs="宋体"/>
                      <w:color w:val="auto"/>
                      <w:spacing w:val="-4"/>
                      <w:szCs w:val="21"/>
                      <w:highlight w:val="none"/>
                      <w:lang w:val="en-US" w:eastAsia="zh-CN"/>
                    </w:rPr>
                    <w:t>剂</w:t>
                  </w:r>
                </w:p>
              </w:tc>
              <w:tc>
                <w:tcPr>
                  <w:tcW w:w="1047" w:type="pct"/>
                  <w:vAlign w:val="center"/>
                </w:tcPr>
                <w:p w14:paraId="74151CB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0.04</w:t>
                  </w:r>
                </w:p>
              </w:tc>
              <w:tc>
                <w:tcPr>
                  <w:tcW w:w="1249" w:type="pct"/>
                  <w:vAlign w:val="center"/>
                </w:tcPr>
                <w:p w14:paraId="25E5B58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cs="宋体"/>
                      <w:color w:val="auto"/>
                      <w:spacing w:val="-4"/>
                      <w:szCs w:val="21"/>
                      <w:highlight w:val="none"/>
                      <w:lang w:val="en-US" w:eastAsia="zh-CN"/>
                    </w:rPr>
                    <w:t>20</w:t>
                  </w:r>
                  <w:r>
                    <w:rPr>
                      <w:rFonts w:hint="eastAsia" w:ascii="Times New Roman" w:hAnsi="Times New Roman" w:eastAsia="宋体" w:cs="宋体"/>
                      <w:color w:val="auto"/>
                      <w:spacing w:val="-4"/>
                      <w:szCs w:val="21"/>
                      <w:highlight w:val="none"/>
                    </w:rPr>
                    <w:t>kg/桶</w:t>
                  </w:r>
                </w:p>
              </w:tc>
              <w:tc>
                <w:tcPr>
                  <w:tcW w:w="1250" w:type="pct"/>
                  <w:vMerge w:val="continue"/>
                  <w:vAlign w:val="center"/>
                </w:tcPr>
                <w:p w14:paraId="5D33187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05493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7C919B1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3</w:t>
                  </w:r>
                </w:p>
              </w:tc>
              <w:tc>
                <w:tcPr>
                  <w:tcW w:w="810" w:type="pct"/>
                  <w:vAlign w:val="center"/>
                </w:tcPr>
                <w:p w14:paraId="01FD843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液压油</w:t>
                  </w:r>
                </w:p>
              </w:tc>
              <w:tc>
                <w:tcPr>
                  <w:tcW w:w="1047" w:type="pct"/>
                  <w:vAlign w:val="center"/>
                </w:tcPr>
                <w:p w14:paraId="52DA79A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0.4</w:t>
                  </w:r>
                </w:p>
              </w:tc>
              <w:tc>
                <w:tcPr>
                  <w:tcW w:w="1249" w:type="pct"/>
                  <w:vAlign w:val="center"/>
                </w:tcPr>
                <w:p w14:paraId="25FE75B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cs="宋体"/>
                      <w:color w:val="auto"/>
                      <w:spacing w:val="-4"/>
                      <w:szCs w:val="21"/>
                      <w:highlight w:val="none"/>
                      <w:lang w:val="en-US" w:eastAsia="zh-CN"/>
                    </w:rPr>
                  </w:pPr>
                  <w:r>
                    <w:rPr>
                      <w:rFonts w:hint="eastAsia" w:cs="宋体"/>
                      <w:color w:val="auto"/>
                      <w:spacing w:val="-4"/>
                      <w:szCs w:val="21"/>
                      <w:highlight w:val="none"/>
                      <w:lang w:val="en-US" w:eastAsia="zh-CN"/>
                    </w:rPr>
                    <w:t>200</w:t>
                  </w:r>
                  <w:r>
                    <w:rPr>
                      <w:rFonts w:hint="eastAsia" w:ascii="Times New Roman" w:hAnsi="Times New Roman" w:eastAsia="宋体" w:cs="宋体"/>
                      <w:color w:val="auto"/>
                      <w:spacing w:val="-4"/>
                      <w:szCs w:val="21"/>
                      <w:highlight w:val="none"/>
                    </w:rPr>
                    <w:t>kg/桶</w:t>
                  </w:r>
                </w:p>
              </w:tc>
              <w:tc>
                <w:tcPr>
                  <w:tcW w:w="1250" w:type="pct"/>
                  <w:vMerge w:val="continue"/>
                  <w:vAlign w:val="center"/>
                </w:tcPr>
                <w:p w14:paraId="650FE18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5098B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shd w:val="clear" w:color="auto" w:fill="auto"/>
                  <w:vAlign w:val="center"/>
                </w:tcPr>
                <w:p w14:paraId="4478705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4</w:t>
                  </w:r>
                </w:p>
              </w:tc>
              <w:tc>
                <w:tcPr>
                  <w:tcW w:w="810" w:type="pct"/>
                  <w:vAlign w:val="center"/>
                </w:tcPr>
                <w:p w14:paraId="431805D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脱模剂</w:t>
                  </w:r>
                </w:p>
              </w:tc>
              <w:tc>
                <w:tcPr>
                  <w:tcW w:w="1047" w:type="pct"/>
                  <w:vAlign w:val="center"/>
                </w:tcPr>
                <w:p w14:paraId="5FE0A8B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0.3</w:t>
                  </w:r>
                </w:p>
              </w:tc>
              <w:tc>
                <w:tcPr>
                  <w:tcW w:w="1249" w:type="pct"/>
                  <w:vAlign w:val="center"/>
                </w:tcPr>
                <w:p w14:paraId="54D50AE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cs="宋体"/>
                      <w:color w:val="auto"/>
                      <w:spacing w:val="-4"/>
                      <w:szCs w:val="21"/>
                      <w:highlight w:val="none"/>
                      <w:lang w:val="en-US" w:eastAsia="zh-CN"/>
                    </w:rPr>
                  </w:pPr>
                  <w:r>
                    <w:rPr>
                      <w:rFonts w:hint="eastAsia" w:cs="宋体"/>
                      <w:color w:val="auto"/>
                      <w:spacing w:val="-4"/>
                      <w:szCs w:val="21"/>
                      <w:highlight w:val="none"/>
                      <w:lang w:val="en-US" w:eastAsia="zh-CN"/>
                    </w:rPr>
                    <w:t>20</w:t>
                  </w:r>
                  <w:r>
                    <w:rPr>
                      <w:rFonts w:hint="eastAsia" w:ascii="Times New Roman" w:hAnsi="Times New Roman" w:eastAsia="宋体" w:cs="宋体"/>
                      <w:color w:val="auto"/>
                      <w:spacing w:val="-4"/>
                      <w:szCs w:val="21"/>
                      <w:highlight w:val="none"/>
                    </w:rPr>
                    <w:t>kg/桶</w:t>
                  </w:r>
                </w:p>
              </w:tc>
              <w:tc>
                <w:tcPr>
                  <w:tcW w:w="1250" w:type="pct"/>
                  <w:vMerge w:val="continue"/>
                  <w:vAlign w:val="center"/>
                </w:tcPr>
                <w:p w14:paraId="497C48C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38EC5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shd w:val="clear" w:color="auto" w:fill="auto"/>
                  <w:vAlign w:val="center"/>
                </w:tcPr>
                <w:p w14:paraId="0E86CFB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5</w:t>
                  </w:r>
                </w:p>
              </w:tc>
              <w:tc>
                <w:tcPr>
                  <w:tcW w:w="810" w:type="pct"/>
                  <w:vAlign w:val="center"/>
                </w:tcPr>
                <w:p w14:paraId="7D62969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bCs/>
                      <w:color w:val="auto"/>
                      <w:spacing w:val="-4"/>
                      <w:szCs w:val="21"/>
                      <w:highlight w:val="none"/>
                      <w:lang w:val="en-US" w:eastAsia="zh-CN"/>
                    </w:rPr>
                  </w:pPr>
                  <w:r>
                    <w:rPr>
                      <w:rFonts w:hint="eastAsia" w:cs="宋体"/>
                      <w:bCs/>
                      <w:color w:val="auto"/>
                      <w:spacing w:val="-4"/>
                      <w:szCs w:val="21"/>
                      <w:highlight w:val="none"/>
                      <w:lang w:val="en-US" w:eastAsia="zh-CN"/>
                    </w:rPr>
                    <w:t>导轨油</w:t>
                  </w:r>
                </w:p>
              </w:tc>
              <w:tc>
                <w:tcPr>
                  <w:tcW w:w="1047" w:type="pct"/>
                  <w:vAlign w:val="center"/>
                </w:tcPr>
                <w:p w14:paraId="38C7F66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bCs/>
                      <w:color w:val="auto"/>
                      <w:spacing w:val="-4"/>
                      <w:szCs w:val="21"/>
                      <w:highlight w:val="none"/>
                      <w:lang w:val="en-US" w:eastAsia="zh-CN"/>
                    </w:rPr>
                  </w:pPr>
                  <w:r>
                    <w:rPr>
                      <w:rFonts w:hint="eastAsia" w:cs="宋体"/>
                      <w:bCs/>
                      <w:color w:val="auto"/>
                      <w:spacing w:val="-4"/>
                      <w:szCs w:val="21"/>
                      <w:highlight w:val="none"/>
                      <w:lang w:val="en-US" w:eastAsia="zh-CN"/>
                    </w:rPr>
                    <w:t>0.4</w:t>
                  </w:r>
                </w:p>
              </w:tc>
              <w:tc>
                <w:tcPr>
                  <w:tcW w:w="1249" w:type="pct"/>
                  <w:vAlign w:val="center"/>
                </w:tcPr>
                <w:p w14:paraId="009A323F">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cs="宋体"/>
                      <w:color w:val="auto"/>
                      <w:spacing w:val="-4"/>
                      <w:szCs w:val="21"/>
                      <w:highlight w:val="none"/>
                      <w:lang w:val="en-US" w:eastAsia="zh-CN"/>
                    </w:rPr>
                    <w:t>200</w:t>
                  </w:r>
                  <w:r>
                    <w:rPr>
                      <w:rFonts w:hint="eastAsia" w:ascii="Times New Roman" w:hAnsi="Times New Roman" w:eastAsia="宋体" w:cs="宋体"/>
                      <w:color w:val="auto"/>
                      <w:spacing w:val="-4"/>
                      <w:szCs w:val="21"/>
                      <w:highlight w:val="none"/>
                    </w:rPr>
                    <w:t>kg/桶</w:t>
                  </w:r>
                </w:p>
              </w:tc>
              <w:tc>
                <w:tcPr>
                  <w:tcW w:w="1250" w:type="pct"/>
                  <w:vMerge w:val="continue"/>
                  <w:vAlign w:val="center"/>
                </w:tcPr>
                <w:p w14:paraId="6DE09DB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4C17E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shd w:val="clear" w:color="auto" w:fill="auto"/>
                  <w:vAlign w:val="center"/>
                </w:tcPr>
                <w:p w14:paraId="34FB494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6</w:t>
                  </w:r>
                </w:p>
              </w:tc>
              <w:tc>
                <w:tcPr>
                  <w:tcW w:w="810" w:type="pct"/>
                  <w:vAlign w:val="center"/>
                </w:tcPr>
                <w:p w14:paraId="39AEB82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ascii="Times New Roman" w:hAnsi="Times New Roman" w:eastAsia="宋体" w:cs="宋体"/>
                      <w:color w:val="auto"/>
                      <w:spacing w:val="-4"/>
                      <w:szCs w:val="21"/>
                      <w:highlight w:val="none"/>
                      <w:lang w:val="en-US" w:eastAsia="zh-CN"/>
                    </w:rPr>
                    <w:t>各液态危废</w:t>
                  </w:r>
                </w:p>
              </w:tc>
              <w:tc>
                <w:tcPr>
                  <w:tcW w:w="1047" w:type="pct"/>
                  <w:vAlign w:val="center"/>
                </w:tcPr>
                <w:p w14:paraId="6C84AA3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5.6</w:t>
                  </w:r>
                </w:p>
              </w:tc>
              <w:tc>
                <w:tcPr>
                  <w:tcW w:w="1249" w:type="pct"/>
                  <w:vAlign w:val="center"/>
                </w:tcPr>
                <w:p w14:paraId="5DD8D32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cs="宋体"/>
                      <w:color w:val="auto"/>
                      <w:spacing w:val="-4"/>
                      <w:szCs w:val="21"/>
                      <w:highlight w:val="none"/>
                      <w:lang w:val="en-US" w:eastAsia="zh-CN"/>
                    </w:rPr>
                    <w:t>20</w:t>
                  </w:r>
                  <w:r>
                    <w:rPr>
                      <w:rFonts w:hint="eastAsia" w:ascii="Times New Roman" w:hAnsi="Times New Roman" w:eastAsia="宋体" w:cs="宋体"/>
                      <w:color w:val="auto"/>
                      <w:spacing w:val="-4"/>
                      <w:szCs w:val="21"/>
                      <w:highlight w:val="none"/>
                    </w:rPr>
                    <w:t>0kg/桶</w:t>
                  </w:r>
                </w:p>
              </w:tc>
              <w:tc>
                <w:tcPr>
                  <w:tcW w:w="1250" w:type="pct"/>
                  <w:vMerge w:val="restart"/>
                  <w:vAlign w:val="center"/>
                </w:tcPr>
                <w:p w14:paraId="3C42A3A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危险废物暂存间</w:t>
                  </w:r>
                </w:p>
              </w:tc>
            </w:tr>
            <w:tr w14:paraId="6FE0B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shd w:val="clear" w:color="auto" w:fill="auto"/>
                  <w:vAlign w:val="center"/>
                </w:tcPr>
                <w:p w14:paraId="5438F51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7</w:t>
                  </w:r>
                </w:p>
              </w:tc>
              <w:tc>
                <w:tcPr>
                  <w:tcW w:w="810" w:type="pct"/>
                  <w:vAlign w:val="center"/>
                </w:tcPr>
                <w:p w14:paraId="39618E3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eastAsia="zh-CN"/>
                    </w:rPr>
                  </w:pPr>
                  <w:r>
                    <w:rPr>
                      <w:rFonts w:hint="eastAsia" w:cs="宋体"/>
                      <w:color w:val="auto"/>
                      <w:spacing w:val="-4"/>
                      <w:szCs w:val="21"/>
                      <w:highlight w:val="none"/>
                      <w:lang w:val="en-US" w:eastAsia="zh-CN"/>
                    </w:rPr>
                    <w:t>废矿物油</w:t>
                  </w:r>
                </w:p>
              </w:tc>
              <w:tc>
                <w:tcPr>
                  <w:tcW w:w="1047" w:type="pct"/>
                  <w:vAlign w:val="center"/>
                </w:tcPr>
                <w:p w14:paraId="4CAEE6F1">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0.67</w:t>
                  </w:r>
                </w:p>
              </w:tc>
              <w:tc>
                <w:tcPr>
                  <w:tcW w:w="1249" w:type="pct"/>
                  <w:vAlign w:val="center"/>
                </w:tcPr>
                <w:p w14:paraId="1B843EC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cs="宋体"/>
                      <w:color w:val="auto"/>
                      <w:spacing w:val="-4"/>
                      <w:szCs w:val="21"/>
                      <w:highlight w:val="none"/>
                      <w:lang w:val="en-US" w:eastAsia="zh-CN"/>
                    </w:rPr>
                    <w:t>20</w:t>
                  </w:r>
                  <w:r>
                    <w:rPr>
                      <w:rFonts w:hint="eastAsia" w:ascii="Times New Roman" w:hAnsi="Times New Roman" w:eastAsia="宋体" w:cs="宋体"/>
                      <w:color w:val="auto"/>
                      <w:spacing w:val="-4"/>
                      <w:szCs w:val="21"/>
                      <w:highlight w:val="none"/>
                    </w:rPr>
                    <w:t>0kg/桶</w:t>
                  </w:r>
                </w:p>
              </w:tc>
              <w:tc>
                <w:tcPr>
                  <w:tcW w:w="1250" w:type="pct"/>
                  <w:vMerge w:val="continue"/>
                  <w:vAlign w:val="center"/>
                </w:tcPr>
                <w:p w14:paraId="549D893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07F61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59DA4F66">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8</w:t>
                  </w:r>
                </w:p>
              </w:tc>
              <w:tc>
                <w:tcPr>
                  <w:tcW w:w="810" w:type="pct"/>
                  <w:vAlign w:val="center"/>
                </w:tcPr>
                <w:p w14:paraId="78E62DEF">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eastAsia="zh-CN"/>
                    </w:rPr>
                  </w:pPr>
                  <w:r>
                    <w:rPr>
                      <w:rFonts w:hint="eastAsia" w:ascii="Times New Roman" w:hAnsi="Times New Roman" w:eastAsia="宋体" w:cs="宋体"/>
                      <w:color w:val="auto"/>
                      <w:spacing w:val="-4"/>
                      <w:szCs w:val="21"/>
                      <w:highlight w:val="none"/>
                      <w:lang w:val="en-US" w:eastAsia="zh-CN"/>
                    </w:rPr>
                    <w:t>废活性炭</w:t>
                  </w:r>
                </w:p>
              </w:tc>
              <w:tc>
                <w:tcPr>
                  <w:tcW w:w="1047" w:type="pct"/>
                  <w:vAlign w:val="center"/>
                </w:tcPr>
                <w:p w14:paraId="46F76991">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1.4</w:t>
                  </w:r>
                </w:p>
              </w:tc>
              <w:tc>
                <w:tcPr>
                  <w:tcW w:w="1249" w:type="pct"/>
                  <w:vAlign w:val="center"/>
                </w:tcPr>
                <w:p w14:paraId="1542739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eastAsia="zh-CN"/>
                    </w:rPr>
                  </w:pPr>
                  <w:r>
                    <w:rPr>
                      <w:rFonts w:hint="eastAsia" w:cs="宋体"/>
                      <w:color w:val="auto"/>
                      <w:spacing w:val="-4"/>
                      <w:szCs w:val="21"/>
                      <w:highlight w:val="none"/>
                      <w:lang w:val="en-US" w:eastAsia="zh-CN"/>
                    </w:rPr>
                    <w:t>100</w:t>
                  </w:r>
                  <w:r>
                    <w:rPr>
                      <w:rFonts w:hint="eastAsia" w:ascii="Times New Roman" w:hAnsi="Times New Roman" w:eastAsia="宋体" w:cs="宋体"/>
                      <w:color w:val="auto"/>
                      <w:spacing w:val="-4"/>
                      <w:szCs w:val="21"/>
                      <w:highlight w:val="none"/>
                    </w:rPr>
                    <w:t>kg/</w:t>
                  </w:r>
                  <w:r>
                    <w:rPr>
                      <w:rFonts w:hint="eastAsia" w:cs="宋体"/>
                      <w:color w:val="auto"/>
                      <w:spacing w:val="-4"/>
                      <w:szCs w:val="21"/>
                      <w:highlight w:val="none"/>
                      <w:lang w:val="en-US" w:eastAsia="zh-CN"/>
                    </w:rPr>
                    <w:t>袋</w:t>
                  </w:r>
                </w:p>
              </w:tc>
              <w:tc>
                <w:tcPr>
                  <w:tcW w:w="1250" w:type="pct"/>
                  <w:vMerge w:val="continue"/>
                  <w:vAlign w:val="center"/>
                </w:tcPr>
                <w:p w14:paraId="59A411B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p>
              </w:tc>
            </w:tr>
            <w:tr w14:paraId="4C66A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42" w:type="pct"/>
                  <w:vAlign w:val="center"/>
                </w:tcPr>
                <w:p w14:paraId="62BD2F0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9</w:t>
                  </w:r>
                </w:p>
              </w:tc>
              <w:tc>
                <w:tcPr>
                  <w:tcW w:w="810" w:type="pct"/>
                  <w:vAlign w:val="center"/>
                </w:tcPr>
                <w:p w14:paraId="5CF66101">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天然气</w:t>
                  </w:r>
                </w:p>
              </w:tc>
              <w:tc>
                <w:tcPr>
                  <w:tcW w:w="1047" w:type="pct"/>
                  <w:vAlign w:val="center"/>
                </w:tcPr>
                <w:p w14:paraId="6B882DF4">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0.001</w:t>
                  </w:r>
                </w:p>
              </w:tc>
              <w:tc>
                <w:tcPr>
                  <w:tcW w:w="1249" w:type="pct"/>
                  <w:vAlign w:val="center"/>
                </w:tcPr>
                <w:p w14:paraId="17CE9C15">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cs="宋体"/>
                      <w:color w:val="auto"/>
                      <w:spacing w:val="-4"/>
                      <w:szCs w:val="21"/>
                      <w:highlight w:val="none"/>
                      <w:lang w:val="en-US" w:eastAsia="zh-CN"/>
                    </w:rPr>
                  </w:pPr>
                  <w:r>
                    <w:rPr>
                      <w:rFonts w:hint="eastAsia" w:cs="宋体"/>
                      <w:color w:val="auto"/>
                      <w:spacing w:val="-4"/>
                      <w:szCs w:val="21"/>
                      <w:highlight w:val="none"/>
                      <w:lang w:val="en-US" w:eastAsia="zh-CN"/>
                    </w:rPr>
                    <w:t>管道</w:t>
                  </w:r>
                </w:p>
              </w:tc>
              <w:tc>
                <w:tcPr>
                  <w:tcW w:w="1250" w:type="pct"/>
                  <w:vAlign w:val="center"/>
                </w:tcPr>
                <w:p w14:paraId="22233B2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厂区</w:t>
                  </w:r>
                </w:p>
              </w:tc>
            </w:tr>
          </w:tbl>
          <w:p w14:paraId="37A46577">
            <w:pPr>
              <w:spacing w:line="360" w:lineRule="auto"/>
              <w:ind w:firstLine="361" w:firstLineChars="200"/>
              <w:rPr>
                <w:rFonts w:hint="default" w:ascii="Times New Roman" w:hAnsi="Times New Roman" w:eastAsia="宋体" w:cs="宋体"/>
                <w:b/>
                <w:bCs/>
                <w:color w:val="auto"/>
                <w:sz w:val="18"/>
                <w:szCs w:val="18"/>
                <w:highlight w:val="none"/>
                <w:lang w:val="en-US" w:eastAsia="zh-CN"/>
              </w:rPr>
            </w:pPr>
            <w:r>
              <w:rPr>
                <w:rFonts w:hint="eastAsia" w:cs="宋体"/>
                <w:b/>
                <w:bCs/>
                <w:color w:val="auto"/>
                <w:sz w:val="18"/>
                <w:szCs w:val="18"/>
                <w:highlight w:val="none"/>
                <w:lang w:val="en-US" w:eastAsia="zh-CN"/>
              </w:rPr>
              <w:t>注：本项目天然气管道厂区内总长度约为200m，管道内径为0.1m，天然气密度为0.7174kg/m</w:t>
            </w:r>
            <w:r>
              <w:rPr>
                <w:rFonts w:hint="eastAsia" w:cs="宋体"/>
                <w:b/>
                <w:bCs/>
                <w:color w:val="auto"/>
                <w:sz w:val="18"/>
                <w:szCs w:val="18"/>
                <w:highlight w:val="none"/>
                <w:vertAlign w:val="superscript"/>
                <w:lang w:val="en-US" w:eastAsia="zh-CN"/>
              </w:rPr>
              <w:t>3</w:t>
            </w:r>
            <w:r>
              <w:rPr>
                <w:rFonts w:hint="eastAsia" w:cs="宋体"/>
                <w:b/>
                <w:bCs/>
                <w:color w:val="auto"/>
                <w:sz w:val="18"/>
                <w:szCs w:val="18"/>
                <w:highlight w:val="none"/>
                <w:lang w:val="en-US" w:eastAsia="zh-CN"/>
              </w:rPr>
              <w:t>，则厂区内天然气存在总量为0.001t。</w:t>
            </w:r>
          </w:p>
          <w:p w14:paraId="04CF587C">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根据《建设项目环境风险评价技术导则》（HJ169-2018）对危险物质数量与临界量比值（Q）的定义，计算所涉及的每种危险物质在厂界内的最大存在总量与其在附录B中对应临界量的比值Q。</w:t>
            </w:r>
          </w:p>
          <w:p w14:paraId="4D1466AE">
            <w:pPr>
              <w:spacing w:line="360" w:lineRule="auto"/>
              <w:jc w:val="center"/>
              <w:rPr>
                <w:rFonts w:ascii="Times New Roman" w:hAnsi="Times New Roman" w:eastAsia="宋体" w:cs="宋体"/>
                <w:color w:val="auto"/>
                <w:sz w:val="32"/>
                <w:szCs w:val="32"/>
                <w:highlight w:val="none"/>
              </w:rPr>
            </w:pPr>
            <w:r>
              <w:rPr>
                <w:rFonts w:ascii="Times New Roman" w:hAnsi="Times New Roman" w:eastAsia="宋体" w:cs="宋体"/>
                <w:color w:val="auto"/>
                <w:sz w:val="32"/>
                <w:szCs w:val="32"/>
                <w:highlight w:val="none"/>
              </w:rPr>
              <w:drawing>
                <wp:inline distT="0" distB="0" distL="0" distR="0">
                  <wp:extent cx="2059305" cy="51689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8" cstate="print"/>
                          <a:srcRect/>
                          <a:stretch>
                            <a:fillRect/>
                          </a:stretch>
                        </pic:blipFill>
                        <pic:spPr>
                          <a:xfrm>
                            <a:off x="0" y="0"/>
                            <a:ext cx="2059305" cy="516890"/>
                          </a:xfrm>
                          <a:prstGeom prst="rect">
                            <a:avLst/>
                          </a:prstGeom>
                          <a:noFill/>
                          <a:ln w="9525">
                            <a:noFill/>
                            <a:miter lim="800000"/>
                            <a:headEnd/>
                            <a:tailEnd/>
                          </a:ln>
                        </pic:spPr>
                      </pic:pic>
                    </a:graphicData>
                  </a:graphic>
                </wp:inline>
              </w:drawing>
            </w:r>
          </w:p>
          <w:p w14:paraId="7BB4ED08">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本项目厂区较小，且生产单元与储存单元距离较近，因此把整个厂区作为一个单元分析，</w:t>
            </w:r>
            <w:r>
              <w:rPr>
                <w:rFonts w:ascii="Times New Roman" w:hAnsi="Times New Roman" w:eastAsia="宋体" w:cs="宋体"/>
                <w:color w:val="auto"/>
                <w:spacing w:val="-6"/>
                <w:sz w:val="24"/>
                <w:highlight w:val="none"/>
              </w:rPr>
              <w:t>生产单元和储存单元涉及的危险物质最大</w:t>
            </w:r>
            <w:r>
              <w:rPr>
                <w:rFonts w:hint="eastAsia" w:ascii="Times New Roman" w:hAnsi="Times New Roman" w:eastAsia="宋体" w:cs="宋体"/>
                <w:color w:val="auto"/>
                <w:spacing w:val="-6"/>
                <w:sz w:val="24"/>
                <w:highlight w:val="none"/>
              </w:rPr>
              <w:t>存在总</w:t>
            </w:r>
            <w:r>
              <w:rPr>
                <w:rFonts w:ascii="Times New Roman" w:hAnsi="Times New Roman" w:eastAsia="宋体" w:cs="宋体"/>
                <w:color w:val="auto"/>
                <w:spacing w:val="-6"/>
                <w:sz w:val="24"/>
                <w:highlight w:val="none"/>
              </w:rPr>
              <w:t>量及临界量见下表。</w:t>
            </w:r>
          </w:p>
          <w:p w14:paraId="68862D91">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4.7-2  全厂</w:t>
            </w:r>
            <w:r>
              <w:rPr>
                <w:rFonts w:ascii="Times New Roman" w:hAnsi="Times New Roman" w:eastAsia="宋体" w:cs="宋体"/>
                <w:b/>
                <w:bCs/>
                <w:color w:val="auto"/>
                <w:spacing w:val="-4"/>
                <w:szCs w:val="21"/>
                <w:highlight w:val="none"/>
              </w:rPr>
              <w:t>危险物质使用量及临界量</w:t>
            </w:r>
          </w:p>
          <w:tbl>
            <w:tblPr>
              <w:tblStyle w:val="21"/>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5"/>
              <w:gridCol w:w="1393"/>
              <w:gridCol w:w="776"/>
              <w:gridCol w:w="1827"/>
              <w:gridCol w:w="2533"/>
              <w:gridCol w:w="1477"/>
            </w:tblGrid>
            <w:tr w14:paraId="6D1FB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7B7E233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序号</w:t>
                  </w:r>
                </w:p>
              </w:tc>
              <w:tc>
                <w:tcPr>
                  <w:tcW w:w="826" w:type="pct"/>
                  <w:vAlign w:val="center"/>
                </w:tcPr>
                <w:p w14:paraId="796096B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危险物质名称</w:t>
                  </w:r>
                </w:p>
              </w:tc>
              <w:tc>
                <w:tcPr>
                  <w:tcW w:w="460" w:type="pct"/>
                  <w:vAlign w:val="center"/>
                </w:tcPr>
                <w:p w14:paraId="42C4E57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CAS号</w:t>
                  </w:r>
                </w:p>
              </w:tc>
              <w:tc>
                <w:tcPr>
                  <w:tcW w:w="1083" w:type="pct"/>
                  <w:vAlign w:val="center"/>
                </w:tcPr>
                <w:p w14:paraId="70201584">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最大存在总量q</w:t>
                  </w:r>
                  <w:r>
                    <w:rPr>
                      <w:rFonts w:hint="eastAsia" w:ascii="Times New Roman" w:hAnsi="Times New Roman" w:eastAsia="宋体" w:cs="宋体"/>
                      <w:b/>
                      <w:bCs/>
                      <w:color w:val="auto"/>
                      <w:spacing w:val="-4"/>
                      <w:szCs w:val="21"/>
                      <w:highlight w:val="none"/>
                      <w:vertAlign w:val="subscript"/>
                    </w:rPr>
                    <w:t>n</w:t>
                  </w:r>
                  <w:r>
                    <w:rPr>
                      <w:rFonts w:hint="eastAsia" w:ascii="Times New Roman" w:hAnsi="Times New Roman" w:eastAsia="宋体" w:cs="宋体"/>
                      <w:b/>
                      <w:bCs/>
                      <w:color w:val="auto"/>
                      <w:spacing w:val="-4"/>
                      <w:szCs w:val="21"/>
                      <w:highlight w:val="none"/>
                    </w:rPr>
                    <w:t>/t</w:t>
                  </w:r>
                </w:p>
              </w:tc>
              <w:tc>
                <w:tcPr>
                  <w:tcW w:w="1502" w:type="pct"/>
                  <w:vAlign w:val="center"/>
                </w:tcPr>
                <w:p w14:paraId="78CCC9B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临界量Q</w:t>
                  </w:r>
                  <w:r>
                    <w:rPr>
                      <w:rFonts w:hint="eastAsia" w:ascii="Times New Roman" w:hAnsi="Times New Roman" w:eastAsia="宋体" w:cs="宋体"/>
                      <w:b/>
                      <w:bCs/>
                      <w:color w:val="auto"/>
                      <w:spacing w:val="-4"/>
                      <w:szCs w:val="21"/>
                      <w:highlight w:val="none"/>
                      <w:vertAlign w:val="subscript"/>
                    </w:rPr>
                    <w:t>n</w:t>
                  </w:r>
                  <w:r>
                    <w:rPr>
                      <w:rFonts w:hint="eastAsia" w:ascii="Times New Roman" w:hAnsi="Times New Roman" w:eastAsia="宋体" w:cs="宋体"/>
                      <w:b/>
                      <w:bCs/>
                      <w:color w:val="auto"/>
                      <w:spacing w:val="-4"/>
                      <w:szCs w:val="21"/>
                      <w:highlight w:val="none"/>
                    </w:rPr>
                    <w:t>/t</w:t>
                  </w:r>
                </w:p>
              </w:tc>
              <w:tc>
                <w:tcPr>
                  <w:tcW w:w="876" w:type="pct"/>
                  <w:vAlign w:val="center"/>
                </w:tcPr>
                <w:p w14:paraId="08E061A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
                      <w:bCs/>
                      <w:color w:val="auto"/>
                      <w:spacing w:val="-4"/>
                      <w:szCs w:val="21"/>
                      <w:highlight w:val="none"/>
                    </w:rPr>
                  </w:pPr>
                  <w:r>
                    <w:rPr>
                      <w:rFonts w:hint="eastAsia" w:ascii="Times New Roman" w:hAnsi="Times New Roman" w:eastAsia="宋体" w:cs="宋体"/>
                      <w:b/>
                      <w:bCs/>
                      <w:color w:val="auto"/>
                      <w:spacing w:val="-4"/>
                      <w:szCs w:val="21"/>
                      <w:highlight w:val="none"/>
                    </w:rPr>
                    <w:t>危险物质Q值</w:t>
                  </w:r>
                </w:p>
              </w:tc>
            </w:tr>
            <w:tr w14:paraId="48ABD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0EAD78B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1</w:t>
                  </w:r>
                </w:p>
              </w:tc>
              <w:tc>
                <w:tcPr>
                  <w:tcW w:w="826" w:type="pct"/>
                  <w:shd w:val="clear" w:color="auto" w:fill="auto"/>
                  <w:vAlign w:val="center"/>
                </w:tcPr>
                <w:p w14:paraId="3E73052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清洗剂</w:t>
                  </w:r>
                </w:p>
              </w:tc>
              <w:tc>
                <w:tcPr>
                  <w:tcW w:w="460" w:type="pct"/>
                  <w:vAlign w:val="center"/>
                </w:tcPr>
                <w:p w14:paraId="36C5BFF3">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w:t>
                  </w:r>
                </w:p>
              </w:tc>
              <w:tc>
                <w:tcPr>
                  <w:tcW w:w="1083" w:type="pct"/>
                  <w:shd w:val="clear" w:color="auto" w:fill="auto"/>
                  <w:vAlign w:val="center"/>
                </w:tcPr>
                <w:p w14:paraId="6E4351A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0.04</w:t>
                  </w:r>
                </w:p>
              </w:tc>
              <w:tc>
                <w:tcPr>
                  <w:tcW w:w="1502" w:type="pct"/>
                  <w:vAlign w:val="center"/>
                </w:tcPr>
                <w:p w14:paraId="79840F6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50</w:t>
                  </w:r>
                </w:p>
              </w:tc>
              <w:tc>
                <w:tcPr>
                  <w:tcW w:w="876" w:type="pct"/>
                  <w:vAlign w:val="center"/>
                </w:tcPr>
                <w:p w14:paraId="248FA82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0.00080</w:t>
                  </w:r>
                </w:p>
              </w:tc>
            </w:tr>
            <w:tr w14:paraId="572078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37B1C2C2">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2</w:t>
                  </w:r>
                </w:p>
              </w:tc>
              <w:tc>
                <w:tcPr>
                  <w:tcW w:w="826" w:type="pct"/>
                  <w:shd w:val="clear" w:color="auto" w:fill="auto"/>
                  <w:vAlign w:val="center"/>
                </w:tcPr>
                <w:p w14:paraId="233D5A71">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光亮</w:t>
                  </w:r>
                  <w:r>
                    <w:rPr>
                      <w:rFonts w:hint="eastAsia" w:ascii="Times New Roman" w:hAnsi="Times New Roman" w:eastAsia="宋体" w:cs="宋体"/>
                      <w:color w:val="auto"/>
                      <w:spacing w:val="-4"/>
                      <w:szCs w:val="21"/>
                      <w:highlight w:val="none"/>
                      <w:lang w:val="en-US" w:eastAsia="zh-CN"/>
                    </w:rPr>
                    <w:t>剂</w:t>
                  </w:r>
                </w:p>
              </w:tc>
              <w:tc>
                <w:tcPr>
                  <w:tcW w:w="460" w:type="pct"/>
                  <w:vAlign w:val="center"/>
                </w:tcPr>
                <w:p w14:paraId="288F7F24">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w:t>
                  </w:r>
                </w:p>
              </w:tc>
              <w:tc>
                <w:tcPr>
                  <w:tcW w:w="1083" w:type="pct"/>
                  <w:shd w:val="clear" w:color="auto" w:fill="auto"/>
                  <w:vAlign w:val="center"/>
                </w:tcPr>
                <w:p w14:paraId="372BBB2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0.04</w:t>
                  </w:r>
                </w:p>
              </w:tc>
              <w:tc>
                <w:tcPr>
                  <w:tcW w:w="1502" w:type="pct"/>
                  <w:vAlign w:val="center"/>
                </w:tcPr>
                <w:p w14:paraId="486FD3D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50</w:t>
                  </w:r>
                </w:p>
              </w:tc>
              <w:tc>
                <w:tcPr>
                  <w:tcW w:w="876" w:type="pct"/>
                  <w:vAlign w:val="center"/>
                </w:tcPr>
                <w:p w14:paraId="343CD6E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rPr>
                  </w:pPr>
                  <w:r>
                    <w:rPr>
                      <w:rFonts w:hint="eastAsia" w:cs="宋体"/>
                      <w:color w:val="auto"/>
                      <w:spacing w:val="-4"/>
                      <w:szCs w:val="21"/>
                      <w:highlight w:val="none"/>
                      <w:lang w:val="en-US" w:eastAsia="zh-CN"/>
                    </w:rPr>
                    <w:t>0.00080</w:t>
                  </w:r>
                </w:p>
              </w:tc>
            </w:tr>
            <w:tr w14:paraId="321D7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245EDDF5">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3</w:t>
                  </w:r>
                </w:p>
              </w:tc>
              <w:tc>
                <w:tcPr>
                  <w:tcW w:w="826" w:type="pct"/>
                  <w:shd w:val="clear" w:color="auto" w:fill="auto"/>
                  <w:vAlign w:val="center"/>
                </w:tcPr>
                <w:p w14:paraId="4C273A9E">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kern w:val="2"/>
                      <w:sz w:val="21"/>
                      <w:szCs w:val="21"/>
                      <w:highlight w:val="none"/>
                      <w:lang w:val="en-US" w:eastAsia="zh-CN" w:bidi="ar-SA"/>
                    </w:rPr>
                  </w:pPr>
                  <w:r>
                    <w:rPr>
                      <w:rFonts w:hint="eastAsia" w:cs="宋体"/>
                      <w:color w:val="auto"/>
                      <w:spacing w:val="-4"/>
                      <w:szCs w:val="21"/>
                      <w:highlight w:val="none"/>
                      <w:lang w:val="en-US" w:eastAsia="zh-CN"/>
                    </w:rPr>
                    <w:t>液压油</w:t>
                  </w:r>
                </w:p>
              </w:tc>
              <w:tc>
                <w:tcPr>
                  <w:tcW w:w="460" w:type="pct"/>
                  <w:vAlign w:val="center"/>
                </w:tcPr>
                <w:p w14:paraId="78668B8E">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w:t>
                  </w:r>
                </w:p>
              </w:tc>
              <w:tc>
                <w:tcPr>
                  <w:tcW w:w="1083" w:type="pct"/>
                  <w:shd w:val="clear" w:color="auto" w:fill="auto"/>
                  <w:vAlign w:val="center"/>
                </w:tcPr>
                <w:p w14:paraId="5DD60FEE">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kern w:val="2"/>
                      <w:sz w:val="21"/>
                      <w:szCs w:val="21"/>
                      <w:highlight w:val="none"/>
                      <w:lang w:val="en-US" w:eastAsia="zh-CN" w:bidi="ar-SA"/>
                    </w:rPr>
                  </w:pPr>
                  <w:r>
                    <w:rPr>
                      <w:rFonts w:hint="eastAsia" w:cs="宋体"/>
                      <w:color w:val="auto"/>
                      <w:spacing w:val="-4"/>
                      <w:szCs w:val="21"/>
                      <w:highlight w:val="none"/>
                      <w:lang w:val="en-US" w:eastAsia="zh-CN"/>
                    </w:rPr>
                    <w:t>0.4</w:t>
                  </w:r>
                </w:p>
              </w:tc>
              <w:tc>
                <w:tcPr>
                  <w:tcW w:w="1502" w:type="pct"/>
                  <w:vAlign w:val="center"/>
                </w:tcPr>
                <w:p w14:paraId="5548AD0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2500</w:t>
                  </w:r>
                </w:p>
              </w:tc>
              <w:tc>
                <w:tcPr>
                  <w:tcW w:w="876" w:type="pct"/>
                  <w:vAlign w:val="center"/>
                </w:tcPr>
                <w:p w14:paraId="29E6BF46">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0.00016</w:t>
                  </w:r>
                </w:p>
              </w:tc>
            </w:tr>
            <w:tr w14:paraId="0B9A1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40EA125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pacing w:val="-4"/>
                      <w:szCs w:val="21"/>
                      <w:highlight w:val="none"/>
                      <w:lang w:val="en-US" w:eastAsia="zh-CN"/>
                    </w:rPr>
                    <w:t>4</w:t>
                  </w:r>
                </w:p>
              </w:tc>
              <w:tc>
                <w:tcPr>
                  <w:tcW w:w="826" w:type="pct"/>
                  <w:shd w:val="clear" w:color="auto" w:fill="auto"/>
                  <w:vAlign w:val="center"/>
                </w:tcPr>
                <w:p w14:paraId="3AAFD22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szCs w:val="21"/>
                      <w:highlight w:val="none"/>
                      <w:lang w:val="en-US" w:eastAsia="zh-CN"/>
                    </w:rPr>
                  </w:pPr>
                  <w:r>
                    <w:rPr>
                      <w:rFonts w:hint="eastAsia" w:cs="宋体"/>
                      <w:color w:val="auto"/>
                      <w:spacing w:val="-4"/>
                      <w:szCs w:val="21"/>
                      <w:highlight w:val="none"/>
                      <w:lang w:val="en-US" w:eastAsia="zh-CN"/>
                    </w:rPr>
                    <w:t>脱模剂</w:t>
                  </w:r>
                </w:p>
              </w:tc>
              <w:tc>
                <w:tcPr>
                  <w:tcW w:w="460" w:type="pct"/>
                  <w:vAlign w:val="center"/>
                </w:tcPr>
                <w:p w14:paraId="3FFB8217">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w:t>
                  </w:r>
                </w:p>
              </w:tc>
              <w:tc>
                <w:tcPr>
                  <w:tcW w:w="1083" w:type="pct"/>
                  <w:shd w:val="clear" w:color="auto" w:fill="auto"/>
                  <w:vAlign w:val="center"/>
                </w:tcPr>
                <w:p w14:paraId="4F676A1E">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szCs w:val="21"/>
                      <w:highlight w:val="none"/>
                      <w:lang w:val="en-US" w:eastAsia="zh-CN"/>
                    </w:rPr>
                  </w:pPr>
                  <w:r>
                    <w:rPr>
                      <w:rFonts w:hint="eastAsia" w:cs="宋体"/>
                      <w:color w:val="auto"/>
                      <w:spacing w:val="-4"/>
                      <w:szCs w:val="21"/>
                      <w:highlight w:val="none"/>
                      <w:lang w:val="en-US" w:eastAsia="zh-CN"/>
                    </w:rPr>
                    <w:t>0.3</w:t>
                  </w:r>
                </w:p>
              </w:tc>
              <w:tc>
                <w:tcPr>
                  <w:tcW w:w="1502" w:type="pct"/>
                  <w:vAlign w:val="center"/>
                </w:tcPr>
                <w:p w14:paraId="682D22D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50</w:t>
                  </w:r>
                </w:p>
              </w:tc>
              <w:tc>
                <w:tcPr>
                  <w:tcW w:w="876" w:type="pct"/>
                  <w:vAlign w:val="center"/>
                </w:tcPr>
                <w:p w14:paraId="3FCEDB2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0.00600</w:t>
                  </w:r>
                </w:p>
              </w:tc>
            </w:tr>
            <w:tr w14:paraId="6B1D3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vAlign w:val="center"/>
                </w:tcPr>
                <w:p w14:paraId="0E90699F">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pacing w:val="-4"/>
                      <w:szCs w:val="21"/>
                      <w:highlight w:val="none"/>
                      <w:lang w:val="en-US" w:eastAsia="zh-CN"/>
                    </w:rPr>
                    <w:t>5</w:t>
                  </w:r>
                </w:p>
              </w:tc>
              <w:tc>
                <w:tcPr>
                  <w:tcW w:w="826" w:type="pct"/>
                  <w:shd w:val="clear" w:color="auto" w:fill="auto"/>
                  <w:vAlign w:val="center"/>
                </w:tcPr>
                <w:p w14:paraId="785A41D5">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szCs w:val="21"/>
                      <w:highlight w:val="none"/>
                      <w:lang w:val="en-US" w:eastAsia="zh-CN"/>
                    </w:rPr>
                  </w:pPr>
                  <w:r>
                    <w:rPr>
                      <w:rFonts w:hint="eastAsia" w:cs="宋体"/>
                      <w:bCs/>
                      <w:color w:val="auto"/>
                      <w:spacing w:val="-4"/>
                      <w:szCs w:val="21"/>
                      <w:highlight w:val="none"/>
                      <w:lang w:val="en-US" w:eastAsia="zh-CN"/>
                    </w:rPr>
                    <w:t>导轨油</w:t>
                  </w:r>
                </w:p>
              </w:tc>
              <w:tc>
                <w:tcPr>
                  <w:tcW w:w="460" w:type="pct"/>
                  <w:vAlign w:val="center"/>
                </w:tcPr>
                <w:p w14:paraId="62FB5DCE">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w:t>
                  </w:r>
                </w:p>
              </w:tc>
              <w:tc>
                <w:tcPr>
                  <w:tcW w:w="1083" w:type="pct"/>
                  <w:shd w:val="clear" w:color="auto" w:fill="auto"/>
                  <w:vAlign w:val="center"/>
                </w:tcPr>
                <w:p w14:paraId="4C931DD5">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bCs/>
                      <w:color w:val="auto"/>
                      <w:spacing w:val="-4"/>
                      <w:szCs w:val="21"/>
                      <w:highlight w:val="none"/>
                      <w:lang w:val="en-US" w:eastAsia="zh-CN"/>
                    </w:rPr>
                  </w:pPr>
                  <w:r>
                    <w:rPr>
                      <w:rFonts w:hint="eastAsia" w:cs="宋体"/>
                      <w:bCs/>
                      <w:color w:val="auto"/>
                      <w:spacing w:val="-4"/>
                      <w:szCs w:val="21"/>
                      <w:highlight w:val="none"/>
                      <w:lang w:val="en-US" w:eastAsia="zh-CN"/>
                    </w:rPr>
                    <w:t>0.4</w:t>
                  </w:r>
                </w:p>
              </w:tc>
              <w:tc>
                <w:tcPr>
                  <w:tcW w:w="1502" w:type="pct"/>
                  <w:vAlign w:val="center"/>
                </w:tcPr>
                <w:p w14:paraId="55DE2BD6">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2500</w:t>
                  </w:r>
                </w:p>
              </w:tc>
              <w:tc>
                <w:tcPr>
                  <w:tcW w:w="876" w:type="pct"/>
                  <w:vAlign w:val="center"/>
                </w:tcPr>
                <w:p w14:paraId="02D7610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szCs w:val="21"/>
                      <w:highlight w:val="none"/>
                    </w:rPr>
                  </w:pPr>
                  <w:r>
                    <w:rPr>
                      <w:rFonts w:hint="eastAsia" w:cs="宋体"/>
                      <w:color w:val="auto"/>
                      <w:spacing w:val="-4"/>
                      <w:szCs w:val="21"/>
                      <w:highlight w:val="none"/>
                      <w:lang w:val="en-US" w:eastAsia="zh-CN"/>
                    </w:rPr>
                    <w:t>0.00016</w:t>
                  </w:r>
                </w:p>
              </w:tc>
            </w:tr>
            <w:tr w14:paraId="04CDA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shd w:val="clear" w:color="auto" w:fill="auto"/>
                  <w:vAlign w:val="center"/>
                </w:tcPr>
                <w:p w14:paraId="14406A2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6</w:t>
                  </w:r>
                </w:p>
              </w:tc>
              <w:tc>
                <w:tcPr>
                  <w:tcW w:w="826" w:type="pct"/>
                  <w:shd w:val="clear" w:color="auto" w:fill="auto"/>
                  <w:vAlign w:val="center"/>
                </w:tcPr>
                <w:p w14:paraId="220DDAC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各液态危废</w:t>
                  </w:r>
                </w:p>
              </w:tc>
              <w:tc>
                <w:tcPr>
                  <w:tcW w:w="460" w:type="pct"/>
                  <w:shd w:val="clear" w:color="auto" w:fill="auto"/>
                  <w:vAlign w:val="center"/>
                </w:tcPr>
                <w:p w14:paraId="341283B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kern w:val="2"/>
                      <w:sz w:val="21"/>
                      <w:szCs w:val="21"/>
                      <w:highlight w:val="none"/>
                      <w:lang w:val="en-US" w:eastAsia="zh-CN" w:bidi="ar-SA"/>
                    </w:rPr>
                    <w:t>/</w:t>
                  </w:r>
                </w:p>
              </w:tc>
              <w:tc>
                <w:tcPr>
                  <w:tcW w:w="1083" w:type="pct"/>
                  <w:shd w:val="clear" w:color="auto" w:fill="auto"/>
                  <w:vAlign w:val="center"/>
                </w:tcPr>
                <w:p w14:paraId="7BC81BB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5.6</w:t>
                  </w:r>
                </w:p>
              </w:tc>
              <w:tc>
                <w:tcPr>
                  <w:tcW w:w="1502" w:type="pct"/>
                  <w:vAlign w:val="center"/>
                </w:tcPr>
                <w:p w14:paraId="1B671DDE">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ascii="Times New Roman" w:hAnsi="Times New Roman" w:eastAsia="宋体" w:cs="宋体"/>
                      <w:color w:val="auto"/>
                      <w:spacing w:val="-4"/>
                      <w:szCs w:val="21"/>
                      <w:highlight w:val="none"/>
                      <w:lang w:val="en-US" w:eastAsia="zh-CN"/>
                    </w:rPr>
                    <w:t>100</w:t>
                  </w:r>
                </w:p>
              </w:tc>
              <w:tc>
                <w:tcPr>
                  <w:tcW w:w="876" w:type="pct"/>
                  <w:vAlign w:val="center"/>
                </w:tcPr>
                <w:p w14:paraId="3FDB43B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0.05600</w:t>
                  </w:r>
                </w:p>
              </w:tc>
            </w:tr>
            <w:tr w14:paraId="0838D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shd w:val="clear" w:color="auto" w:fill="auto"/>
                  <w:vAlign w:val="center"/>
                </w:tcPr>
                <w:p w14:paraId="3B30813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7</w:t>
                  </w:r>
                </w:p>
              </w:tc>
              <w:tc>
                <w:tcPr>
                  <w:tcW w:w="826" w:type="pct"/>
                  <w:shd w:val="clear" w:color="auto" w:fill="auto"/>
                  <w:vAlign w:val="center"/>
                </w:tcPr>
                <w:p w14:paraId="328767F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废矿物油</w:t>
                  </w:r>
                </w:p>
              </w:tc>
              <w:tc>
                <w:tcPr>
                  <w:tcW w:w="460" w:type="pct"/>
                  <w:shd w:val="clear" w:color="auto" w:fill="auto"/>
                  <w:vAlign w:val="center"/>
                </w:tcPr>
                <w:p w14:paraId="6026150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kern w:val="2"/>
                      <w:sz w:val="21"/>
                      <w:szCs w:val="21"/>
                      <w:highlight w:val="none"/>
                      <w:lang w:val="en-US" w:eastAsia="zh-CN" w:bidi="ar-SA"/>
                    </w:rPr>
                    <w:t>/</w:t>
                  </w:r>
                </w:p>
              </w:tc>
              <w:tc>
                <w:tcPr>
                  <w:tcW w:w="1083" w:type="pct"/>
                  <w:shd w:val="clear" w:color="auto" w:fill="auto"/>
                  <w:vAlign w:val="center"/>
                </w:tcPr>
                <w:p w14:paraId="5DB264B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0.67</w:t>
                  </w:r>
                </w:p>
              </w:tc>
              <w:tc>
                <w:tcPr>
                  <w:tcW w:w="1502" w:type="pct"/>
                  <w:vAlign w:val="center"/>
                </w:tcPr>
                <w:p w14:paraId="29B4D4AB">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2500</w:t>
                  </w:r>
                </w:p>
              </w:tc>
              <w:tc>
                <w:tcPr>
                  <w:tcW w:w="876" w:type="pct"/>
                  <w:vAlign w:val="center"/>
                </w:tcPr>
                <w:p w14:paraId="0305362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0.00027</w:t>
                  </w:r>
                </w:p>
              </w:tc>
            </w:tr>
            <w:tr w14:paraId="5CB2E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shd w:val="clear" w:color="auto" w:fill="auto"/>
                  <w:vAlign w:val="center"/>
                </w:tcPr>
                <w:p w14:paraId="6A8AE5C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kern w:val="2"/>
                      <w:sz w:val="21"/>
                      <w:szCs w:val="21"/>
                      <w:highlight w:val="none"/>
                      <w:lang w:val="en-US" w:eastAsia="zh-CN" w:bidi="ar-SA"/>
                    </w:rPr>
                    <w:t>8</w:t>
                  </w:r>
                </w:p>
              </w:tc>
              <w:tc>
                <w:tcPr>
                  <w:tcW w:w="826" w:type="pct"/>
                  <w:shd w:val="clear" w:color="auto" w:fill="auto"/>
                  <w:vAlign w:val="center"/>
                </w:tcPr>
                <w:p w14:paraId="3B5298F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szCs w:val="21"/>
                      <w:highlight w:val="none"/>
                      <w:lang w:val="en-US" w:eastAsia="zh-CN"/>
                    </w:rPr>
                    <w:t>废活性炭</w:t>
                  </w:r>
                </w:p>
              </w:tc>
              <w:tc>
                <w:tcPr>
                  <w:tcW w:w="460" w:type="pct"/>
                  <w:shd w:val="clear" w:color="auto" w:fill="auto"/>
                  <w:vAlign w:val="center"/>
                </w:tcPr>
                <w:p w14:paraId="75BCA53C">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ascii="Times New Roman" w:hAnsi="Times New Roman" w:eastAsia="宋体" w:cs="宋体"/>
                      <w:color w:val="auto"/>
                      <w:spacing w:val="-4"/>
                      <w:kern w:val="2"/>
                      <w:sz w:val="21"/>
                      <w:szCs w:val="21"/>
                      <w:highlight w:val="none"/>
                      <w:lang w:val="en-US" w:eastAsia="zh-CN" w:bidi="ar-SA"/>
                    </w:rPr>
                    <w:t>/</w:t>
                  </w:r>
                </w:p>
              </w:tc>
              <w:tc>
                <w:tcPr>
                  <w:tcW w:w="1083" w:type="pct"/>
                  <w:shd w:val="clear" w:color="auto" w:fill="auto"/>
                  <w:vAlign w:val="center"/>
                </w:tcPr>
                <w:p w14:paraId="4F3251E8">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1.4</w:t>
                  </w:r>
                </w:p>
              </w:tc>
              <w:tc>
                <w:tcPr>
                  <w:tcW w:w="1502" w:type="pct"/>
                  <w:vAlign w:val="center"/>
                </w:tcPr>
                <w:p w14:paraId="0F8503F3">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100</w:t>
                  </w:r>
                </w:p>
              </w:tc>
              <w:tc>
                <w:tcPr>
                  <w:tcW w:w="876" w:type="pct"/>
                  <w:vAlign w:val="center"/>
                </w:tcPr>
                <w:p w14:paraId="19F08A42">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szCs w:val="21"/>
                      <w:highlight w:val="none"/>
                      <w:lang w:val="en-US" w:eastAsia="zh-CN"/>
                    </w:rPr>
                  </w:pPr>
                  <w:r>
                    <w:rPr>
                      <w:rFonts w:hint="eastAsia" w:cs="宋体"/>
                      <w:color w:val="auto"/>
                      <w:spacing w:val="-4"/>
                      <w:szCs w:val="21"/>
                      <w:highlight w:val="none"/>
                      <w:lang w:val="en-US" w:eastAsia="zh-CN"/>
                    </w:rPr>
                    <w:t>0.01400</w:t>
                  </w:r>
                </w:p>
              </w:tc>
            </w:tr>
            <w:tr w14:paraId="173D04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52" w:type="pct"/>
                  <w:shd w:val="clear" w:color="auto" w:fill="auto"/>
                  <w:vAlign w:val="center"/>
                </w:tcPr>
                <w:p w14:paraId="10332A8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kern w:val="2"/>
                      <w:sz w:val="21"/>
                      <w:szCs w:val="21"/>
                      <w:highlight w:val="none"/>
                      <w:lang w:val="en-US" w:eastAsia="zh-CN" w:bidi="ar-SA"/>
                    </w:rPr>
                    <w:t>9</w:t>
                  </w:r>
                </w:p>
              </w:tc>
              <w:tc>
                <w:tcPr>
                  <w:tcW w:w="826" w:type="pct"/>
                  <w:shd w:val="clear" w:color="auto" w:fill="auto"/>
                  <w:vAlign w:val="center"/>
                </w:tcPr>
                <w:p w14:paraId="344CF3BA">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天然气</w:t>
                  </w:r>
                </w:p>
              </w:tc>
              <w:tc>
                <w:tcPr>
                  <w:tcW w:w="460" w:type="pct"/>
                  <w:shd w:val="clear" w:color="auto" w:fill="auto"/>
                  <w:vAlign w:val="center"/>
                </w:tcPr>
                <w:p w14:paraId="52613E6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kern w:val="2"/>
                      <w:sz w:val="21"/>
                      <w:szCs w:val="21"/>
                      <w:highlight w:val="none"/>
                      <w:lang w:val="en-US" w:eastAsia="zh-CN" w:bidi="ar-SA"/>
                    </w:rPr>
                    <w:t>/</w:t>
                  </w:r>
                </w:p>
              </w:tc>
              <w:tc>
                <w:tcPr>
                  <w:tcW w:w="1083" w:type="pct"/>
                  <w:shd w:val="clear" w:color="auto" w:fill="auto"/>
                  <w:vAlign w:val="center"/>
                </w:tcPr>
                <w:p w14:paraId="3E3908B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0.001</w:t>
                  </w:r>
                </w:p>
              </w:tc>
              <w:tc>
                <w:tcPr>
                  <w:tcW w:w="1502" w:type="pct"/>
                  <w:shd w:val="clear" w:color="auto" w:fill="auto"/>
                  <w:vAlign w:val="center"/>
                </w:tcPr>
                <w:p w14:paraId="1FECBB2D">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10</w:t>
                  </w:r>
                </w:p>
              </w:tc>
              <w:tc>
                <w:tcPr>
                  <w:tcW w:w="876" w:type="pct"/>
                  <w:shd w:val="clear" w:color="auto" w:fill="auto"/>
                  <w:vAlign w:val="center"/>
                </w:tcPr>
                <w:p w14:paraId="1057A4D9">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color w:val="auto"/>
                      <w:spacing w:val="-4"/>
                      <w:kern w:val="2"/>
                      <w:sz w:val="21"/>
                      <w:szCs w:val="21"/>
                      <w:highlight w:val="none"/>
                      <w:lang w:val="en-US" w:eastAsia="zh-CN" w:bidi="ar-SA"/>
                    </w:rPr>
                  </w:pPr>
                  <w:r>
                    <w:rPr>
                      <w:rFonts w:hint="eastAsia" w:cs="宋体"/>
                      <w:color w:val="auto"/>
                      <w:spacing w:val="-4"/>
                      <w:szCs w:val="21"/>
                      <w:highlight w:val="none"/>
                      <w:lang w:val="en-US" w:eastAsia="zh-CN"/>
                    </w:rPr>
                    <w:t>0.00010</w:t>
                  </w:r>
                </w:p>
              </w:tc>
            </w:tr>
            <w:tr w14:paraId="1BA08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123" w:type="pct"/>
                  <w:gridSpan w:val="5"/>
                  <w:vAlign w:val="center"/>
                </w:tcPr>
                <w:p w14:paraId="2FE7E140">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ascii="Times New Roman" w:hAnsi="Times New Roman" w:eastAsia="宋体" w:cs="宋体"/>
                      <w:bCs/>
                      <w:color w:val="auto"/>
                      <w:spacing w:val="-4"/>
                      <w:szCs w:val="21"/>
                      <w:highlight w:val="none"/>
                    </w:rPr>
                  </w:pPr>
                  <w:r>
                    <w:rPr>
                      <w:rFonts w:hint="eastAsia" w:ascii="Times New Roman" w:hAnsi="Times New Roman" w:eastAsia="宋体" w:cs="宋体"/>
                      <w:bCs/>
                      <w:color w:val="auto"/>
                      <w:spacing w:val="-4"/>
                      <w:szCs w:val="21"/>
                      <w:highlight w:val="none"/>
                    </w:rPr>
                    <w:t>项目Q值Σ</w:t>
                  </w:r>
                </w:p>
              </w:tc>
              <w:tc>
                <w:tcPr>
                  <w:tcW w:w="876" w:type="pct"/>
                  <w:vAlign w:val="center"/>
                </w:tcPr>
                <w:p w14:paraId="2C39F8C7">
                  <w:pPr>
                    <w:keepNext w:val="0"/>
                    <w:keepLines w:val="0"/>
                    <w:pageBreakBefore w:val="0"/>
                    <w:widowControl w:val="0"/>
                    <w:tabs>
                      <w:tab w:val="left" w:pos="960"/>
                    </w:tabs>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宋体"/>
                      <w:bCs/>
                      <w:color w:val="auto"/>
                      <w:spacing w:val="-4"/>
                      <w:szCs w:val="21"/>
                      <w:highlight w:val="none"/>
                      <w:lang w:val="en-US" w:eastAsia="zh-CN"/>
                    </w:rPr>
                  </w:pPr>
                  <w:r>
                    <w:rPr>
                      <w:rFonts w:hint="eastAsia" w:cs="宋体"/>
                      <w:bCs/>
                      <w:color w:val="auto"/>
                      <w:spacing w:val="-4"/>
                      <w:szCs w:val="21"/>
                      <w:highlight w:val="none"/>
                      <w:lang w:val="en-US" w:eastAsia="zh-CN"/>
                    </w:rPr>
                    <w:t>0.39932</w:t>
                  </w:r>
                </w:p>
              </w:tc>
            </w:tr>
          </w:tbl>
          <w:p w14:paraId="51DDBD99">
            <w:pPr>
              <w:spacing w:line="360" w:lineRule="auto"/>
              <w:ind w:firstLine="480" w:firstLineChars="200"/>
              <w:rPr>
                <w:rFonts w:ascii="Times New Roman" w:hAnsi="Times New Roman" w:eastAsia="宋体" w:cs="宋体"/>
                <w:color w:val="auto"/>
                <w:sz w:val="24"/>
                <w:highlight w:val="none"/>
              </w:rPr>
            </w:pPr>
            <w:r>
              <w:rPr>
                <w:rFonts w:hint="eastAsia" w:cs="宋体"/>
                <w:color w:val="auto"/>
                <w:sz w:val="24"/>
                <w:highlight w:val="none"/>
                <w:lang w:val="en-US" w:eastAsia="zh-CN"/>
              </w:rPr>
              <w:t>经计算，</w:t>
            </w:r>
            <w:r>
              <w:rPr>
                <w:rFonts w:ascii="Times New Roman" w:hAnsi="Times New Roman" w:eastAsia="宋体" w:cs="宋体"/>
                <w:color w:val="auto"/>
                <w:sz w:val="24"/>
                <w:highlight w:val="none"/>
              </w:rPr>
              <w:t>Q＜1，判定本项目环境风险潜势为</w:t>
            </w:r>
            <w:r>
              <w:rPr>
                <w:rFonts w:hint="eastAsia" w:ascii="Times New Roman" w:hAnsi="Times New Roman" w:eastAsia="宋体" w:cs="宋体"/>
                <w:color w:val="auto"/>
                <w:sz w:val="24"/>
                <w:highlight w:val="none"/>
              </w:rPr>
              <w:t>Ⅰ</w:t>
            </w:r>
            <w:r>
              <w:rPr>
                <w:rFonts w:ascii="Times New Roman" w:hAnsi="Times New Roman" w:eastAsia="宋体" w:cs="宋体"/>
                <w:color w:val="auto"/>
                <w:sz w:val="24"/>
                <w:highlight w:val="none"/>
              </w:rPr>
              <w:t>，根据评价等级划分依据，本项目评价工作等级为简单分析。</w:t>
            </w:r>
          </w:p>
          <w:p w14:paraId="1C77826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（2）环境敏感目标概况</w:t>
            </w:r>
          </w:p>
          <w:p w14:paraId="250E5681">
            <w:pPr>
              <w:spacing w:line="360" w:lineRule="auto"/>
              <w:ind w:firstLine="464" w:firstLineChars="200"/>
              <w:rPr>
                <w:rFonts w:ascii="Times New Roman" w:hAnsi="Times New Roman" w:eastAsia="宋体" w:cs="宋体"/>
                <w:color w:val="auto"/>
                <w:kern w:val="0"/>
                <w:sz w:val="24"/>
                <w:highlight w:val="none"/>
              </w:rPr>
            </w:pPr>
            <w:r>
              <w:rPr>
                <w:rFonts w:hint="eastAsia" w:ascii="Times New Roman" w:hAnsi="Times New Roman" w:eastAsia="宋体" w:cs="宋体"/>
                <w:color w:val="auto"/>
                <w:spacing w:val="-4"/>
                <w:sz w:val="24"/>
                <w:highlight w:val="none"/>
              </w:rPr>
              <w:t>厂界外500米范围内环境保护目标见表3.2-1</w:t>
            </w:r>
            <w:r>
              <w:rPr>
                <w:rFonts w:hint="eastAsia" w:ascii="Times New Roman" w:hAnsi="Times New Roman" w:eastAsia="宋体" w:cs="宋体"/>
                <w:color w:val="auto"/>
                <w:kern w:val="0"/>
                <w:sz w:val="24"/>
                <w:highlight w:val="none"/>
              </w:rPr>
              <w:t>。</w:t>
            </w:r>
          </w:p>
          <w:p w14:paraId="16D65725">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（3）环境风险识别</w:t>
            </w:r>
          </w:p>
          <w:p w14:paraId="5C6FCF8F">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①物质危险性识别</w:t>
            </w:r>
          </w:p>
          <w:p w14:paraId="1465A5B5">
            <w:pPr>
              <w:spacing w:line="360" w:lineRule="auto"/>
              <w:ind w:firstLine="480" w:firstLineChars="200"/>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rPr>
              <w:t>本项目颗粒物产生工段主要为</w:t>
            </w:r>
            <w:r>
              <w:rPr>
                <w:rFonts w:hint="eastAsia" w:cs="宋体"/>
                <w:color w:val="auto"/>
                <w:sz w:val="24"/>
                <w:highlight w:val="none"/>
                <w:lang w:val="en-US" w:eastAsia="zh-CN"/>
              </w:rPr>
              <w:t>熔化、压铸、打磨、抛丸</w:t>
            </w:r>
            <w:r>
              <w:rPr>
                <w:rFonts w:hint="eastAsia" w:ascii="Times New Roman" w:hAnsi="Times New Roman" w:eastAsia="宋体" w:cs="宋体"/>
                <w:color w:val="auto"/>
                <w:sz w:val="24"/>
                <w:szCs w:val="32"/>
                <w:highlight w:val="none"/>
              </w:rPr>
              <w:t>，</w:t>
            </w:r>
            <w:r>
              <w:rPr>
                <w:rFonts w:ascii="Times New Roman" w:hAnsi="Times New Roman" w:eastAsia="宋体" w:cs="宋体"/>
                <w:color w:val="auto"/>
                <w:sz w:val="24"/>
                <w:highlight w:val="none"/>
              </w:rPr>
              <w:t>对照《工贸行业重点可燃性粉尘目录》（2015版）</w:t>
            </w:r>
            <w:r>
              <w:rPr>
                <w:rFonts w:hint="eastAsia" w:ascii="Times New Roman" w:hAnsi="Times New Roman" w:eastAsia="宋体" w:cs="宋体"/>
                <w:color w:val="auto"/>
                <w:sz w:val="24"/>
                <w:highlight w:val="none"/>
              </w:rPr>
              <w:t>，</w:t>
            </w:r>
            <w:r>
              <w:rPr>
                <w:rFonts w:hint="eastAsia" w:cs="宋体"/>
                <w:color w:val="auto"/>
                <w:sz w:val="24"/>
                <w:highlight w:val="none"/>
                <w:lang w:val="en-US" w:eastAsia="zh-CN"/>
              </w:rPr>
              <w:t>熔化、压铸、打磨、抛丸</w:t>
            </w:r>
            <w:r>
              <w:rPr>
                <w:rFonts w:hint="eastAsia" w:ascii="Times New Roman" w:hAnsi="Times New Roman" w:eastAsia="宋体" w:cs="宋体"/>
                <w:color w:val="auto"/>
                <w:sz w:val="24"/>
                <w:highlight w:val="none"/>
              </w:rPr>
              <w:t>工序产生的</w:t>
            </w:r>
            <w:r>
              <w:rPr>
                <w:rFonts w:hint="eastAsia" w:cs="宋体"/>
                <w:color w:val="auto"/>
                <w:sz w:val="24"/>
                <w:highlight w:val="none"/>
                <w:lang w:val="en-US" w:eastAsia="zh-CN"/>
              </w:rPr>
              <w:t>铝粉尘</w:t>
            </w:r>
            <w:r>
              <w:rPr>
                <w:rFonts w:hint="eastAsia" w:ascii="Times New Roman" w:hAnsi="Times New Roman" w:eastAsia="宋体" w:cs="宋体"/>
                <w:color w:val="auto"/>
                <w:sz w:val="24"/>
                <w:highlight w:val="none"/>
              </w:rPr>
              <w:t>属于</w:t>
            </w:r>
            <w:r>
              <w:rPr>
                <w:rFonts w:ascii="Times New Roman" w:hAnsi="Times New Roman" w:eastAsia="宋体" w:cs="宋体"/>
                <w:color w:val="auto"/>
                <w:sz w:val="24"/>
                <w:highlight w:val="none"/>
              </w:rPr>
              <w:t>可燃性粉尘。</w:t>
            </w:r>
            <w:r>
              <w:rPr>
                <w:rFonts w:hint="eastAsia" w:cs="宋体"/>
                <w:color w:val="auto"/>
                <w:sz w:val="24"/>
                <w:highlight w:val="none"/>
                <w:lang w:val="en-US" w:eastAsia="zh-CN"/>
              </w:rPr>
              <w:t>熔化、压铸</w:t>
            </w:r>
            <w:r>
              <w:rPr>
                <w:rFonts w:hint="eastAsia" w:ascii="Times New Roman" w:hAnsi="Times New Roman" w:eastAsia="宋体" w:cs="宋体"/>
                <w:color w:val="auto"/>
                <w:sz w:val="24"/>
                <w:highlight w:val="none"/>
                <w:lang w:val="en-US" w:eastAsia="zh-CN"/>
              </w:rPr>
              <w:t>工序单班作业人数为</w:t>
            </w:r>
            <w:r>
              <w:rPr>
                <w:rFonts w:hint="eastAsia" w:cs="宋体"/>
                <w:color w:val="auto"/>
                <w:sz w:val="24"/>
                <w:highlight w:val="none"/>
                <w:lang w:val="en-US" w:eastAsia="zh-CN"/>
              </w:rPr>
              <w:t>5</w:t>
            </w:r>
            <w:r>
              <w:rPr>
                <w:rFonts w:hint="eastAsia" w:ascii="Times New Roman" w:hAnsi="Times New Roman" w:eastAsia="宋体" w:cs="宋体"/>
                <w:color w:val="auto"/>
                <w:sz w:val="24"/>
                <w:highlight w:val="none"/>
                <w:lang w:val="en-US" w:eastAsia="zh-CN"/>
              </w:rPr>
              <w:t>人，</w:t>
            </w:r>
            <w:r>
              <w:rPr>
                <w:rFonts w:hint="eastAsia" w:cs="宋体"/>
                <w:color w:val="auto"/>
                <w:sz w:val="24"/>
                <w:highlight w:val="none"/>
                <w:lang w:val="en-US" w:eastAsia="zh-CN"/>
              </w:rPr>
              <w:t>打磨、抛丸</w:t>
            </w:r>
            <w:r>
              <w:rPr>
                <w:rFonts w:hint="eastAsia" w:ascii="Times New Roman" w:hAnsi="Times New Roman" w:eastAsia="宋体" w:cs="宋体"/>
                <w:color w:val="auto"/>
                <w:sz w:val="24"/>
                <w:highlight w:val="none"/>
                <w:lang w:val="en-US" w:eastAsia="zh-CN"/>
              </w:rPr>
              <w:t>工序单班作业人数为</w:t>
            </w:r>
            <w:r>
              <w:rPr>
                <w:rFonts w:hint="eastAsia" w:cs="宋体"/>
                <w:color w:val="auto"/>
                <w:sz w:val="24"/>
                <w:highlight w:val="none"/>
                <w:lang w:val="en-US" w:eastAsia="zh-CN"/>
              </w:rPr>
              <w:t>2</w:t>
            </w:r>
            <w:r>
              <w:rPr>
                <w:rFonts w:hint="eastAsia" w:ascii="Times New Roman" w:hAnsi="Times New Roman" w:eastAsia="宋体" w:cs="宋体"/>
                <w:color w:val="auto"/>
                <w:sz w:val="24"/>
                <w:highlight w:val="none"/>
                <w:lang w:val="en-US" w:eastAsia="zh-CN"/>
              </w:rPr>
              <w:t>人，人数较少，不涉及除尘系统平面布置、通风收集方式、防火分区布局、设备设施等跨领域复杂疑难技术问题，未达到粉尘涉爆环境。本项目</w:t>
            </w:r>
            <w:r>
              <w:rPr>
                <w:rFonts w:hint="eastAsia" w:cs="宋体"/>
                <w:color w:val="auto"/>
                <w:sz w:val="24"/>
                <w:highlight w:val="none"/>
                <w:lang w:val="en-US" w:eastAsia="zh-CN"/>
              </w:rPr>
              <w:t>熔化、压铸</w:t>
            </w:r>
            <w:r>
              <w:rPr>
                <w:rFonts w:hint="eastAsia" w:ascii="Times New Roman" w:hAnsi="Times New Roman" w:eastAsia="宋体" w:cs="宋体"/>
                <w:color w:val="auto"/>
                <w:sz w:val="24"/>
                <w:highlight w:val="none"/>
                <w:lang w:val="en-US" w:eastAsia="zh-CN"/>
              </w:rPr>
              <w:t>粉尘产生浓度为0.2g/m</w:t>
            </w:r>
            <w:r>
              <w:rPr>
                <w:rFonts w:hint="eastAsia" w:ascii="Times New Roman" w:hAnsi="Times New Roman" w:eastAsia="宋体" w:cs="宋体"/>
                <w:color w:val="auto"/>
                <w:sz w:val="24"/>
                <w:highlight w:val="none"/>
                <w:vertAlign w:val="superscript"/>
                <w:lang w:val="en-US" w:eastAsia="zh-CN"/>
              </w:rPr>
              <w:t>3</w:t>
            </w:r>
            <w:r>
              <w:rPr>
                <w:rFonts w:hint="eastAsia" w:ascii="Times New Roman" w:hAnsi="Times New Roman" w:eastAsia="宋体" w:cs="宋体"/>
                <w:color w:val="auto"/>
                <w:sz w:val="24"/>
                <w:highlight w:val="none"/>
                <w:lang w:val="en-US" w:eastAsia="zh-CN"/>
              </w:rPr>
              <w:t>，</w:t>
            </w:r>
            <w:r>
              <w:rPr>
                <w:rFonts w:hint="eastAsia" w:cs="宋体"/>
                <w:color w:val="auto"/>
                <w:sz w:val="24"/>
                <w:highlight w:val="none"/>
                <w:lang w:val="en-US" w:eastAsia="zh-CN"/>
              </w:rPr>
              <w:t>打磨、抛丸</w:t>
            </w:r>
            <w:r>
              <w:rPr>
                <w:rFonts w:hint="eastAsia" w:ascii="Times New Roman" w:hAnsi="Times New Roman" w:eastAsia="宋体" w:cs="宋体"/>
                <w:color w:val="auto"/>
                <w:sz w:val="24"/>
                <w:highlight w:val="none"/>
                <w:lang w:val="en-US" w:eastAsia="zh-CN"/>
              </w:rPr>
              <w:t>粉尘产生浓度为0.6g/m</w:t>
            </w:r>
            <w:r>
              <w:rPr>
                <w:rFonts w:hint="eastAsia" w:ascii="Times New Roman" w:hAnsi="Times New Roman" w:eastAsia="宋体" w:cs="宋体"/>
                <w:color w:val="auto"/>
                <w:sz w:val="24"/>
                <w:highlight w:val="none"/>
                <w:vertAlign w:val="superscript"/>
                <w:lang w:val="en-US" w:eastAsia="zh-CN"/>
              </w:rPr>
              <w:t>3</w:t>
            </w:r>
            <w:r>
              <w:rPr>
                <w:rFonts w:hint="eastAsia" w:ascii="Times New Roman" w:hAnsi="Times New Roman" w:eastAsia="宋体" w:cs="宋体"/>
                <w:color w:val="auto"/>
                <w:sz w:val="24"/>
                <w:highlight w:val="none"/>
                <w:lang w:val="en-US" w:eastAsia="zh-CN"/>
              </w:rPr>
              <w:t>，产生量及浓度均极小，本项目粉尘浓度不会达到爆炸极限。</w:t>
            </w:r>
          </w:p>
          <w:p w14:paraId="4D5E629F">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包装容器破损或倾倒使</w:t>
            </w:r>
            <w:r>
              <w:rPr>
                <w:rFonts w:hint="eastAsia" w:ascii="Times New Roman" w:hAnsi="Times New Roman" w:eastAsia="宋体" w:cs="宋体"/>
                <w:color w:val="auto"/>
                <w:sz w:val="24"/>
                <w:highlight w:val="none"/>
              </w:rPr>
              <w:t>可燃性</w:t>
            </w:r>
            <w:r>
              <w:rPr>
                <w:rFonts w:hint="eastAsia" w:cs="宋体"/>
                <w:color w:val="auto"/>
                <w:sz w:val="24"/>
                <w:highlight w:val="none"/>
                <w:lang w:val="en-US" w:eastAsia="zh-CN"/>
              </w:rPr>
              <w:t>原料</w:t>
            </w:r>
            <w:r>
              <w:rPr>
                <w:rFonts w:ascii="Times New Roman" w:hAnsi="Times New Roman" w:eastAsia="宋体" w:cs="宋体"/>
                <w:color w:val="auto"/>
                <w:sz w:val="24"/>
                <w:highlight w:val="none"/>
              </w:rPr>
              <w:t>泄漏</w:t>
            </w:r>
            <w:r>
              <w:rPr>
                <w:rFonts w:hint="eastAsia" w:ascii="Times New Roman" w:hAnsi="Times New Roman" w:eastAsia="宋体" w:cs="宋体"/>
                <w:color w:val="auto"/>
                <w:sz w:val="24"/>
                <w:highlight w:val="none"/>
              </w:rPr>
              <w:t>及成品遇明火引发火灾、爆炸。</w:t>
            </w:r>
          </w:p>
          <w:p w14:paraId="689BCA9E">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爆炸事故一旦发生将会引起连锁的火灾事故，不仅对周围大气环境造成一定的影响，而且会给企业和周围居民造成不可估量的财产损失，甚至是导致人身伤害。</w:t>
            </w:r>
          </w:p>
          <w:p w14:paraId="5BB5251C">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②生产过程的危险性识别</w:t>
            </w:r>
          </w:p>
          <w:p w14:paraId="727BECF0">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w:t>
            </w:r>
            <w:r>
              <w:rPr>
                <w:rFonts w:hint="eastAsia" w:cs="宋体"/>
                <w:color w:val="auto"/>
                <w:sz w:val="24"/>
                <w:highlight w:val="none"/>
                <w:lang w:val="en-US" w:eastAsia="zh-CN"/>
              </w:rPr>
              <w:t>熔化、压铸、打磨、抛丸</w:t>
            </w:r>
            <w:r>
              <w:rPr>
                <w:rFonts w:ascii="Times New Roman" w:hAnsi="Times New Roman" w:eastAsia="宋体" w:cs="宋体"/>
                <w:color w:val="auto"/>
                <w:sz w:val="24"/>
                <w:highlight w:val="none"/>
              </w:rPr>
              <w:t>工段</w:t>
            </w:r>
            <w:r>
              <w:rPr>
                <w:rFonts w:hint="eastAsia" w:cs="宋体"/>
                <w:color w:val="auto"/>
                <w:sz w:val="24"/>
                <w:highlight w:val="none"/>
                <w:lang w:val="en-US" w:eastAsia="zh-CN"/>
              </w:rPr>
              <w:t>产生的粉尘</w:t>
            </w:r>
            <w:r>
              <w:rPr>
                <w:rFonts w:ascii="Times New Roman" w:hAnsi="Times New Roman" w:eastAsia="宋体" w:cs="宋体"/>
                <w:color w:val="auto"/>
                <w:sz w:val="24"/>
                <w:highlight w:val="none"/>
              </w:rPr>
              <w:t>存在爆炸特性，若车间内通风状况不良，未及时清理残留在车间内的</w:t>
            </w:r>
            <w:r>
              <w:rPr>
                <w:rFonts w:hint="eastAsia" w:cs="宋体"/>
                <w:color w:val="auto"/>
                <w:sz w:val="24"/>
                <w:highlight w:val="none"/>
                <w:lang w:val="en-US" w:eastAsia="zh-CN"/>
              </w:rPr>
              <w:t>粉尘</w:t>
            </w:r>
            <w:r>
              <w:rPr>
                <w:rFonts w:ascii="Times New Roman" w:hAnsi="Times New Roman" w:eastAsia="宋体" w:cs="宋体"/>
                <w:color w:val="auto"/>
                <w:sz w:val="24"/>
                <w:highlight w:val="none"/>
              </w:rPr>
              <w:t>，对大气环境造成污染。</w:t>
            </w:r>
          </w:p>
          <w:p w14:paraId="0BDA5E9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③储运设施风险识别</w:t>
            </w:r>
          </w:p>
          <w:p w14:paraId="6BA8908B">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物料混存也可因火灾事故条件下其灭火方法不同造成难以扑救或扩大事故后果。物料储存量与储存安排。仓库内物料单位面积储存量、最大储量、垛距、墙距、通道宽度应符合要求。仓储物料管理不善、违章储存，则事故发生的可能性和严重程度可增大。根据储存物料的物质特性和危险特性，选择合适的温度、湿度、光照以及通风条件。仓库做好防腐、防渗措施。</w:t>
            </w:r>
          </w:p>
          <w:p w14:paraId="5B91E158">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危险废物需经公路进行运输，装卸、运输可能由于碰撞、震动、挤压等，或因操作不当、重装重卸、容器多次回收利用，强度下降，垫圈失落没有拧紧等原因，造成危险物质包装容器损坏，导致危险废物泄露，甚至引起火灾、爆炸或污染环境等事故。同时在运输途中，由于意外各种原因，可能汽车翻车等，造成危险物质抛至水体，造成较大事故。因此，危险废物在运输过程中存在一定环境风险。</w:t>
            </w:r>
          </w:p>
          <w:p w14:paraId="7D0A1AFF">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④火灾次生环境污染分析</w:t>
            </w:r>
          </w:p>
          <w:p w14:paraId="32A5F57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本项目</w:t>
            </w:r>
            <w:r>
              <w:rPr>
                <w:rFonts w:hint="eastAsia" w:cs="宋体"/>
                <w:color w:val="auto"/>
                <w:sz w:val="24"/>
                <w:highlight w:val="none"/>
                <w:lang w:val="en-US" w:eastAsia="zh-CN"/>
              </w:rPr>
              <w:t>使用的油品</w:t>
            </w:r>
            <w:r>
              <w:rPr>
                <w:rFonts w:ascii="Times New Roman" w:hAnsi="Times New Roman" w:eastAsia="宋体" w:cs="宋体"/>
                <w:color w:val="auto"/>
                <w:sz w:val="24"/>
                <w:highlight w:val="none"/>
              </w:rPr>
              <w:t>为可燃品，若发生火灾，燃烧会产生CO等次生污染物，影响大气环境。同时燃烧产生的有害燃烧物若进入水体和土壤会影响地表水、地下水和土壤环境。</w:t>
            </w:r>
          </w:p>
          <w:p w14:paraId="4E3B141F">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火灾后污染物浓度范围较大，短时间内会对下风向环境空气质量造成一定影响，但长期影响较小。需根据现场事故状况采用合适的灭火方式，并减轻伴生次生危害的产生，尽量消除因火灾引起的环境污染事故。</w:t>
            </w:r>
          </w:p>
          <w:p w14:paraId="77F9FCBF">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⑤环保设施风险识别</w:t>
            </w:r>
          </w:p>
          <w:p w14:paraId="06C9EBE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废气处理系统事故排放主要为各类动力设备发生故障，如风机等引风装置，以及处理系统失效、风管、阀门漏风等均可能引发废气不经处理直排大气，造成对周边环境空气的污染，破坏环境。</w:t>
            </w:r>
          </w:p>
          <w:p w14:paraId="028D95F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若湿式除尘器系统处理效率不达标，场所内未设计氢气检测报警装置联动防爆事故通风，可能在湿式打磨平台水量、水压不达标等，水箱内未及时清理铝污泥，建设单位未制定粉尘清扫计划，及时清理可燃性粉尘，现场可能因遇明火、静电发生粉尘起火、爆炸或氢气引发爆炸危险。</w:t>
            </w:r>
          </w:p>
          <w:p w14:paraId="5A3C33D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（4）环境风险分析</w:t>
            </w:r>
          </w:p>
          <w:p w14:paraId="0A146254">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通过雨水冲刷和下渗影响土壤、地表水和地下水</w:t>
            </w:r>
            <w:r>
              <w:rPr>
                <w:rFonts w:hint="eastAsia" w:ascii="Times New Roman" w:hAnsi="Times New Roman" w:eastAsia="宋体" w:cs="宋体"/>
                <w:color w:val="auto"/>
                <w:sz w:val="24"/>
                <w:highlight w:val="none"/>
              </w:rPr>
              <w:t>。</w:t>
            </w:r>
          </w:p>
          <w:p w14:paraId="5B71AAB2">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（5）环境风险防范措施及应急要求</w:t>
            </w:r>
          </w:p>
          <w:p w14:paraId="3CE6117E">
            <w:pPr>
              <w:spacing w:line="360" w:lineRule="auto"/>
              <w:ind w:firstLine="482" w:firstLineChars="200"/>
              <w:rPr>
                <w:rFonts w:ascii="Times New Roman" w:hAnsi="Times New Roman" w:eastAsia="宋体" w:cs="宋体"/>
                <w:b/>
                <w:bCs/>
                <w:color w:val="auto"/>
                <w:sz w:val="24"/>
                <w:highlight w:val="none"/>
              </w:rPr>
            </w:pPr>
            <w:r>
              <w:rPr>
                <w:rFonts w:ascii="Times New Roman" w:hAnsi="Times New Roman" w:eastAsia="宋体" w:cs="宋体"/>
                <w:b/>
                <w:bCs/>
                <w:color w:val="auto"/>
                <w:sz w:val="24"/>
                <w:highlight w:val="none"/>
              </w:rPr>
              <w:t>针对本项目特点，提出以下环境风险管理要求：</w:t>
            </w:r>
          </w:p>
          <w:p w14:paraId="080996FD">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①严格按照防火规范进行平面布置。</w:t>
            </w:r>
          </w:p>
          <w:p w14:paraId="4264E40E">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②定期检查、维护</w:t>
            </w:r>
            <w:r>
              <w:rPr>
                <w:rFonts w:hint="eastAsia" w:ascii="Times New Roman" w:hAnsi="Times New Roman" w:eastAsia="宋体" w:cs="宋体"/>
                <w:color w:val="auto"/>
                <w:sz w:val="24"/>
                <w:highlight w:val="none"/>
              </w:rPr>
              <w:t>危险废物暂存间</w:t>
            </w:r>
            <w:r>
              <w:rPr>
                <w:rFonts w:ascii="Times New Roman" w:hAnsi="Times New Roman" w:eastAsia="宋体" w:cs="宋体"/>
                <w:color w:val="auto"/>
                <w:sz w:val="24"/>
                <w:highlight w:val="none"/>
              </w:rPr>
              <w:t>储存区设施、设备，以确保正常运行。</w:t>
            </w:r>
          </w:p>
          <w:p w14:paraId="00F53956">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③采取相应的火灾的预防措施。</w:t>
            </w:r>
          </w:p>
          <w:p w14:paraId="175BAEB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④加强员工的事故安全知识教育，要求全体人员了解事故处理的程序，事故处理器材的使用方法，一旦出现事故可以立即停产，控制事故的危害范围和程度。</w:t>
            </w:r>
          </w:p>
          <w:p w14:paraId="44155633">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⑤在项目正式投产运行前，制定正常、异常或紧急状态下的操作和维修计划，并对操作和维修人员进行岗前培训，避免因严重操作失误而造成人为事故。</w:t>
            </w:r>
          </w:p>
          <w:p w14:paraId="25892418">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⑥设置明显的警示标志，并建立严格的值班保卫制度，防止人为蓄意破坏；制定应急操作规程，详细说明发生事故时应采取的操作步骤，规定抢修进度，限制事故影响。对重要的仪器设备有完善的检查和维护记录；对操作人员定期进行防火安全教育或应急演习，</w:t>
            </w:r>
            <w:r>
              <w:rPr>
                <w:rFonts w:hint="eastAsia" w:cs="宋体"/>
                <w:color w:val="auto"/>
                <w:sz w:val="24"/>
                <w:highlight w:val="none"/>
                <w:lang w:eastAsia="zh-CN"/>
              </w:rPr>
              <w:t>增强</w:t>
            </w:r>
            <w:r>
              <w:rPr>
                <w:rFonts w:ascii="Times New Roman" w:hAnsi="Times New Roman" w:eastAsia="宋体" w:cs="宋体"/>
                <w:color w:val="auto"/>
                <w:sz w:val="24"/>
                <w:highlight w:val="none"/>
              </w:rPr>
              <w:t>职工的安全意识，提高识别异常状态的能力。</w:t>
            </w:r>
          </w:p>
          <w:p w14:paraId="6AF97AB0">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⑦采取相应的火灾、爆炸事故的预防措施。</w:t>
            </w:r>
          </w:p>
          <w:p w14:paraId="0491544C">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⑧加强员工的事故安全知识教育，要求全体人员了解事故处理的程序，事故处理器材的使用方法，一旦出现事故可以立即停产，控制事故的危害范围和程度。</w:t>
            </w:r>
          </w:p>
          <w:p w14:paraId="5A15E090">
            <w:pPr>
              <w:spacing w:line="360" w:lineRule="auto"/>
              <w:ind w:firstLine="482" w:firstLineChars="200"/>
              <w:rPr>
                <w:rFonts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针对本项目可能发生的环境风险事故，提出以下风险防范措施：</w:t>
            </w:r>
          </w:p>
          <w:p w14:paraId="6613EBF5">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①贮存过程风险防范措施</w:t>
            </w:r>
          </w:p>
          <w:p w14:paraId="11814B1C">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原料仓库储存有一定量的可燃物，应储存在阴凉、通风区域内；远离火种、热源和避免阳光直射；配备相应品种和数量消防器材；禁止使用易产生火花的机械设备和工具；要设置“危险”、“禁止烟火”、“防潮”等警示标志。各种物料应按其相应堆存规范堆置，禁止堆栈过高，防止滚动。</w:t>
            </w:r>
          </w:p>
          <w:p w14:paraId="052C2388">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固废放置场所应按《危险废物贮存污染控制标准》（GB18597-2023）要求做好地面硬化、防渗处理；堆放场所四周设置导流渠，防止雨水径流进入堆放场内。</w:t>
            </w:r>
          </w:p>
          <w:p w14:paraId="751A4B13">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铝渣、铝屑及危废暂存间内电气设备均选用防爆型，电气防爆设备的选型不得低于ExdⅡAT1Gb。铝渣、铝屑间按照《危险废物贮存污染控制标准》（GB18597-2023）及其修改单建设，铝渣、铝屑密闭（进出口、废气口处理除外），地面铺设木板（或托盘）进行防潮等。暂存场所满足防水防潮要求，配备2具专用灭火器材，设置氢气、温度监测报警和视频监控装置。氢气可燃气体检测装置，设置如下：</w:t>
            </w:r>
          </w:p>
          <w:p w14:paraId="3BE75302">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22E131C3">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4EB8D666">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5928142B">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79AD616A">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1EFDAC32">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0C3DA0C3">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p>
          <w:p w14:paraId="2AA8FC16">
            <w:pPr>
              <w:pStyle w:val="4"/>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w:t>
            </w:r>
            <w:r>
              <w:rPr>
                <w:rFonts w:hint="eastAsia" w:ascii="Times New Roman" w:hAnsi="Times New Roman" w:cs="Times New Roman"/>
                <w:color w:val="auto"/>
                <w:sz w:val="21"/>
                <w:szCs w:val="21"/>
                <w:lang w:val="en-US" w:eastAsia="zh-CN"/>
              </w:rPr>
              <w:t>4.7</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可燃气体检测报警</w:t>
            </w:r>
            <w:r>
              <w:rPr>
                <w:rFonts w:hint="default" w:ascii="Times New Roman" w:hAnsi="Times New Roman" w:cs="Times New Roman"/>
                <w:color w:val="auto"/>
                <w:sz w:val="21"/>
                <w:szCs w:val="21"/>
                <w:lang w:val="en-US" w:eastAsia="zh-CN"/>
              </w:rPr>
              <w:t>装置设置</w:t>
            </w:r>
            <w:r>
              <w:rPr>
                <w:rFonts w:hint="default" w:ascii="Times New Roman" w:hAnsi="Times New Roman" w:cs="Times New Roman"/>
                <w:color w:val="auto"/>
                <w:sz w:val="21"/>
                <w:szCs w:val="21"/>
              </w:rPr>
              <w:t>一览表</w:t>
            </w:r>
          </w:p>
          <w:tbl>
            <w:tblPr>
              <w:tblStyle w:val="21"/>
              <w:tblW w:w="515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020"/>
              <w:gridCol w:w="1236"/>
              <w:gridCol w:w="1180"/>
              <w:gridCol w:w="936"/>
              <w:gridCol w:w="743"/>
              <w:gridCol w:w="1257"/>
              <w:gridCol w:w="1139"/>
              <w:gridCol w:w="1186"/>
            </w:tblGrid>
            <w:tr w14:paraId="0F9D07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454" w:hRule="atLeast"/>
                <w:tblHeader/>
                <w:jc w:val="center"/>
              </w:trPr>
              <w:tc>
                <w:tcPr>
                  <w:tcW w:w="1146" w:type="dxa"/>
                  <w:tcBorders>
                    <w:tl2br w:val="nil"/>
                    <w:tr2bl w:val="nil"/>
                  </w:tcBorders>
                  <w:noWrap w:val="0"/>
                  <w:vAlign w:val="center"/>
                </w:tcPr>
                <w:p w14:paraId="1CC90FAD">
                  <w:pPr>
                    <w:pStyle w:val="73"/>
                    <w:bidi w:val="0"/>
                    <w:rPr>
                      <w:b/>
                      <w:bCs/>
                      <w:color w:val="auto"/>
                    </w:rPr>
                  </w:pPr>
                  <w:r>
                    <w:rPr>
                      <w:b/>
                      <w:bCs/>
                      <w:color w:val="auto"/>
                    </w:rPr>
                    <w:t>检测气体</w:t>
                  </w:r>
                </w:p>
              </w:tc>
              <w:tc>
                <w:tcPr>
                  <w:tcW w:w="1308" w:type="dxa"/>
                  <w:tcBorders>
                    <w:tl2br w:val="nil"/>
                    <w:tr2bl w:val="nil"/>
                  </w:tcBorders>
                  <w:noWrap w:val="0"/>
                  <w:vAlign w:val="center"/>
                </w:tcPr>
                <w:p w14:paraId="00F68B2A">
                  <w:pPr>
                    <w:pStyle w:val="73"/>
                    <w:bidi w:val="0"/>
                    <w:rPr>
                      <w:b/>
                      <w:bCs/>
                      <w:color w:val="auto"/>
                    </w:rPr>
                  </w:pPr>
                  <w:r>
                    <w:rPr>
                      <w:b/>
                      <w:bCs/>
                      <w:color w:val="auto"/>
                    </w:rPr>
                    <w:t>一级报警值</w:t>
                  </w:r>
                </w:p>
              </w:tc>
              <w:tc>
                <w:tcPr>
                  <w:tcW w:w="1243" w:type="dxa"/>
                  <w:tcBorders>
                    <w:tl2br w:val="nil"/>
                    <w:tr2bl w:val="nil"/>
                  </w:tcBorders>
                  <w:noWrap w:val="0"/>
                  <w:vAlign w:val="center"/>
                </w:tcPr>
                <w:p w14:paraId="0974750C">
                  <w:pPr>
                    <w:pStyle w:val="73"/>
                    <w:bidi w:val="0"/>
                    <w:rPr>
                      <w:b/>
                      <w:bCs/>
                      <w:color w:val="auto"/>
                    </w:rPr>
                  </w:pPr>
                  <w:r>
                    <w:rPr>
                      <w:b/>
                      <w:bCs/>
                      <w:color w:val="auto"/>
                    </w:rPr>
                    <w:t>二级报警值</w:t>
                  </w:r>
                </w:p>
              </w:tc>
              <w:tc>
                <w:tcPr>
                  <w:tcW w:w="1040" w:type="dxa"/>
                  <w:tcBorders>
                    <w:tl2br w:val="nil"/>
                    <w:tr2bl w:val="nil"/>
                  </w:tcBorders>
                  <w:noWrap w:val="0"/>
                  <w:vAlign w:val="center"/>
                </w:tcPr>
                <w:p w14:paraId="57016E51">
                  <w:pPr>
                    <w:pStyle w:val="73"/>
                    <w:bidi w:val="0"/>
                    <w:rPr>
                      <w:b/>
                      <w:bCs/>
                      <w:color w:val="auto"/>
                    </w:rPr>
                  </w:pPr>
                  <w:r>
                    <w:rPr>
                      <w:b/>
                      <w:bCs/>
                      <w:color w:val="auto"/>
                    </w:rPr>
                    <w:t>安装高度</w:t>
                  </w:r>
                </w:p>
              </w:tc>
              <w:tc>
                <w:tcPr>
                  <w:tcW w:w="826" w:type="dxa"/>
                  <w:tcBorders>
                    <w:tl2br w:val="nil"/>
                    <w:tr2bl w:val="nil"/>
                  </w:tcBorders>
                  <w:noWrap w:val="0"/>
                  <w:vAlign w:val="center"/>
                </w:tcPr>
                <w:p w14:paraId="4292F16F">
                  <w:pPr>
                    <w:pStyle w:val="73"/>
                    <w:bidi w:val="0"/>
                    <w:rPr>
                      <w:b/>
                      <w:bCs/>
                      <w:color w:val="auto"/>
                    </w:rPr>
                  </w:pPr>
                  <w:r>
                    <w:rPr>
                      <w:b/>
                      <w:bCs/>
                      <w:color w:val="auto"/>
                    </w:rPr>
                    <w:t>数量</w:t>
                  </w:r>
                </w:p>
              </w:tc>
              <w:tc>
                <w:tcPr>
                  <w:tcW w:w="1420" w:type="dxa"/>
                  <w:tcBorders>
                    <w:tl2br w:val="nil"/>
                    <w:tr2bl w:val="nil"/>
                  </w:tcBorders>
                  <w:noWrap w:val="0"/>
                  <w:vAlign w:val="center"/>
                </w:tcPr>
                <w:p w14:paraId="5FF34366">
                  <w:pPr>
                    <w:pStyle w:val="73"/>
                    <w:bidi w:val="0"/>
                    <w:rPr>
                      <w:b/>
                      <w:bCs/>
                      <w:color w:val="auto"/>
                    </w:rPr>
                  </w:pPr>
                  <w:r>
                    <w:rPr>
                      <w:b/>
                      <w:bCs/>
                      <w:color w:val="auto"/>
                    </w:rPr>
                    <w:t>安装位置</w:t>
                  </w:r>
                </w:p>
              </w:tc>
              <w:tc>
                <w:tcPr>
                  <w:tcW w:w="1284" w:type="dxa"/>
                  <w:tcBorders>
                    <w:tl2br w:val="nil"/>
                    <w:tr2bl w:val="nil"/>
                  </w:tcBorders>
                  <w:noWrap w:val="0"/>
                  <w:vAlign w:val="center"/>
                </w:tcPr>
                <w:p w14:paraId="4B6BA2BB">
                  <w:pPr>
                    <w:pStyle w:val="73"/>
                    <w:bidi w:val="0"/>
                    <w:rPr>
                      <w:b/>
                      <w:bCs/>
                      <w:color w:val="auto"/>
                    </w:rPr>
                  </w:pPr>
                  <w:r>
                    <w:rPr>
                      <w:b/>
                      <w:bCs/>
                      <w:color w:val="auto"/>
                    </w:rPr>
                    <w:t>仪器类型</w:t>
                  </w:r>
                </w:p>
              </w:tc>
              <w:tc>
                <w:tcPr>
                  <w:tcW w:w="1200" w:type="dxa"/>
                  <w:tcBorders>
                    <w:tl2br w:val="nil"/>
                    <w:tr2bl w:val="nil"/>
                  </w:tcBorders>
                  <w:noWrap w:val="0"/>
                  <w:vAlign w:val="center"/>
                </w:tcPr>
                <w:p w14:paraId="17B2CD99">
                  <w:pPr>
                    <w:pStyle w:val="73"/>
                    <w:bidi w:val="0"/>
                    <w:rPr>
                      <w:b/>
                      <w:bCs/>
                      <w:color w:val="auto"/>
                    </w:rPr>
                  </w:pPr>
                  <w:r>
                    <w:rPr>
                      <w:b/>
                      <w:bCs/>
                      <w:color w:val="auto"/>
                    </w:rPr>
                    <w:t>防爆等级</w:t>
                  </w:r>
                </w:p>
              </w:tc>
            </w:tr>
            <w:tr w14:paraId="5C0274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60" w:hRule="atLeast"/>
                <w:jc w:val="center"/>
              </w:trPr>
              <w:tc>
                <w:tcPr>
                  <w:tcW w:w="1146" w:type="dxa"/>
                  <w:tcBorders>
                    <w:tl2br w:val="nil"/>
                    <w:tr2bl w:val="nil"/>
                  </w:tcBorders>
                  <w:noWrap w:val="0"/>
                  <w:vAlign w:val="center"/>
                </w:tcPr>
                <w:p w14:paraId="2C271748">
                  <w:pPr>
                    <w:pStyle w:val="73"/>
                    <w:bidi w:val="0"/>
                    <w:rPr>
                      <w:rFonts w:hint="default"/>
                      <w:color w:val="auto"/>
                      <w:lang w:val="en-US" w:eastAsia="zh-CN"/>
                    </w:rPr>
                  </w:pPr>
                  <w:r>
                    <w:rPr>
                      <w:rFonts w:hint="eastAsia"/>
                      <w:color w:val="auto"/>
                      <w:lang w:val="en-US" w:eastAsia="zh-CN"/>
                    </w:rPr>
                    <w:t>氢气</w:t>
                  </w:r>
                </w:p>
              </w:tc>
              <w:tc>
                <w:tcPr>
                  <w:tcW w:w="1308" w:type="dxa"/>
                  <w:tcBorders>
                    <w:tl2br w:val="nil"/>
                    <w:tr2bl w:val="nil"/>
                  </w:tcBorders>
                  <w:noWrap w:val="0"/>
                  <w:vAlign w:val="center"/>
                </w:tcPr>
                <w:p w14:paraId="49999605">
                  <w:pPr>
                    <w:pStyle w:val="73"/>
                    <w:bidi w:val="0"/>
                    <w:rPr>
                      <w:rFonts w:hint="eastAsia"/>
                      <w:color w:val="auto"/>
                      <w:lang w:val="en-US" w:eastAsia="zh-CN"/>
                    </w:rPr>
                  </w:pPr>
                  <w:r>
                    <w:rPr>
                      <w:rFonts w:hint="eastAsia"/>
                      <w:color w:val="auto"/>
                    </w:rPr>
                    <w:t>25</w:t>
                  </w:r>
                  <w:r>
                    <w:rPr>
                      <w:color w:val="auto"/>
                    </w:rPr>
                    <w:t>%</w:t>
                  </w:r>
                  <w:r>
                    <w:rPr>
                      <w:rFonts w:hint="eastAsia"/>
                      <w:color w:val="auto"/>
                    </w:rPr>
                    <w:t>LEL</w:t>
                  </w:r>
                </w:p>
              </w:tc>
              <w:tc>
                <w:tcPr>
                  <w:tcW w:w="1243" w:type="dxa"/>
                  <w:tcBorders>
                    <w:tl2br w:val="nil"/>
                    <w:tr2bl w:val="nil"/>
                  </w:tcBorders>
                  <w:noWrap w:val="0"/>
                  <w:vAlign w:val="center"/>
                </w:tcPr>
                <w:p w14:paraId="6D36AC96">
                  <w:pPr>
                    <w:pStyle w:val="73"/>
                    <w:bidi w:val="0"/>
                    <w:rPr>
                      <w:rFonts w:hint="eastAsia"/>
                      <w:color w:val="auto"/>
                      <w:lang w:val="en-US" w:eastAsia="zh-CN"/>
                    </w:rPr>
                  </w:pPr>
                  <w:r>
                    <w:rPr>
                      <w:rFonts w:hint="eastAsia"/>
                      <w:color w:val="auto"/>
                    </w:rPr>
                    <w:t>50</w:t>
                  </w:r>
                  <w:r>
                    <w:rPr>
                      <w:color w:val="auto"/>
                    </w:rPr>
                    <w:t>%</w:t>
                  </w:r>
                  <w:r>
                    <w:rPr>
                      <w:rFonts w:hint="eastAsia"/>
                      <w:color w:val="auto"/>
                    </w:rPr>
                    <w:t>LEL</w:t>
                  </w:r>
                </w:p>
              </w:tc>
              <w:tc>
                <w:tcPr>
                  <w:tcW w:w="1040" w:type="dxa"/>
                  <w:tcBorders>
                    <w:tl2br w:val="nil"/>
                    <w:tr2bl w:val="nil"/>
                  </w:tcBorders>
                  <w:noWrap w:val="0"/>
                  <w:vAlign w:val="center"/>
                </w:tcPr>
                <w:p w14:paraId="742B8A8D">
                  <w:pPr>
                    <w:pStyle w:val="73"/>
                    <w:bidi w:val="0"/>
                    <w:rPr>
                      <w:rFonts w:hint="default"/>
                      <w:color w:val="auto"/>
                      <w:lang w:val="en-US" w:eastAsia="zh-CN"/>
                    </w:rPr>
                  </w:pPr>
                  <w:r>
                    <w:rPr>
                      <w:rFonts w:hint="eastAsia"/>
                      <w:color w:val="auto"/>
                      <w:lang w:val="en-US" w:eastAsia="zh-CN"/>
                    </w:rPr>
                    <w:t>托盘上方2m内</w:t>
                  </w:r>
                </w:p>
              </w:tc>
              <w:tc>
                <w:tcPr>
                  <w:tcW w:w="826" w:type="dxa"/>
                  <w:tcBorders>
                    <w:tl2br w:val="nil"/>
                    <w:tr2bl w:val="nil"/>
                  </w:tcBorders>
                  <w:noWrap w:val="0"/>
                  <w:vAlign w:val="center"/>
                </w:tcPr>
                <w:p w14:paraId="70F0A04B">
                  <w:pPr>
                    <w:pStyle w:val="73"/>
                    <w:bidi w:val="0"/>
                    <w:rPr>
                      <w:rFonts w:hint="default"/>
                      <w:color w:val="auto"/>
                      <w:lang w:val="en-US" w:eastAsia="zh-CN"/>
                    </w:rPr>
                  </w:pPr>
                  <w:r>
                    <w:rPr>
                      <w:rFonts w:hint="eastAsia"/>
                      <w:color w:val="auto"/>
                      <w:lang w:val="en-US" w:eastAsia="zh-CN"/>
                    </w:rPr>
                    <w:t>1台</w:t>
                  </w:r>
                </w:p>
              </w:tc>
              <w:tc>
                <w:tcPr>
                  <w:tcW w:w="1420" w:type="dxa"/>
                  <w:tcBorders>
                    <w:tl2br w:val="nil"/>
                    <w:tr2bl w:val="nil"/>
                  </w:tcBorders>
                  <w:noWrap w:val="0"/>
                  <w:vAlign w:val="center"/>
                </w:tcPr>
                <w:p w14:paraId="5875E397">
                  <w:pPr>
                    <w:pStyle w:val="73"/>
                    <w:bidi w:val="0"/>
                    <w:rPr>
                      <w:rFonts w:hint="default"/>
                      <w:color w:val="auto"/>
                      <w:highlight w:val="none"/>
                      <w:lang w:val="en-US" w:eastAsia="zh-CN"/>
                    </w:rPr>
                  </w:pPr>
                  <w:r>
                    <w:rPr>
                      <w:rFonts w:hint="eastAsia"/>
                      <w:color w:val="auto"/>
                      <w:highlight w:val="none"/>
                      <w:lang w:val="en-US" w:eastAsia="zh-CN"/>
                    </w:rPr>
                    <w:t>危废库房</w:t>
                  </w:r>
                </w:p>
              </w:tc>
              <w:tc>
                <w:tcPr>
                  <w:tcW w:w="1284" w:type="dxa"/>
                  <w:tcBorders>
                    <w:tl2br w:val="nil"/>
                    <w:tr2bl w:val="nil"/>
                  </w:tcBorders>
                  <w:noWrap w:val="0"/>
                  <w:vAlign w:val="center"/>
                </w:tcPr>
                <w:p w14:paraId="0437C59E">
                  <w:pPr>
                    <w:pStyle w:val="73"/>
                    <w:bidi w:val="0"/>
                    <w:rPr>
                      <w:rFonts w:hint="default"/>
                      <w:color w:val="auto"/>
                      <w:highlight w:val="none"/>
                      <w:lang w:val="en-US" w:eastAsia="zh-CN"/>
                    </w:rPr>
                  </w:pPr>
                  <w:r>
                    <w:rPr>
                      <w:rFonts w:hint="eastAsia"/>
                      <w:color w:val="auto"/>
                      <w:highlight w:val="none"/>
                      <w:lang w:val="en-US" w:eastAsia="zh-CN"/>
                    </w:rPr>
                    <w:t>催化燃烧型</w:t>
                  </w:r>
                </w:p>
              </w:tc>
              <w:tc>
                <w:tcPr>
                  <w:tcW w:w="1200" w:type="dxa"/>
                  <w:tcBorders>
                    <w:tl2br w:val="nil"/>
                    <w:tr2bl w:val="nil"/>
                  </w:tcBorders>
                  <w:noWrap w:val="0"/>
                  <w:vAlign w:val="center"/>
                </w:tcPr>
                <w:p w14:paraId="5DD26172">
                  <w:pPr>
                    <w:pStyle w:val="73"/>
                    <w:bidi w:val="0"/>
                    <w:rPr>
                      <w:rFonts w:hint="eastAsia"/>
                      <w:color w:val="auto"/>
                      <w:highlight w:val="none"/>
                      <w:lang w:val="en-US" w:eastAsia="zh-CN"/>
                    </w:rPr>
                  </w:pPr>
                  <w:r>
                    <w:rPr>
                      <w:rFonts w:hint="eastAsia"/>
                      <w:color w:val="auto"/>
                      <w:highlight w:val="none"/>
                      <w:lang w:val="en-US" w:eastAsia="zh-CN"/>
                    </w:rPr>
                    <w:t>ExdIIAT1Gb</w:t>
                  </w:r>
                </w:p>
              </w:tc>
            </w:tr>
            <w:tr w14:paraId="256DDB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90" w:hRule="atLeast"/>
                <w:jc w:val="center"/>
              </w:trPr>
              <w:tc>
                <w:tcPr>
                  <w:tcW w:w="9467" w:type="dxa"/>
                  <w:gridSpan w:val="8"/>
                  <w:tcBorders>
                    <w:tl2br w:val="nil"/>
                    <w:tr2bl w:val="nil"/>
                  </w:tcBorders>
                  <w:noWrap w:val="0"/>
                  <w:vAlign w:val="center"/>
                </w:tcPr>
                <w:p w14:paraId="166ECC13">
                  <w:pPr>
                    <w:pStyle w:val="73"/>
                    <w:bidi w:val="0"/>
                    <w:jc w:val="left"/>
                    <w:rPr>
                      <w:rFonts w:hint="default"/>
                      <w:color w:val="auto"/>
                      <w:lang w:val="en-US" w:eastAsia="zh-CN"/>
                    </w:rPr>
                  </w:pPr>
                  <w:r>
                    <w:rPr>
                      <w:rFonts w:hint="eastAsia"/>
                      <w:color w:val="auto"/>
                      <w:lang w:val="en-US" w:eastAsia="zh-CN"/>
                    </w:rPr>
                    <w:t>报警器选用及安装要求：</w:t>
                  </w:r>
                </w:p>
                <w:p w14:paraId="013FC6DA">
                  <w:pPr>
                    <w:pStyle w:val="73"/>
                    <w:bidi w:val="0"/>
                    <w:ind w:firstLine="420" w:firstLineChars="200"/>
                    <w:jc w:val="left"/>
                    <w:rPr>
                      <w:rFonts w:hint="eastAsia"/>
                      <w:color w:val="auto"/>
                      <w:lang w:val="en-US" w:eastAsia="zh-CN"/>
                    </w:rPr>
                  </w:pPr>
                  <w:r>
                    <w:rPr>
                      <w:rFonts w:hint="eastAsia"/>
                      <w:color w:val="auto"/>
                      <w:lang w:val="en-US" w:eastAsia="zh-CN"/>
                    </w:rPr>
                    <w:t>气体检测报警单元设现场报警及值班室报警，报警信号传送至24h有人值班场所，气体探测器安装在无电磁干扰处。</w:t>
                  </w:r>
                </w:p>
                <w:p w14:paraId="57A6420C">
                  <w:pPr>
                    <w:pStyle w:val="73"/>
                    <w:bidi w:val="0"/>
                    <w:ind w:firstLine="420" w:firstLineChars="200"/>
                    <w:jc w:val="left"/>
                    <w:rPr>
                      <w:rFonts w:hint="eastAsia"/>
                      <w:color w:val="auto"/>
                      <w:lang w:val="en-US" w:eastAsia="zh-CN"/>
                    </w:rPr>
                  </w:pPr>
                  <w:r>
                    <w:rPr>
                      <w:rFonts w:hint="eastAsia"/>
                      <w:color w:val="auto"/>
                      <w:lang w:val="en-US" w:eastAsia="zh-CN"/>
                    </w:rPr>
                    <w:t>区域报警器的报警信号声级高于110dBA，且距报警器1m处总声压值不得高于120dBA；采用独立设置的以微处理器为基础的电子产品，且具有记录气体报警时间，且日记时误差不超过30s；报警器安装在气体探测器其所在的报警区域，安装高度高于现场区域地面2.2m，且未与工作人员易察觉地点。</w:t>
                  </w:r>
                </w:p>
              </w:tc>
            </w:tr>
          </w:tbl>
          <w:p w14:paraId="27EC2F1F">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②运输风险防范措施</w:t>
            </w:r>
          </w:p>
          <w:p w14:paraId="155E13A8">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为降低运输过程中出现的风险事故，应落实以下要求：做好每次进出厂危险废物运输登记。运输人员必须掌握运输的安全知识，了解所运载的危险废物的性质、危害特性、包装容器的使用特性和发生意外时的应急措施。驾驶人员必须由取得驾驶执照的熟练人员担任。危险废物在运输途中若发生被盗、丢失、流散等情况时，公司及押运人员必须立即向当地公安部门报告，并采取一切可能的警示措施。运输中一旦发生危险废物泄漏事故，公司、运输单位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1053F614">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③生产过程中的风险防范措施</w:t>
            </w:r>
          </w:p>
          <w:p w14:paraId="70398142">
            <w:pPr>
              <w:spacing w:line="360" w:lineRule="auto"/>
              <w:ind w:firstLine="480" w:firstLineChars="200"/>
              <w:rPr>
                <w:rFonts w:ascii="Times New Roman" w:hAnsi="Times New Roman" w:eastAsia="宋体" w:cs="宋体"/>
                <w:color w:val="auto"/>
                <w:sz w:val="24"/>
                <w:highlight w:val="none"/>
              </w:rPr>
            </w:pPr>
            <w:r>
              <w:rPr>
                <w:rFonts w:hint="eastAsia" w:cs="宋体"/>
                <w:color w:val="auto"/>
                <w:sz w:val="24"/>
                <w:highlight w:val="none"/>
                <w:lang w:val="en-US" w:eastAsia="zh-CN"/>
              </w:rPr>
              <w:t>熔化、压铸、打磨、抛丸</w:t>
            </w:r>
            <w:r>
              <w:rPr>
                <w:rFonts w:hint="eastAsia" w:ascii="Times New Roman" w:hAnsi="Times New Roman" w:eastAsia="宋体" w:cs="宋体"/>
                <w:color w:val="auto"/>
                <w:sz w:val="24"/>
                <w:highlight w:val="none"/>
              </w:rPr>
              <w:t>场所不得设置在非框架结构的多层建（构）物内，场所内不得设有人员聚集场所；如设置在多层框架结构的建筑物内时，应布置在建筑物顶层并靠近外墙；如设置在联合厂房内时，应布置在联合厂房边跨并靠近外墙，危险区域设置耐火极限不少于3小时的实体结构隔墙，与其他加工方式的作业区隔离；存在粉尘爆炸危险的建筑物应设置符合GB50016、GB/T15605等要求的泄爆面积。</w:t>
            </w:r>
          </w:p>
          <w:p w14:paraId="208D7CE9">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在</w:t>
            </w:r>
            <w:r>
              <w:rPr>
                <w:rFonts w:hint="eastAsia" w:cs="宋体"/>
                <w:color w:val="auto"/>
                <w:sz w:val="24"/>
                <w:highlight w:val="none"/>
                <w:lang w:val="en-US" w:eastAsia="zh-CN"/>
              </w:rPr>
              <w:t>压铸车间</w:t>
            </w:r>
            <w:r>
              <w:rPr>
                <w:rFonts w:hint="eastAsia" w:ascii="Times New Roman" w:hAnsi="Times New Roman" w:eastAsia="宋体" w:cs="宋体"/>
                <w:color w:val="auto"/>
                <w:sz w:val="24"/>
                <w:highlight w:val="none"/>
              </w:rPr>
              <w:t>内，应安装可靠的报警装置和自动灭火系统，在发生火灾时，该装置应与关闭压缩空气、切断电源，以及启动自动灭火器、停止工件输送的控制装置进行联锁；</w:t>
            </w:r>
            <w:r>
              <w:rPr>
                <w:rFonts w:hint="eastAsia" w:cs="宋体"/>
                <w:color w:val="auto"/>
                <w:sz w:val="24"/>
                <w:highlight w:val="none"/>
                <w:lang w:val="en-US" w:eastAsia="zh-CN"/>
              </w:rPr>
              <w:t>压铸车间</w:t>
            </w:r>
            <w:r>
              <w:rPr>
                <w:rFonts w:hint="eastAsia" w:ascii="Times New Roman" w:hAnsi="Times New Roman" w:eastAsia="宋体" w:cs="宋体"/>
                <w:color w:val="auto"/>
                <w:sz w:val="24"/>
                <w:highlight w:val="none"/>
              </w:rPr>
              <w:t>与回收装置之间应采取联锁控制，一旦有火情时，能迅速自动切断连接通道。</w:t>
            </w:r>
          </w:p>
          <w:p w14:paraId="0523C1D2">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建立并完善安全生产责任制，企业主要负责人要切实履行安全生产第一责任人的法定职责，配备相关专业的安全管理人员，保证粉尘处置的安全投入，在定期组织开展安全检查时将粉尘处置纳入重点检查内容。建立完善定期清理清运制度、收集储存制度、危险作业审批制度，健全重点岗位安全操作规程。</w:t>
            </w:r>
          </w:p>
          <w:p w14:paraId="159E3A5F">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企业对</w:t>
            </w:r>
            <w:r>
              <w:rPr>
                <w:rFonts w:hint="eastAsia" w:cs="宋体"/>
                <w:color w:val="auto"/>
                <w:sz w:val="24"/>
                <w:highlight w:val="none"/>
                <w:lang w:val="en-US" w:eastAsia="zh-CN"/>
              </w:rPr>
              <w:t>熔化、压铸、打磨、抛丸</w:t>
            </w:r>
            <w:r>
              <w:rPr>
                <w:rFonts w:hint="eastAsia" w:ascii="Times New Roman" w:hAnsi="Times New Roman" w:eastAsia="宋体" w:cs="宋体"/>
                <w:color w:val="auto"/>
                <w:sz w:val="24"/>
                <w:highlight w:val="none"/>
              </w:rPr>
              <w:t>作业场所应严格落实粉尘定期清扫制度，每班至少清扫一次，确保作业台面及内壁、机台底部、作业区地面等场所部位不得有明显积尘或废屑堆积。清扫收集的粉尘要及时运离，不得堆放在作业现场。</w:t>
            </w:r>
          </w:p>
          <w:p w14:paraId="4AEA21E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加强粉尘处置应急管理的教育培训。应针对粉尘处置的风险特点开展专题教育培训，提高员工对粉尘防爆知识的认识。针对粉尘处置易发生火灾爆炸事故的特点，定期开展演练，提高员工事故防范、应急逃生、自救互救能力。</w:t>
            </w:r>
          </w:p>
          <w:p w14:paraId="1B879AFA">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23C8D01">
            <w:pPr>
              <w:spacing w:line="360" w:lineRule="auto"/>
              <w:ind w:firstLine="480" w:firstLineChars="200"/>
              <w:rPr>
                <w:rFonts w:hint="eastAsia"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依据《城镇燃气报警控制系统技术规程》CJJ/T146-2011第3.3.3条：车间二压铸机位置设置天然气可燃气体探测器，探测可燃气体类型为天然气等。设置两级报警，一级报警为爆炸下限的25%，二级报警为爆炸下限的50%。可燃气体检测报警系统配备UPS不间断电源，现场设置声光报警。可燃气体探测器距所覆盖范围内的任一释放源的水平距离为5m，可燃气体探测器的设置情况见下表：</w:t>
            </w:r>
          </w:p>
          <w:p w14:paraId="1858FCA6">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21D949D1">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71C23DAA">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70DA9F1E">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4046E9A2">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337205C2">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39368257">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2B6AF2C3">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2371DFD8">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p>
          <w:p w14:paraId="41E7B9C1">
            <w:pPr>
              <w:pStyle w:val="4"/>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6.1-2</w:t>
            </w:r>
            <w:r>
              <w:rPr>
                <w:rFonts w:hint="default" w:ascii="Times New Roman" w:hAnsi="Times New Roman" w:cs="Times New Roman"/>
                <w:color w:val="auto"/>
                <w:sz w:val="21"/>
                <w:szCs w:val="21"/>
                <w:highlight w:val="none"/>
              </w:rPr>
              <w:t>天然气可燃气体探测器设置表</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4"/>
              <w:gridCol w:w="1849"/>
              <w:gridCol w:w="1357"/>
              <w:gridCol w:w="1357"/>
              <w:gridCol w:w="826"/>
              <w:gridCol w:w="1214"/>
              <w:gridCol w:w="1332"/>
            </w:tblGrid>
            <w:tr w14:paraId="7DD6C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9" w:hRule="atLeast"/>
                <w:tblHeader/>
                <w:jc w:val="center"/>
              </w:trPr>
              <w:tc>
                <w:tcPr>
                  <w:tcW w:w="293" w:type="pct"/>
                  <w:vMerge w:val="restart"/>
                  <w:tcBorders>
                    <w:top w:val="single" w:color="000000" w:sz="12" w:space="0"/>
                  </w:tcBorders>
                  <w:noWrap w:val="0"/>
                  <w:vAlign w:val="center"/>
                </w:tcPr>
                <w:p w14:paraId="129C6AA1">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序号</w:t>
                  </w:r>
                </w:p>
              </w:tc>
              <w:tc>
                <w:tcPr>
                  <w:tcW w:w="1097" w:type="pct"/>
                  <w:vMerge w:val="restart"/>
                  <w:tcBorders>
                    <w:top w:val="single" w:color="000000" w:sz="12" w:space="0"/>
                  </w:tcBorders>
                  <w:noWrap w:val="0"/>
                  <w:vAlign w:val="center"/>
                </w:tcPr>
                <w:p w14:paraId="366AD010">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设置位置</w:t>
                  </w:r>
                </w:p>
              </w:tc>
              <w:tc>
                <w:tcPr>
                  <w:tcW w:w="805" w:type="pct"/>
                  <w:vMerge w:val="restart"/>
                  <w:tcBorders>
                    <w:top w:val="single" w:color="000000" w:sz="12" w:space="0"/>
                  </w:tcBorders>
                  <w:noWrap w:val="0"/>
                  <w:vAlign w:val="center"/>
                </w:tcPr>
                <w:p w14:paraId="1DF1496C">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类型</w:t>
                  </w:r>
                </w:p>
              </w:tc>
              <w:tc>
                <w:tcPr>
                  <w:tcW w:w="805" w:type="pct"/>
                  <w:vMerge w:val="restart"/>
                  <w:tcBorders>
                    <w:top w:val="single" w:color="000000" w:sz="12" w:space="0"/>
                  </w:tcBorders>
                  <w:noWrap w:val="0"/>
                  <w:vAlign w:val="center"/>
                </w:tcPr>
                <w:p w14:paraId="4A69692B">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安装高度</w:t>
                  </w:r>
                </w:p>
              </w:tc>
              <w:tc>
                <w:tcPr>
                  <w:tcW w:w="490" w:type="pct"/>
                  <w:vMerge w:val="restart"/>
                  <w:tcBorders>
                    <w:top w:val="single" w:color="000000" w:sz="12" w:space="0"/>
                  </w:tcBorders>
                  <w:noWrap w:val="0"/>
                  <w:tcMar>
                    <w:top w:w="57" w:type="dxa"/>
                    <w:left w:w="85" w:type="dxa"/>
                    <w:bottom w:w="57" w:type="dxa"/>
                    <w:right w:w="85" w:type="dxa"/>
                  </w:tcMar>
                  <w:vAlign w:val="center"/>
                </w:tcPr>
                <w:p w14:paraId="7183698E">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数 量（台）</w:t>
                  </w:r>
                </w:p>
              </w:tc>
              <w:tc>
                <w:tcPr>
                  <w:tcW w:w="1506" w:type="pct"/>
                  <w:gridSpan w:val="2"/>
                  <w:tcBorders>
                    <w:top w:val="single" w:color="000000" w:sz="12" w:space="0"/>
                    <w:right w:val="nil"/>
                  </w:tcBorders>
                  <w:noWrap w:val="0"/>
                  <w:tcMar>
                    <w:top w:w="57" w:type="dxa"/>
                    <w:left w:w="85" w:type="dxa"/>
                    <w:bottom w:w="57" w:type="dxa"/>
                    <w:right w:w="85" w:type="dxa"/>
                  </w:tcMar>
                  <w:vAlign w:val="center"/>
                </w:tcPr>
                <w:p w14:paraId="46A65F86">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设定报警浓度</w:t>
                  </w:r>
                </w:p>
              </w:tc>
            </w:tr>
            <w:tr w14:paraId="6DAFB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tblHeader/>
                <w:jc w:val="center"/>
              </w:trPr>
              <w:tc>
                <w:tcPr>
                  <w:tcW w:w="293" w:type="pct"/>
                  <w:vMerge w:val="continue"/>
                  <w:tcBorders>
                    <w:left w:val="nil"/>
                  </w:tcBorders>
                  <w:noWrap w:val="0"/>
                  <w:vAlign w:val="center"/>
                </w:tcPr>
                <w:p w14:paraId="0A7AC7DB">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p>
              </w:tc>
              <w:tc>
                <w:tcPr>
                  <w:tcW w:w="1097" w:type="pct"/>
                  <w:vMerge w:val="continue"/>
                  <w:noWrap w:val="0"/>
                  <w:vAlign w:val="center"/>
                </w:tcPr>
                <w:p w14:paraId="6F63900F">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p>
              </w:tc>
              <w:tc>
                <w:tcPr>
                  <w:tcW w:w="805" w:type="pct"/>
                  <w:vMerge w:val="continue"/>
                  <w:noWrap w:val="0"/>
                  <w:vAlign w:val="center"/>
                </w:tcPr>
                <w:p w14:paraId="3CB4AB95">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p>
              </w:tc>
              <w:tc>
                <w:tcPr>
                  <w:tcW w:w="805" w:type="pct"/>
                  <w:vMerge w:val="continue"/>
                  <w:noWrap w:val="0"/>
                  <w:vAlign w:val="center"/>
                </w:tcPr>
                <w:p w14:paraId="072CED42">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p>
              </w:tc>
              <w:tc>
                <w:tcPr>
                  <w:tcW w:w="490" w:type="pct"/>
                  <w:vMerge w:val="continue"/>
                  <w:noWrap w:val="0"/>
                  <w:tcMar>
                    <w:top w:w="57" w:type="dxa"/>
                    <w:left w:w="85" w:type="dxa"/>
                    <w:bottom w:w="57" w:type="dxa"/>
                    <w:right w:w="85" w:type="dxa"/>
                  </w:tcMar>
                  <w:vAlign w:val="center"/>
                </w:tcPr>
                <w:p w14:paraId="67C76465">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p>
              </w:tc>
              <w:tc>
                <w:tcPr>
                  <w:tcW w:w="720" w:type="pct"/>
                  <w:noWrap w:val="0"/>
                  <w:tcMar>
                    <w:top w:w="57" w:type="dxa"/>
                    <w:left w:w="85" w:type="dxa"/>
                    <w:bottom w:w="57" w:type="dxa"/>
                    <w:right w:w="85" w:type="dxa"/>
                  </w:tcMar>
                  <w:vAlign w:val="center"/>
                </w:tcPr>
                <w:p w14:paraId="17D16DA6">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一级报警V/V %</w:t>
                  </w:r>
                </w:p>
              </w:tc>
              <w:tc>
                <w:tcPr>
                  <w:tcW w:w="785" w:type="pct"/>
                  <w:tcBorders>
                    <w:right w:val="nil"/>
                  </w:tcBorders>
                  <w:noWrap w:val="0"/>
                  <w:vAlign w:val="center"/>
                </w:tcPr>
                <w:p w14:paraId="0A930139">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bCs w:val="0"/>
                      <w:color w:val="auto"/>
                      <w:highlight w:val="none"/>
                      <w:lang w:val="zh-CN" w:eastAsia="zh-CN"/>
                    </w:rPr>
                  </w:pPr>
                  <w:r>
                    <w:rPr>
                      <w:rFonts w:hint="eastAsia"/>
                      <w:b/>
                      <w:bCs w:val="0"/>
                      <w:color w:val="auto"/>
                      <w:highlight w:val="none"/>
                      <w:lang w:val="zh-CN" w:eastAsia="zh-CN"/>
                    </w:rPr>
                    <w:t>二级警值V/V %</w:t>
                  </w:r>
                </w:p>
              </w:tc>
            </w:tr>
            <w:tr w14:paraId="22034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293" w:type="pct"/>
                  <w:tcBorders>
                    <w:left w:val="nil"/>
                  </w:tcBorders>
                  <w:noWrap w:val="0"/>
                  <w:vAlign w:val="center"/>
                </w:tcPr>
                <w:p w14:paraId="2A45F97B">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val="0"/>
                      <w:bCs/>
                      <w:color w:val="auto"/>
                      <w:highlight w:val="none"/>
                      <w:lang w:val="zh-CN" w:eastAsia="zh-CN"/>
                    </w:rPr>
                  </w:pPr>
                  <w:r>
                    <w:rPr>
                      <w:rFonts w:hint="eastAsia"/>
                      <w:b w:val="0"/>
                      <w:bCs/>
                      <w:color w:val="auto"/>
                      <w:highlight w:val="none"/>
                      <w:lang w:val="en-US" w:eastAsia="zh-CN"/>
                    </w:rPr>
                    <w:t>1</w:t>
                  </w:r>
                </w:p>
              </w:tc>
              <w:tc>
                <w:tcPr>
                  <w:tcW w:w="1097" w:type="pct"/>
                  <w:noWrap w:val="0"/>
                  <w:vAlign w:val="center"/>
                </w:tcPr>
                <w:p w14:paraId="34D4A67D">
                  <w:pPr>
                    <w:pStyle w:val="73"/>
                    <w:keepNext w:val="0"/>
                    <w:keepLines w:val="0"/>
                    <w:pageBreakBefore w:val="0"/>
                    <w:widowControl/>
                    <w:kinsoku/>
                    <w:wordWrap/>
                    <w:overflowPunct/>
                    <w:topLinePunct w:val="0"/>
                    <w:autoSpaceDE/>
                    <w:autoSpaceDN/>
                    <w:bidi w:val="0"/>
                    <w:adjustRightInd/>
                    <w:snapToGrid/>
                    <w:spacing w:line="240" w:lineRule="exact"/>
                    <w:ind w:right="0" w:firstLine="0" w:firstLineChars="0"/>
                    <w:textAlignment w:val="auto"/>
                    <w:rPr>
                      <w:rFonts w:hint="eastAsia"/>
                      <w:b w:val="0"/>
                      <w:bCs/>
                      <w:color w:val="auto"/>
                      <w:highlight w:val="none"/>
                      <w:lang w:val="en-US" w:eastAsia="zh-CN"/>
                    </w:rPr>
                  </w:pPr>
                  <w:r>
                    <w:rPr>
                      <w:rFonts w:hint="eastAsia"/>
                      <w:b w:val="0"/>
                      <w:bCs/>
                      <w:color w:val="auto"/>
                      <w:highlight w:val="none"/>
                      <w:lang w:val="en-US" w:eastAsia="zh-CN"/>
                    </w:rPr>
                    <w:t>2#生产车间</w:t>
                  </w:r>
                </w:p>
                <w:p w14:paraId="129A5C11">
                  <w:pPr>
                    <w:pStyle w:val="73"/>
                    <w:keepNext w:val="0"/>
                    <w:keepLines w:val="0"/>
                    <w:pageBreakBefore w:val="0"/>
                    <w:widowControl/>
                    <w:kinsoku/>
                    <w:wordWrap/>
                    <w:overflowPunct/>
                    <w:topLinePunct w:val="0"/>
                    <w:autoSpaceDE/>
                    <w:autoSpaceDN/>
                    <w:bidi w:val="0"/>
                    <w:adjustRightInd/>
                    <w:snapToGrid/>
                    <w:spacing w:line="240" w:lineRule="exact"/>
                    <w:ind w:right="0" w:firstLine="0" w:firstLineChars="0"/>
                    <w:textAlignment w:val="auto"/>
                    <w:rPr>
                      <w:rFonts w:hint="default"/>
                      <w:b w:val="0"/>
                      <w:bCs/>
                      <w:color w:val="auto"/>
                      <w:highlight w:val="none"/>
                      <w:lang w:val="en-US" w:eastAsia="zh-CN"/>
                    </w:rPr>
                  </w:pPr>
                  <w:r>
                    <w:rPr>
                      <w:rFonts w:hint="eastAsia"/>
                      <w:b w:val="0"/>
                      <w:bCs/>
                      <w:color w:val="auto"/>
                      <w:highlight w:val="none"/>
                      <w:lang w:val="en-US" w:eastAsia="zh-CN"/>
                    </w:rPr>
                    <w:t>熔化压铸区</w:t>
                  </w:r>
                </w:p>
              </w:tc>
              <w:tc>
                <w:tcPr>
                  <w:tcW w:w="805" w:type="pct"/>
                  <w:noWrap w:val="0"/>
                  <w:vAlign w:val="center"/>
                </w:tcPr>
                <w:p w14:paraId="28D1EBDE">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val="0"/>
                      <w:bCs/>
                      <w:color w:val="auto"/>
                      <w:highlight w:val="none"/>
                      <w:lang w:val="zh-CN" w:eastAsia="zh-CN"/>
                    </w:rPr>
                  </w:pPr>
                  <w:r>
                    <w:rPr>
                      <w:rFonts w:hint="eastAsia"/>
                      <w:b w:val="0"/>
                      <w:bCs/>
                      <w:color w:val="auto"/>
                      <w:highlight w:val="none"/>
                      <w:lang w:val="zh-CN" w:eastAsia="zh-CN"/>
                    </w:rPr>
                    <w:t>催化燃烧式</w:t>
                  </w:r>
                </w:p>
              </w:tc>
              <w:tc>
                <w:tcPr>
                  <w:tcW w:w="805" w:type="pct"/>
                  <w:noWrap w:val="0"/>
                  <w:vAlign w:val="center"/>
                </w:tcPr>
                <w:p w14:paraId="79943294">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rFonts w:hint="default"/>
                      <w:b w:val="0"/>
                      <w:bCs/>
                      <w:color w:val="auto"/>
                      <w:highlight w:val="none"/>
                      <w:lang w:val="en-US" w:eastAsia="zh-CN"/>
                    </w:rPr>
                  </w:pPr>
                  <w:r>
                    <w:rPr>
                      <w:rFonts w:hint="eastAsia"/>
                      <w:b w:val="0"/>
                      <w:bCs/>
                      <w:color w:val="auto"/>
                      <w:highlight w:val="none"/>
                      <w:lang w:val="en-US" w:eastAsia="zh-CN"/>
                    </w:rPr>
                    <w:t>释放源上方集气罩内</w:t>
                  </w:r>
                </w:p>
              </w:tc>
              <w:tc>
                <w:tcPr>
                  <w:tcW w:w="490" w:type="pct"/>
                  <w:noWrap w:val="0"/>
                  <w:tcMar>
                    <w:top w:w="57" w:type="dxa"/>
                    <w:left w:w="85" w:type="dxa"/>
                    <w:bottom w:w="57" w:type="dxa"/>
                    <w:right w:w="85" w:type="dxa"/>
                  </w:tcMar>
                  <w:vAlign w:val="center"/>
                </w:tcPr>
                <w:p w14:paraId="18D3F0AD">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b w:val="0"/>
                      <w:bCs/>
                      <w:color w:val="auto"/>
                      <w:highlight w:val="none"/>
                      <w:lang w:val="en-US" w:eastAsia="zh-CN"/>
                    </w:rPr>
                  </w:pPr>
                  <w:r>
                    <w:rPr>
                      <w:rFonts w:hint="eastAsia"/>
                      <w:b w:val="0"/>
                      <w:bCs/>
                      <w:color w:val="auto"/>
                      <w:highlight w:val="none"/>
                      <w:lang w:val="en-US" w:eastAsia="zh-CN"/>
                    </w:rPr>
                    <w:t>10台</w:t>
                  </w:r>
                </w:p>
              </w:tc>
              <w:tc>
                <w:tcPr>
                  <w:tcW w:w="720" w:type="pct"/>
                  <w:noWrap w:val="0"/>
                  <w:tcMar>
                    <w:top w:w="57" w:type="dxa"/>
                    <w:left w:w="85" w:type="dxa"/>
                    <w:bottom w:w="57" w:type="dxa"/>
                    <w:right w:w="85" w:type="dxa"/>
                  </w:tcMar>
                  <w:vAlign w:val="center"/>
                </w:tcPr>
                <w:p w14:paraId="369076A7">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rFonts w:hint="default"/>
                      <w:b w:val="0"/>
                      <w:bCs/>
                      <w:color w:val="auto"/>
                      <w:highlight w:val="none"/>
                      <w:lang w:val="en-US" w:eastAsia="zh-CN"/>
                    </w:rPr>
                  </w:pPr>
                  <w:r>
                    <w:rPr>
                      <w:rFonts w:hint="eastAsia"/>
                      <w:b w:val="0"/>
                      <w:bCs/>
                      <w:color w:val="auto"/>
                      <w:highlight w:val="none"/>
                      <w:lang w:val="en-US" w:eastAsia="zh-CN"/>
                    </w:rPr>
                    <w:t>25</w:t>
                  </w:r>
                </w:p>
              </w:tc>
              <w:tc>
                <w:tcPr>
                  <w:tcW w:w="785" w:type="pct"/>
                  <w:tcBorders>
                    <w:right w:val="nil"/>
                  </w:tcBorders>
                  <w:noWrap w:val="0"/>
                  <w:vAlign w:val="center"/>
                </w:tcPr>
                <w:p w14:paraId="3D9B3712">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textAlignment w:val="auto"/>
                    <w:rPr>
                      <w:rFonts w:hint="default"/>
                      <w:b w:val="0"/>
                      <w:bCs/>
                      <w:color w:val="auto"/>
                      <w:highlight w:val="none"/>
                      <w:lang w:val="en-US" w:eastAsia="zh-CN"/>
                    </w:rPr>
                  </w:pPr>
                  <w:r>
                    <w:rPr>
                      <w:rFonts w:hint="eastAsia"/>
                      <w:b w:val="0"/>
                      <w:bCs/>
                      <w:color w:val="auto"/>
                      <w:highlight w:val="none"/>
                      <w:lang w:val="en-US" w:eastAsia="zh-CN"/>
                    </w:rPr>
                    <w:t>50</w:t>
                  </w:r>
                </w:p>
              </w:tc>
            </w:tr>
            <w:tr w14:paraId="45F61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5000" w:type="pct"/>
                  <w:gridSpan w:val="7"/>
                  <w:tcBorders>
                    <w:left w:val="nil"/>
                    <w:bottom w:val="single" w:color="000000" w:sz="12" w:space="0"/>
                    <w:right w:val="nil"/>
                  </w:tcBorders>
                  <w:noWrap w:val="0"/>
                  <w:vAlign w:val="center"/>
                </w:tcPr>
                <w:p w14:paraId="23486E06">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jc w:val="left"/>
                    <w:textAlignment w:val="auto"/>
                    <w:rPr>
                      <w:rFonts w:hint="eastAsia"/>
                      <w:b w:val="0"/>
                      <w:bCs/>
                      <w:color w:val="auto"/>
                      <w:highlight w:val="none"/>
                      <w:lang w:val="en-US" w:eastAsia="zh-CN"/>
                    </w:rPr>
                  </w:pPr>
                  <w:r>
                    <w:rPr>
                      <w:rFonts w:hint="eastAsia"/>
                      <w:b w:val="0"/>
                      <w:bCs/>
                      <w:color w:val="auto"/>
                      <w:highlight w:val="none"/>
                      <w:lang w:val="en-US" w:eastAsia="zh-CN"/>
                    </w:rPr>
                    <w:t>注1：当气源为相对密度小于1的燃气（天然气）且释放源距顶棚垂直距离超过4m时，设置集气罩，并符合下列规定：当设置集气罩时，集气罩面积不得小于1m，裙边高度不得小于0.1m，且探测器设于集气罩内。</w:t>
                  </w:r>
                </w:p>
                <w:p w14:paraId="7F42B7FF">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jc w:val="left"/>
                    <w:textAlignment w:val="auto"/>
                    <w:rPr>
                      <w:rFonts w:hint="eastAsia"/>
                      <w:b w:val="0"/>
                      <w:bCs/>
                      <w:color w:val="auto"/>
                      <w:highlight w:val="none"/>
                      <w:lang w:val="en-US" w:eastAsia="zh-CN"/>
                    </w:rPr>
                  </w:pPr>
                  <w:r>
                    <w:rPr>
                      <w:rFonts w:hint="eastAsia"/>
                      <w:b w:val="0"/>
                      <w:bCs/>
                      <w:color w:val="auto"/>
                      <w:highlight w:val="none"/>
                      <w:lang w:val="en-US" w:eastAsia="zh-CN"/>
                    </w:rPr>
                    <w:t>注2：气体检测报警单元设现场报警及值班室（厂区大门处门卫）报警，报警信号传送至有人值班场所，气体探测器安装在无电磁干扰处。</w:t>
                  </w:r>
                </w:p>
                <w:p w14:paraId="7087F601">
                  <w:pPr>
                    <w:pStyle w:val="74"/>
                    <w:keepNext w:val="0"/>
                    <w:keepLines w:val="0"/>
                    <w:pageBreakBefore w:val="0"/>
                    <w:widowControl/>
                    <w:shd w:val="clear"/>
                    <w:kinsoku/>
                    <w:wordWrap/>
                    <w:overflowPunct/>
                    <w:topLinePunct w:val="0"/>
                    <w:autoSpaceDE/>
                    <w:autoSpaceDN/>
                    <w:bidi w:val="0"/>
                    <w:adjustRightInd/>
                    <w:snapToGrid/>
                    <w:spacing w:before="0" w:after="0" w:line="240" w:lineRule="exact"/>
                    <w:ind w:right="0" w:firstLine="0" w:firstLineChars="0"/>
                    <w:jc w:val="left"/>
                    <w:textAlignment w:val="auto"/>
                    <w:rPr>
                      <w:rFonts w:hint="eastAsia"/>
                      <w:color w:val="auto"/>
                      <w:highlight w:val="none"/>
                      <w:lang w:val="en-US" w:eastAsia="zh-CN"/>
                    </w:rPr>
                  </w:pPr>
                  <w:r>
                    <w:rPr>
                      <w:rFonts w:hint="eastAsia"/>
                      <w:b w:val="0"/>
                      <w:bCs/>
                      <w:color w:val="auto"/>
                      <w:highlight w:val="none"/>
                      <w:lang w:val="en-US" w:eastAsia="zh-CN"/>
                    </w:rPr>
                    <w:t>注3：区域报警器的报警信号声级高于110dBA，且距报警器1m处总声压值不得高于120dBA；采用独立设置的以微处理器为基础的电子产品，且具有记录可燃气体报警时间，且日记时误差不超过30s；报警器安装在气体探测器其所在的报警区域，安装高度高于现场区域地面2.2m，且位于工作人员易察觉地点。</w:t>
                  </w:r>
                </w:p>
              </w:tc>
            </w:tr>
          </w:tbl>
          <w:p w14:paraId="30E76182">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④环保设施风险防范措施</w:t>
            </w:r>
          </w:p>
          <w:p w14:paraId="5026C183">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加强废气处理设施的维护保养，及时发现处理设备的隐患，并及时进行维修，确保废气处理系统正常运行；配置必要的监测仪器，对管理人员和技术人员进行岗位培训，对废气处理实行全过程跟踪控制。</w:t>
            </w:r>
          </w:p>
          <w:p w14:paraId="26DED0DE">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二级活性炭吸附箱需增加防火阀、应急降温、泄压设施等要求。</w:t>
            </w:r>
          </w:p>
          <w:p w14:paraId="5DA21A00">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⑤建立安全环保联动机制</w:t>
            </w:r>
          </w:p>
          <w:p w14:paraId="7886285C">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根据《做好生态环境和应急管理部门联动工作的意见》（苏环办〔2020〕101号），建设单位须加强环境风险管控，开展内部污染防治设施安全风险辨识，健全污染防治设施稳定运行和管理责任制度，确保环境治理设施安全、稳定、有效运行。</w:t>
            </w:r>
          </w:p>
          <w:p w14:paraId="3B01B7DA">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⑥少</w:t>
            </w:r>
            <w:r>
              <w:rPr>
                <w:rFonts w:ascii="Times New Roman" w:hAnsi="Times New Roman" w:eastAsia="宋体" w:cs="宋体"/>
                <w:color w:val="auto"/>
                <w:sz w:val="24"/>
                <w:highlight w:val="none"/>
              </w:rPr>
              <w:t>量泄漏：尽可能采用不产生冲击、静电火花的工具进行泄漏物的回收，将泄漏物收集在密闭容器内，用砂土、活性炭或其</w:t>
            </w:r>
            <w:r>
              <w:rPr>
                <w:rFonts w:hint="eastAsia" w:ascii="Times New Roman" w:hAnsi="Times New Roman" w:eastAsia="宋体" w:cs="宋体"/>
                <w:color w:val="auto"/>
                <w:sz w:val="24"/>
                <w:highlight w:val="none"/>
              </w:rPr>
              <w:t>他</w:t>
            </w:r>
            <w:r>
              <w:rPr>
                <w:rFonts w:ascii="Times New Roman" w:hAnsi="Times New Roman" w:eastAsia="宋体" w:cs="宋体"/>
                <w:color w:val="auto"/>
                <w:sz w:val="24"/>
                <w:highlight w:val="none"/>
              </w:rPr>
              <w:t>惰性材料吸收</w:t>
            </w:r>
            <w:r>
              <w:rPr>
                <w:rFonts w:hint="eastAsia" w:ascii="Times New Roman" w:hAnsi="Times New Roman" w:eastAsia="宋体" w:cs="宋体"/>
                <w:color w:val="auto"/>
                <w:sz w:val="24"/>
                <w:highlight w:val="none"/>
              </w:rPr>
              <w:t>残液</w:t>
            </w:r>
            <w:r>
              <w:rPr>
                <w:rFonts w:ascii="Times New Roman" w:hAnsi="Times New Roman" w:eastAsia="宋体" w:cs="宋体"/>
                <w:color w:val="auto"/>
                <w:sz w:val="24"/>
                <w:highlight w:val="none"/>
              </w:rPr>
              <w:t>，也可以用不燃性分散剂制成的乳液刷洗。</w:t>
            </w:r>
          </w:p>
          <w:p w14:paraId="27F2F5C9">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大量泄漏：用泡沫覆盖，降低蒸汽灾害。喷雾状水冷却和稀释蒸汽，保护现场人员。用防爆泵转移至槽车或专用收集器内，回收或运至废物处理场所处理。</w:t>
            </w:r>
          </w:p>
          <w:p w14:paraId="504C58C6">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当发生较大火灾、爆炸、泄漏等事件时，产生的大量消防废水等若处理不及时或处理措施采取不当，危险化学品极有可能随着消防废水通过雨水管网进入外界水环境。为此，设置事故池是预防环境风险所必须采取的应急设施之一。</w:t>
            </w:r>
          </w:p>
          <w:p w14:paraId="3547FE5B">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事故储存设施总有效容积计算公式：</w:t>
            </w:r>
          </w:p>
          <w:p w14:paraId="4C5D4126">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Va=(V1+V2-V3)max+V4+V5</w:t>
            </w:r>
          </w:p>
          <w:p w14:paraId="22BFF8CC">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[注：</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V1+V2-V3)max是指对收集系统范围内不同罐组或装置分别计算V1+V2-V3，取其中最大值。]</w:t>
            </w:r>
          </w:p>
          <w:p w14:paraId="00E20FA4">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Va：事故应急池容积，m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w:t>
            </w:r>
          </w:p>
          <w:p w14:paraId="07D3BEA6">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V1：事故一个罐或一个装置物料量，m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；本项目不涉及储罐</w:t>
            </w:r>
            <w:r>
              <w:rPr>
                <w:rFonts w:hint="eastAsia" w:ascii="Times New Roman" w:hAnsi="Times New Roman" w:eastAsia="宋体" w:cs="宋体"/>
                <w:color w:val="auto"/>
                <w:sz w:val="24"/>
                <w:highlight w:val="none"/>
              </w:rPr>
              <w:t>，最大装置物料为液压油桶，</w:t>
            </w:r>
            <w:r>
              <w:rPr>
                <w:rFonts w:ascii="Times New Roman" w:hAnsi="Times New Roman" w:eastAsia="宋体" w:cs="宋体"/>
                <w:color w:val="auto"/>
                <w:sz w:val="24"/>
                <w:highlight w:val="none"/>
              </w:rPr>
              <w:t>取</w:t>
            </w:r>
            <w:r>
              <w:rPr>
                <w:rFonts w:hint="eastAsia" w:ascii="Times New Roman" w:hAnsi="Times New Roman" w:eastAsia="宋体" w:cs="宋体"/>
                <w:color w:val="auto"/>
                <w:sz w:val="24"/>
                <w:highlight w:val="none"/>
              </w:rPr>
              <w:t>0.17。</w:t>
            </w:r>
          </w:p>
          <w:p w14:paraId="0DEC8C92">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V2：事故状态下最大消防水量，m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；根据《建筑设计防火规范》（GB50016-201</w:t>
            </w:r>
            <w:r>
              <w:rPr>
                <w:rFonts w:hint="eastAsia" w:cs="宋体"/>
                <w:color w:val="auto"/>
                <w:sz w:val="24"/>
                <w:highlight w:val="none"/>
                <w:lang w:val="en-US" w:eastAsia="zh-CN"/>
              </w:rPr>
              <w:t>4</w:t>
            </w:r>
            <w:r>
              <w:rPr>
                <w:rFonts w:ascii="Times New Roman" w:hAnsi="Times New Roman" w:eastAsia="宋体" w:cs="宋体"/>
                <w:color w:val="auto"/>
                <w:sz w:val="24"/>
                <w:highlight w:val="none"/>
              </w:rPr>
              <w:t>）</w:t>
            </w:r>
            <w:r>
              <w:rPr>
                <w:rFonts w:hint="eastAsia" w:cs="宋体"/>
                <w:color w:val="auto"/>
                <w:sz w:val="24"/>
                <w:highlight w:val="none"/>
                <w:lang w:eastAsia="zh-CN"/>
              </w:rPr>
              <w:t>（</w:t>
            </w:r>
            <w:r>
              <w:rPr>
                <w:rFonts w:hint="eastAsia" w:cs="宋体"/>
                <w:color w:val="auto"/>
                <w:sz w:val="24"/>
                <w:highlight w:val="none"/>
                <w:lang w:val="en-US" w:eastAsia="zh-CN"/>
              </w:rPr>
              <w:t>2018年修订</w:t>
            </w:r>
            <w:r>
              <w:rPr>
                <w:rFonts w:hint="eastAsia" w:cs="宋体"/>
                <w:color w:val="auto"/>
                <w:sz w:val="24"/>
                <w:highlight w:val="none"/>
                <w:lang w:eastAsia="zh-CN"/>
              </w:rPr>
              <w:t>）</w:t>
            </w:r>
            <w:r>
              <w:rPr>
                <w:rFonts w:ascii="Times New Roman" w:hAnsi="Times New Roman" w:eastAsia="宋体" w:cs="宋体"/>
                <w:color w:val="auto"/>
                <w:sz w:val="24"/>
                <w:highlight w:val="none"/>
              </w:rPr>
              <w:t>及《消防给水及消火栓系统技术规范》（GB50974-2014）第3.5.2条，室内消火栓用水量为10L/s，同一时间内的火灾次数按1次考虑，根据《消防给水及消火栓系统技术规范》（GB50974-2014）的第3.6.2条，火灾延续时间以</w:t>
            </w:r>
            <w:r>
              <w:rPr>
                <w:rFonts w:hint="eastAsia" w:ascii="Times New Roman" w:hAnsi="Times New Roman" w:eastAsia="宋体" w:cs="宋体"/>
                <w:color w:val="auto"/>
                <w:sz w:val="24"/>
                <w:highlight w:val="none"/>
              </w:rPr>
              <w:t>2</w:t>
            </w:r>
            <w:r>
              <w:rPr>
                <w:rFonts w:ascii="Times New Roman" w:hAnsi="Times New Roman" w:eastAsia="宋体" w:cs="宋体"/>
                <w:color w:val="auto"/>
                <w:sz w:val="24"/>
                <w:highlight w:val="none"/>
              </w:rPr>
              <w:t>h计，则消防水量为V2=0.01×3600×</w:t>
            </w:r>
            <w:r>
              <w:rPr>
                <w:rFonts w:hint="eastAsia" w:ascii="Times New Roman" w:hAnsi="Times New Roman" w:eastAsia="宋体" w:cs="宋体"/>
                <w:color w:val="auto"/>
                <w:sz w:val="24"/>
                <w:highlight w:val="none"/>
              </w:rPr>
              <w:t>1</w:t>
            </w:r>
            <w:r>
              <w:rPr>
                <w:rFonts w:ascii="Times New Roman" w:hAnsi="Times New Roman" w:eastAsia="宋体" w:cs="宋体"/>
                <w:color w:val="auto"/>
                <w:sz w:val="24"/>
                <w:highlight w:val="none"/>
              </w:rPr>
              <w:t>=</w:t>
            </w:r>
            <w:r>
              <w:rPr>
                <w:rFonts w:hint="eastAsia" w:ascii="Times New Roman" w:hAnsi="Times New Roman" w:eastAsia="宋体" w:cs="宋体"/>
                <w:color w:val="auto"/>
                <w:sz w:val="24"/>
                <w:highlight w:val="none"/>
              </w:rPr>
              <w:t>72</w:t>
            </w:r>
            <w:r>
              <w:rPr>
                <w:rFonts w:ascii="Times New Roman" w:hAnsi="Times New Roman" w:eastAsia="宋体" w:cs="宋体"/>
                <w:color w:val="auto"/>
                <w:sz w:val="24"/>
                <w:highlight w:val="none"/>
              </w:rPr>
              <w:t>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w:t>
            </w:r>
          </w:p>
          <w:p w14:paraId="194BC7C1">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V3：事故时可以转输到其它储存或处理设施的物料量，m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；厂区无可储存设施，取0m</w:t>
            </w:r>
            <w:r>
              <w:rPr>
                <w:rFonts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w:t>
            </w:r>
          </w:p>
          <w:p w14:paraId="348D4CDD">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V4：发生事故时必须进入该收集系统的生产废水量，m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；本项目发生事故时无生产废水进入该系统</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取0m</w:t>
            </w:r>
            <w:r>
              <w:rPr>
                <w:rFonts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w:t>
            </w:r>
          </w:p>
          <w:p w14:paraId="4324ADF9">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V5：发生事故时可能进入该收集系统的降雨量，m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；V5=10qF</w:t>
            </w:r>
            <w:r>
              <w:rPr>
                <w:rFonts w:hint="eastAsia" w:ascii="Times New Roman" w:hAnsi="Times New Roman" w:eastAsia="宋体" w:cs="宋体"/>
                <w:color w:val="auto"/>
                <w:sz w:val="24"/>
                <w:highlight w:val="none"/>
              </w:rPr>
              <w:t>。</w:t>
            </w:r>
          </w:p>
          <w:p w14:paraId="558C649D">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q：降雨强度，mm</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按平均日降雨量；q=qa/n</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qa：年平均降雨量，取1106.7mm</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n：年平均降雨日数，取120天</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则</w:t>
            </w:r>
            <w:r>
              <w:rPr>
                <w:rFonts w:hint="eastAsia" w:ascii="Times New Roman" w:hAnsi="Times New Roman" w:eastAsia="宋体" w:cs="宋体"/>
                <w:color w:val="auto"/>
                <w:sz w:val="24"/>
                <w:highlight w:val="none"/>
              </w:rPr>
              <w:t>q=1106.7/120=9.22mm。</w:t>
            </w:r>
          </w:p>
          <w:p w14:paraId="7220B6CA">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F：必须进入事故废水收集系统的雨水汇水面积ha</w:t>
            </w:r>
            <w:r>
              <w:rPr>
                <w:rFonts w:hint="eastAsia" w:ascii="Times New Roman" w:hAnsi="Times New Roman" w:eastAsia="宋体" w:cs="宋体"/>
                <w:color w:val="auto"/>
                <w:sz w:val="24"/>
                <w:highlight w:val="none"/>
              </w:rPr>
              <w:t>；</w:t>
            </w:r>
            <w:r>
              <w:rPr>
                <w:rFonts w:ascii="Times New Roman" w:hAnsi="Times New Roman" w:eastAsia="宋体" w:cs="宋体"/>
                <w:color w:val="auto"/>
                <w:sz w:val="24"/>
                <w:highlight w:val="none"/>
              </w:rPr>
              <w:t>本项目生产设施全部位于标准化车间内，仅考虑道路汇水面积</w:t>
            </w:r>
            <w:r>
              <w:rPr>
                <w:rFonts w:hint="eastAsia" w:ascii="Times New Roman" w:hAnsi="Times New Roman" w:eastAsia="宋体" w:cs="宋体"/>
                <w:color w:val="auto"/>
                <w:sz w:val="24"/>
                <w:highlight w:val="none"/>
              </w:rPr>
              <w:t>1000</w:t>
            </w:r>
            <w:r>
              <w:rPr>
                <w:rFonts w:ascii="Times New Roman" w:hAnsi="Times New Roman" w:eastAsia="宋体" w:cs="宋体"/>
                <w:color w:val="auto"/>
                <w:sz w:val="24"/>
                <w:highlight w:val="none"/>
              </w:rPr>
              <w:t>m</w:t>
            </w:r>
            <w:r>
              <w:rPr>
                <w:rFonts w:ascii="Times New Roman" w:hAnsi="Times New Roman" w:eastAsia="宋体" w:cs="宋体"/>
                <w:color w:val="auto"/>
                <w:sz w:val="24"/>
                <w:highlight w:val="none"/>
                <w:vertAlign w:val="superscript"/>
              </w:rPr>
              <w:t>2</w:t>
            </w:r>
            <w:r>
              <w:rPr>
                <w:rFonts w:ascii="Times New Roman" w:hAnsi="Times New Roman" w:eastAsia="宋体" w:cs="宋体"/>
                <w:color w:val="auto"/>
                <w:sz w:val="24"/>
                <w:highlight w:val="none"/>
              </w:rPr>
              <w:t>，即</w:t>
            </w:r>
            <w:r>
              <w:rPr>
                <w:rFonts w:hint="eastAsia" w:ascii="Times New Roman" w:hAnsi="Times New Roman" w:eastAsia="宋体" w:cs="宋体"/>
                <w:color w:val="auto"/>
                <w:sz w:val="24"/>
                <w:highlight w:val="none"/>
              </w:rPr>
              <w:t>0.1ha。</w:t>
            </w:r>
          </w:p>
          <w:p w14:paraId="231743D6">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则V5=10*9.22*0.1=9.22m</w:t>
            </w:r>
            <w:r>
              <w:rPr>
                <w:rFonts w:hint="eastAsia" w:ascii="Times New Roman" w:hAnsi="Times New Roman" w:eastAsia="宋体" w:cs="宋体"/>
                <w:color w:val="auto"/>
                <w:sz w:val="24"/>
                <w:highlight w:val="none"/>
                <w:vertAlign w:val="superscript"/>
              </w:rPr>
              <w:t>3</w:t>
            </w:r>
            <w:r>
              <w:rPr>
                <w:rFonts w:hint="eastAsia" w:ascii="Times New Roman" w:hAnsi="Times New Roman" w:eastAsia="宋体" w:cs="宋体"/>
                <w:color w:val="auto"/>
                <w:sz w:val="24"/>
                <w:highlight w:val="none"/>
              </w:rPr>
              <w:t>。</w:t>
            </w:r>
          </w:p>
          <w:p w14:paraId="391D9A92">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综上所述，本项目事故废水池容积应不小于</w:t>
            </w:r>
            <w:r>
              <w:rPr>
                <w:rFonts w:hint="eastAsia" w:ascii="Times New Roman" w:hAnsi="Times New Roman" w:eastAsia="宋体" w:cs="宋体"/>
                <w:color w:val="auto"/>
                <w:sz w:val="24"/>
                <w:highlight w:val="none"/>
              </w:rPr>
              <w:t>0.17+72-0+0+9.22=81.39</w:t>
            </w:r>
            <w:r>
              <w:rPr>
                <w:rFonts w:ascii="Times New Roman" w:hAnsi="Times New Roman" w:eastAsia="宋体" w:cs="宋体"/>
                <w:color w:val="auto"/>
                <w:sz w:val="24"/>
                <w:highlight w:val="none"/>
              </w:rPr>
              <w:t>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。本项目</w:t>
            </w:r>
            <w:r>
              <w:rPr>
                <w:rFonts w:hint="eastAsia" w:cs="宋体"/>
                <w:color w:val="auto"/>
                <w:sz w:val="24"/>
                <w:highlight w:val="none"/>
                <w:lang w:val="en-US" w:eastAsia="zh-CN"/>
              </w:rPr>
              <w:t>建设单位已</w:t>
            </w:r>
            <w:r>
              <w:rPr>
                <w:rFonts w:ascii="Times New Roman" w:hAnsi="Times New Roman" w:eastAsia="宋体" w:cs="宋体"/>
                <w:color w:val="auto"/>
                <w:sz w:val="24"/>
                <w:highlight w:val="none"/>
              </w:rPr>
              <w:t>设置一个</w:t>
            </w:r>
            <w:r>
              <w:rPr>
                <w:rFonts w:hint="eastAsia" w:ascii="Times New Roman" w:hAnsi="Times New Roman" w:eastAsia="宋体" w:cs="宋体"/>
                <w:color w:val="auto"/>
                <w:sz w:val="24"/>
                <w:highlight w:val="none"/>
              </w:rPr>
              <w:t>85</w:t>
            </w:r>
            <w:r>
              <w:rPr>
                <w:rFonts w:ascii="Times New Roman" w:hAnsi="Times New Roman" w:eastAsia="宋体" w:cs="宋体"/>
                <w:color w:val="auto"/>
                <w:sz w:val="24"/>
                <w:highlight w:val="none"/>
              </w:rPr>
              <w:t>m</w:t>
            </w:r>
            <w:r>
              <w:rPr>
                <w:rFonts w:ascii="Times New Roman" w:hAnsi="Times New Roman" w:eastAsia="宋体" w:cs="宋体"/>
                <w:color w:val="auto"/>
                <w:sz w:val="24"/>
                <w:highlight w:val="none"/>
                <w:vertAlign w:val="superscript"/>
              </w:rPr>
              <w:t>3</w:t>
            </w:r>
            <w:r>
              <w:rPr>
                <w:rFonts w:ascii="Times New Roman" w:hAnsi="Times New Roman" w:eastAsia="宋体" w:cs="宋体"/>
                <w:color w:val="auto"/>
                <w:sz w:val="24"/>
                <w:highlight w:val="none"/>
              </w:rPr>
              <w:t>的应急池，能够满足事故状态下事故废水的收集，并配备与雨水口相连通的应急管线等应急措施，确保事故时的消防废水能进入该水池储存，不排入外环境。</w:t>
            </w:r>
          </w:p>
          <w:p w14:paraId="547F0406">
            <w:pPr>
              <w:spacing w:line="360" w:lineRule="auto"/>
              <w:ind w:firstLine="480" w:firstLineChars="200"/>
              <w:rPr>
                <w:rFonts w:ascii="Times New Roman" w:hAnsi="Times New Roman" w:eastAsia="宋体" w:cs="宋体"/>
                <w:color w:val="auto"/>
                <w:sz w:val="24"/>
                <w:highlight w:val="none"/>
              </w:rPr>
            </w:pPr>
            <w:r>
              <w:rPr>
                <w:rFonts w:ascii="Times New Roman" w:hAnsi="Times New Roman" w:eastAsia="宋体" w:cs="宋体"/>
                <w:color w:val="auto"/>
                <w:sz w:val="24"/>
                <w:highlight w:val="none"/>
              </w:rPr>
              <w:t>突发环境事件应急预案风险应急计划企业可委托有资质单位编制突发环境事件应急预案，并按规定报县级以上生态环境主管部门备案。</w:t>
            </w:r>
          </w:p>
          <w:p w14:paraId="42D18C34">
            <w:pPr>
              <w:spacing w:line="360" w:lineRule="auto"/>
              <w:ind w:firstLine="482" w:firstLineChars="200"/>
              <w:rPr>
                <w:b/>
                <w:bCs/>
                <w:color w:val="auto"/>
                <w:sz w:val="24"/>
              </w:rPr>
            </w:pPr>
            <w:r>
              <w:rPr>
                <w:rFonts w:ascii="宋体" w:hAnsi="宋体" w:cs="宋体"/>
                <w:b/>
                <w:bCs/>
                <w:color w:val="auto"/>
                <w:sz w:val="24"/>
              </w:rPr>
              <w:t>事故废水环境风险防范措施</w:t>
            </w:r>
          </w:p>
          <w:p w14:paraId="4126B8D5">
            <w:pPr>
              <w:spacing w:line="360" w:lineRule="auto"/>
              <w:ind w:firstLine="480" w:firstLineChars="200"/>
              <w:rPr>
                <w:color w:val="auto"/>
                <w:sz w:val="24"/>
              </w:rPr>
            </w:pPr>
            <w:r>
              <w:rPr>
                <w:rFonts w:hint="eastAsia"/>
                <w:color w:val="auto"/>
                <w:sz w:val="24"/>
              </w:rPr>
              <w:t>采取“单元-厂区-园区/区域”的三级防控措施来杜绝环境风险事故对环境的造成污染事件，将环境风险事故排水及污染物控制在厂区内，环境风险事故排水及污染物控制在排水系统事故池内。一级防控措施将污染物控制在生产/仓储区；二级防控将污染物控制在厂区事故应急池；三级防控是与区域环境风险防范措施联动，防止事故废水污染外环境。</w:t>
            </w:r>
          </w:p>
          <w:p w14:paraId="54EEC1FF">
            <w:pPr>
              <w:spacing w:line="360" w:lineRule="auto"/>
              <w:ind w:firstLine="480" w:firstLineChars="200"/>
              <w:rPr>
                <w:color w:val="auto"/>
                <w:sz w:val="24"/>
              </w:rPr>
            </w:pPr>
            <w:r>
              <w:rPr>
                <w:rFonts w:hint="eastAsia"/>
                <w:color w:val="auto"/>
                <w:sz w:val="24"/>
              </w:rPr>
              <w:t>1）一级防控措施</w:t>
            </w:r>
          </w:p>
          <w:p w14:paraId="25FFB69C">
            <w:pPr>
              <w:spacing w:line="360" w:lineRule="auto"/>
              <w:ind w:firstLine="480" w:firstLineChars="200"/>
              <w:rPr>
                <w:color w:val="auto"/>
                <w:sz w:val="24"/>
              </w:rPr>
            </w:pPr>
            <w:r>
              <w:rPr>
                <w:rFonts w:hint="eastAsia"/>
                <w:color w:val="auto"/>
                <w:sz w:val="24"/>
              </w:rPr>
              <w:t>一级防控措施是设置在生产车间（含固废来料仓库、次生固废仓库），构筑生产过程中环境安全的第一层防控网，使泄漏物料转移到容器或隋性吸附物料中，将泄漏物料控制在生产车间、固废来料仓库、次生固废仓库内部，防止污染雨水和轻微事故泄漏造成的环境污染。</w:t>
            </w:r>
          </w:p>
          <w:p w14:paraId="70505926">
            <w:pPr>
              <w:spacing w:line="360" w:lineRule="auto"/>
              <w:ind w:firstLine="480" w:firstLineChars="200"/>
              <w:rPr>
                <w:color w:val="auto"/>
                <w:sz w:val="24"/>
              </w:rPr>
            </w:pPr>
            <w:r>
              <w:rPr>
                <w:color w:val="auto"/>
                <w:sz w:val="24"/>
              </w:rPr>
              <w:t>2）二级防控措施</w:t>
            </w:r>
          </w:p>
          <w:p w14:paraId="23E47D30">
            <w:pPr>
              <w:spacing w:line="360" w:lineRule="auto"/>
              <w:ind w:firstLine="480" w:firstLineChars="200"/>
              <w:rPr>
                <w:color w:val="auto"/>
                <w:sz w:val="24"/>
              </w:rPr>
            </w:pPr>
            <w:r>
              <w:rPr>
                <w:color w:val="auto"/>
                <w:sz w:val="24"/>
              </w:rPr>
              <w:t>厂区设置</w:t>
            </w:r>
            <w:r>
              <w:rPr>
                <w:rFonts w:hint="eastAsia"/>
                <w:color w:val="auto"/>
                <w:sz w:val="24"/>
                <w:lang w:val="en-US" w:eastAsia="zh-CN"/>
              </w:rPr>
              <w:t>85</w:t>
            </w:r>
            <w:r>
              <w:rPr>
                <w:rFonts w:hint="eastAsia"/>
                <w:color w:val="auto"/>
                <w:sz w:val="24"/>
              </w:rPr>
              <w:t>m</w:t>
            </w:r>
            <w:r>
              <w:rPr>
                <w:rFonts w:hint="eastAsia"/>
                <w:color w:val="auto"/>
                <w:sz w:val="24"/>
                <w:vertAlign w:val="superscript"/>
              </w:rPr>
              <w:t>3</w:t>
            </w:r>
            <w:r>
              <w:rPr>
                <w:rFonts w:hint="eastAsia"/>
                <w:color w:val="auto"/>
                <w:sz w:val="24"/>
              </w:rPr>
              <w:t>的应急事故池</w:t>
            </w:r>
            <w:r>
              <w:rPr>
                <w:color w:val="auto"/>
                <w:sz w:val="24"/>
              </w:rPr>
              <w:t>，配备应急泵、输送设施。事故状态下，关闭污水外排口和雨水外排口的阀门，将事故废水收集至事故应急设施内，杜绝以任何形式进入园区污水管网和雨水管网，造成环境污染。</w:t>
            </w:r>
          </w:p>
          <w:p w14:paraId="743D6EB7">
            <w:pPr>
              <w:spacing w:line="360" w:lineRule="auto"/>
              <w:ind w:firstLine="480" w:firstLineChars="200"/>
              <w:rPr>
                <w:color w:val="auto"/>
                <w:sz w:val="24"/>
              </w:rPr>
            </w:pPr>
            <w:r>
              <w:rPr>
                <w:color w:val="auto"/>
                <w:sz w:val="24"/>
              </w:rPr>
              <w:t>3）三级防控措施</w:t>
            </w:r>
          </w:p>
          <w:p w14:paraId="5498DD12">
            <w:pPr>
              <w:spacing w:line="360" w:lineRule="auto"/>
              <w:ind w:firstLine="480" w:firstLineChars="200"/>
              <w:rPr>
                <w:color w:val="auto"/>
                <w:sz w:val="24"/>
              </w:rPr>
            </w:pPr>
            <w:r>
              <w:rPr>
                <w:color w:val="auto"/>
                <w:sz w:val="24"/>
              </w:rPr>
              <w:t>在进入附近水体的总排放口前设置切断截流措施，将污染物控制在一个区域内，防止重大事故泄漏物料和受污染的消防废水造成地表水污染。</w:t>
            </w:r>
          </w:p>
          <w:p w14:paraId="537700C8">
            <w:pPr>
              <w:spacing w:line="360" w:lineRule="auto"/>
              <w:ind w:firstLine="480" w:firstLineChars="200"/>
              <w:rPr>
                <w:rFonts w:cs="宋体"/>
                <w:color w:val="auto"/>
                <w:sz w:val="24"/>
              </w:rPr>
            </w:pPr>
            <w:r>
              <w:rPr>
                <w:color w:val="auto"/>
                <w:sz w:val="24"/>
              </w:rPr>
              <w:t>三级防控体系能确保事故状态下的泄漏物料、消防废水等全部处于受控状态，实现对事故废水源头、过程和终端的预防和控制，使环境风险可控，对厂区外界环境造成的影响较小。</w:t>
            </w:r>
          </w:p>
          <w:p w14:paraId="0326B7FB">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（6）分析结论</w:t>
            </w:r>
          </w:p>
          <w:p w14:paraId="202D369D">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sz w:val="24"/>
                <w:highlight w:val="none"/>
              </w:rPr>
              <w:t>综上，本项目风险潜势为I，环境风险影响较小，通过采取风险防治措施，可有效降低事故发生概率，对外环境造成环境可接受。因此，本项目的环境风险可防控。</w:t>
            </w:r>
          </w:p>
          <w:p w14:paraId="02666CFD">
            <w:pPr>
              <w:tabs>
                <w:tab w:val="left" w:pos="960"/>
              </w:tabs>
              <w:spacing w:beforeLines="50"/>
              <w:jc w:val="center"/>
              <w:rPr>
                <w:rFonts w:ascii="Times New Roman" w:hAnsi="Times New Roman" w:eastAsia="宋体" w:cs="宋体"/>
                <w:b/>
                <w:bCs/>
                <w:color w:val="auto"/>
                <w:spacing w:val="-4"/>
                <w:szCs w:val="21"/>
                <w:highlight w:val="none"/>
              </w:rPr>
            </w:pPr>
          </w:p>
          <w:p w14:paraId="4704715D">
            <w:pPr>
              <w:tabs>
                <w:tab w:val="left" w:pos="960"/>
              </w:tabs>
              <w:spacing w:beforeLines="50"/>
              <w:jc w:val="center"/>
              <w:rPr>
                <w:rFonts w:ascii="Times New Roman" w:hAnsi="Times New Roman" w:eastAsia="宋体" w:cs="宋体"/>
                <w:b/>
                <w:bCs/>
                <w:color w:val="auto"/>
                <w:spacing w:val="-4"/>
                <w:szCs w:val="21"/>
                <w:highlight w:val="none"/>
              </w:rPr>
            </w:pPr>
          </w:p>
          <w:p w14:paraId="5F259695">
            <w:pPr>
              <w:tabs>
                <w:tab w:val="left" w:pos="960"/>
              </w:tabs>
              <w:spacing w:beforeLines="50"/>
              <w:jc w:val="center"/>
              <w:rPr>
                <w:rFonts w:ascii="Times New Roman" w:hAnsi="Times New Roman" w:eastAsia="宋体" w:cs="宋体"/>
                <w:b/>
                <w:bCs/>
                <w:color w:val="auto"/>
                <w:spacing w:val="-4"/>
                <w:szCs w:val="21"/>
                <w:highlight w:val="none"/>
              </w:rPr>
            </w:pPr>
            <w:r>
              <w:rPr>
                <w:rFonts w:ascii="Times New Roman" w:hAnsi="Times New Roman" w:eastAsia="宋体" w:cs="宋体"/>
                <w:b/>
                <w:bCs/>
                <w:color w:val="auto"/>
                <w:spacing w:val="-4"/>
                <w:szCs w:val="21"/>
                <w:highlight w:val="none"/>
              </w:rPr>
              <w:t>表</w:t>
            </w:r>
            <w:r>
              <w:rPr>
                <w:rFonts w:hint="eastAsia" w:ascii="Times New Roman" w:hAnsi="Times New Roman" w:eastAsia="宋体" w:cs="宋体"/>
                <w:b/>
                <w:bCs/>
                <w:color w:val="auto"/>
                <w:spacing w:val="-4"/>
                <w:szCs w:val="21"/>
                <w:highlight w:val="none"/>
              </w:rPr>
              <w:t xml:space="preserve">4.7-4  </w:t>
            </w:r>
            <w:r>
              <w:rPr>
                <w:rFonts w:ascii="Times New Roman" w:hAnsi="Times New Roman" w:eastAsia="宋体" w:cs="宋体"/>
                <w:b/>
                <w:bCs/>
                <w:color w:val="auto"/>
                <w:spacing w:val="-4"/>
                <w:szCs w:val="21"/>
                <w:highlight w:val="none"/>
              </w:rPr>
              <w:t>环境风险简单分析内容表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13"/>
              <w:gridCol w:w="1030"/>
              <w:gridCol w:w="1030"/>
              <w:gridCol w:w="1035"/>
              <w:gridCol w:w="879"/>
              <w:gridCol w:w="2252"/>
            </w:tblGrid>
            <w:tr w14:paraId="7A33B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33891BAB">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建设项目名称</w:t>
                  </w:r>
                </w:p>
              </w:tc>
              <w:tc>
                <w:tcPr>
                  <w:tcW w:w="3687" w:type="pct"/>
                  <w:gridSpan w:val="5"/>
                  <w:vAlign w:val="center"/>
                </w:tcPr>
                <w:p w14:paraId="78585ACE">
                  <w:pPr>
                    <w:snapToGrid w:val="0"/>
                    <w:jc w:val="center"/>
                    <w:rPr>
                      <w:rFonts w:ascii="Times New Roman" w:hAnsi="Times New Roman" w:eastAsia="宋体" w:cs="宋体"/>
                      <w:color w:val="auto"/>
                      <w:spacing w:val="-4"/>
                      <w:szCs w:val="21"/>
                      <w:highlight w:val="none"/>
                    </w:rPr>
                  </w:pPr>
                  <w:r>
                    <w:rPr>
                      <w:rFonts w:hint="eastAsia" w:cs="宋体"/>
                      <w:color w:val="auto"/>
                      <w:spacing w:val="-4"/>
                      <w:szCs w:val="21"/>
                      <w:highlight w:val="none"/>
                      <w:lang w:eastAsia="zh-CN"/>
                    </w:rPr>
                    <w:t>常州市文卫管件模具有限公司</w:t>
                  </w:r>
                  <w:r>
                    <w:rPr>
                      <w:rFonts w:hint="eastAsia" w:cs="宋体"/>
                      <w:color w:val="auto"/>
                      <w:szCs w:val="21"/>
                      <w:highlight w:val="none"/>
                      <w:lang w:eastAsia="zh-CN"/>
                    </w:rPr>
                    <w:t>常州市文卫管件模具有限公司智能化提升项目</w:t>
                  </w:r>
                </w:p>
              </w:tc>
            </w:tr>
            <w:tr w14:paraId="364D4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4FF1D7F7">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建设地点</w:t>
                  </w:r>
                </w:p>
              </w:tc>
              <w:tc>
                <w:tcPr>
                  <w:tcW w:w="610" w:type="pct"/>
                  <w:vAlign w:val="center"/>
                </w:tcPr>
                <w:p w14:paraId="27801DD6">
                  <w:pPr>
                    <w:tabs>
                      <w:tab w:val="left" w:pos="960"/>
                    </w:tabs>
                    <w:snapToGrid w:val="0"/>
                    <w:jc w:val="center"/>
                    <w:rPr>
                      <w:rFonts w:ascii="Times New Roman" w:hAnsi="Times New Roman" w:eastAsia="宋体" w:cs="宋体"/>
                      <w:bCs/>
                      <w:color w:val="auto"/>
                      <w:spacing w:val="-4"/>
                      <w:szCs w:val="21"/>
                      <w:highlight w:val="none"/>
                    </w:rPr>
                  </w:pPr>
                  <w:r>
                    <w:rPr>
                      <w:rFonts w:ascii="Times New Roman" w:hAnsi="Times New Roman" w:eastAsia="宋体" w:cs="宋体"/>
                      <w:bCs/>
                      <w:color w:val="auto"/>
                      <w:spacing w:val="-4"/>
                      <w:szCs w:val="21"/>
                      <w:highlight w:val="none"/>
                    </w:rPr>
                    <w:t>（江苏）省</w:t>
                  </w:r>
                </w:p>
              </w:tc>
              <w:tc>
                <w:tcPr>
                  <w:tcW w:w="610" w:type="pct"/>
                  <w:vAlign w:val="center"/>
                </w:tcPr>
                <w:p w14:paraId="0AD709C0">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w:t>
                  </w:r>
                  <w:r>
                    <w:rPr>
                      <w:rFonts w:hint="eastAsia" w:ascii="Times New Roman" w:hAnsi="Times New Roman" w:eastAsia="宋体" w:cs="宋体"/>
                      <w:color w:val="auto"/>
                      <w:spacing w:val="-4"/>
                      <w:szCs w:val="21"/>
                      <w:highlight w:val="none"/>
                    </w:rPr>
                    <w:t>常州</w:t>
                  </w:r>
                  <w:r>
                    <w:rPr>
                      <w:rFonts w:ascii="Times New Roman" w:hAnsi="Times New Roman" w:eastAsia="宋体" w:cs="宋体"/>
                      <w:color w:val="auto"/>
                      <w:spacing w:val="-4"/>
                      <w:szCs w:val="21"/>
                      <w:highlight w:val="none"/>
                    </w:rPr>
                    <w:t>）市</w:t>
                  </w:r>
                </w:p>
              </w:tc>
              <w:tc>
                <w:tcPr>
                  <w:tcW w:w="613" w:type="pct"/>
                  <w:vAlign w:val="center"/>
                </w:tcPr>
                <w:p w14:paraId="0FF6E0CB">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w:t>
                  </w:r>
                  <w:r>
                    <w:rPr>
                      <w:rFonts w:hint="eastAsia" w:cs="宋体"/>
                      <w:color w:val="auto"/>
                      <w:spacing w:val="-4"/>
                      <w:szCs w:val="21"/>
                      <w:highlight w:val="none"/>
                      <w:lang w:val="en-US" w:eastAsia="zh-CN"/>
                    </w:rPr>
                    <w:t>金坛</w:t>
                  </w:r>
                  <w:r>
                    <w:rPr>
                      <w:rFonts w:ascii="Times New Roman" w:hAnsi="Times New Roman" w:eastAsia="宋体" w:cs="宋体"/>
                      <w:color w:val="auto"/>
                      <w:spacing w:val="-4"/>
                      <w:szCs w:val="21"/>
                      <w:highlight w:val="none"/>
                    </w:rPr>
                    <w:t>）区</w:t>
                  </w:r>
                </w:p>
              </w:tc>
              <w:tc>
                <w:tcPr>
                  <w:tcW w:w="521" w:type="pct"/>
                  <w:vAlign w:val="center"/>
                </w:tcPr>
                <w:p w14:paraId="374C88A1">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（/）县</w:t>
                  </w:r>
                </w:p>
              </w:tc>
              <w:tc>
                <w:tcPr>
                  <w:tcW w:w="1333" w:type="pct"/>
                  <w:vAlign w:val="center"/>
                </w:tcPr>
                <w:p w14:paraId="000E8463">
                  <w:pPr>
                    <w:snapToGrid w:val="0"/>
                    <w:jc w:val="center"/>
                    <w:rPr>
                      <w:rFonts w:ascii="Times New Roman" w:hAnsi="Times New Roman" w:eastAsia="宋体" w:cs="宋体"/>
                      <w:color w:val="auto"/>
                      <w:spacing w:val="-4"/>
                      <w:szCs w:val="21"/>
                      <w:highlight w:val="none"/>
                    </w:rPr>
                  </w:pPr>
                  <w:r>
                    <w:rPr>
                      <w:rFonts w:hint="eastAsia" w:ascii="Times New Roman" w:hAnsi="Times New Roman" w:eastAsia="宋体" w:cs="宋体"/>
                      <w:color w:val="auto"/>
                      <w:spacing w:val="-4"/>
                      <w:szCs w:val="21"/>
                      <w:highlight w:val="none"/>
                    </w:rPr>
                    <w:t>河山环路26号</w:t>
                  </w:r>
                </w:p>
              </w:tc>
            </w:tr>
            <w:tr w14:paraId="29D18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56823A8E">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地理坐标</w:t>
                  </w:r>
                </w:p>
              </w:tc>
              <w:tc>
                <w:tcPr>
                  <w:tcW w:w="610" w:type="pct"/>
                  <w:vAlign w:val="center"/>
                </w:tcPr>
                <w:p w14:paraId="5B386130">
                  <w:pPr>
                    <w:tabs>
                      <w:tab w:val="left" w:pos="960"/>
                    </w:tabs>
                    <w:snapToGrid w:val="0"/>
                    <w:jc w:val="center"/>
                    <w:rPr>
                      <w:rFonts w:ascii="Times New Roman" w:hAnsi="Times New Roman" w:eastAsia="宋体" w:cs="宋体"/>
                      <w:bCs/>
                      <w:color w:val="auto"/>
                      <w:spacing w:val="-4"/>
                      <w:szCs w:val="21"/>
                      <w:highlight w:val="none"/>
                    </w:rPr>
                  </w:pPr>
                  <w:r>
                    <w:rPr>
                      <w:rFonts w:ascii="Times New Roman" w:hAnsi="Times New Roman" w:eastAsia="宋体" w:cs="宋体"/>
                      <w:bCs/>
                      <w:color w:val="auto"/>
                      <w:spacing w:val="-4"/>
                      <w:szCs w:val="21"/>
                      <w:highlight w:val="none"/>
                    </w:rPr>
                    <w:t>经度</w:t>
                  </w:r>
                </w:p>
              </w:tc>
              <w:tc>
                <w:tcPr>
                  <w:tcW w:w="1223" w:type="pct"/>
                  <w:gridSpan w:val="2"/>
                  <w:vAlign w:val="center"/>
                </w:tcPr>
                <w:p w14:paraId="3157C008">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zCs w:val="21"/>
                      <w:highlight w:val="none"/>
                    </w:rPr>
                    <w:t>E</w:t>
                  </w:r>
                  <w:r>
                    <w:rPr>
                      <w:rFonts w:hint="eastAsia" w:ascii="Times New Roman" w:hAnsi="Times New Roman" w:eastAsia="宋体" w:cs="宋体"/>
                      <w:color w:val="auto"/>
                      <w:szCs w:val="21"/>
                      <w:highlight w:val="none"/>
                      <w:lang w:val="en-US" w:eastAsia="zh-CN"/>
                    </w:rPr>
                    <w:t>119</w:t>
                  </w:r>
                  <w:r>
                    <w:rPr>
                      <w:rFonts w:ascii="Times New Roman" w:hAnsi="Times New Roman" w:eastAsia="宋体" w:cs="宋体"/>
                      <w:color w:val="auto"/>
                      <w:szCs w:val="21"/>
                      <w:highlight w:val="none"/>
                    </w:rPr>
                    <w:t>°</w:t>
                  </w:r>
                  <w:r>
                    <w:rPr>
                      <w:rFonts w:hint="eastAsia" w:cs="宋体"/>
                      <w:color w:val="auto"/>
                      <w:szCs w:val="21"/>
                      <w:highlight w:val="none"/>
                      <w:lang w:val="en-US" w:eastAsia="zh-CN"/>
                    </w:rPr>
                    <w:t>39</w:t>
                  </w:r>
                  <w:r>
                    <w:rPr>
                      <w:rFonts w:ascii="Times New Roman" w:hAnsi="Times New Roman" w:eastAsia="宋体" w:cs="宋体"/>
                      <w:color w:val="auto"/>
                      <w:szCs w:val="21"/>
                      <w:highlight w:val="none"/>
                    </w:rPr>
                    <w:t>'</w:t>
                  </w:r>
                  <w:r>
                    <w:rPr>
                      <w:rFonts w:hint="eastAsia" w:cs="宋体"/>
                      <w:color w:val="auto"/>
                      <w:szCs w:val="21"/>
                      <w:highlight w:val="none"/>
                      <w:lang w:val="en-US" w:eastAsia="zh-CN"/>
                    </w:rPr>
                    <w:t>51.292</w:t>
                  </w:r>
                  <w:r>
                    <w:rPr>
                      <w:rFonts w:ascii="Times New Roman" w:hAnsi="Times New Roman" w:eastAsia="宋体" w:cs="宋体"/>
                      <w:color w:val="auto"/>
                      <w:szCs w:val="21"/>
                      <w:highlight w:val="none"/>
                    </w:rPr>
                    <w:t>"</w:t>
                  </w:r>
                </w:p>
              </w:tc>
              <w:tc>
                <w:tcPr>
                  <w:tcW w:w="521" w:type="pct"/>
                  <w:vAlign w:val="center"/>
                </w:tcPr>
                <w:p w14:paraId="07029E4A">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纬度</w:t>
                  </w:r>
                </w:p>
              </w:tc>
              <w:tc>
                <w:tcPr>
                  <w:tcW w:w="1333" w:type="pct"/>
                  <w:vAlign w:val="center"/>
                </w:tcPr>
                <w:p w14:paraId="5C1608C9">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zCs w:val="21"/>
                      <w:highlight w:val="none"/>
                    </w:rPr>
                    <w:t>N3</w:t>
                  </w:r>
                  <w:r>
                    <w:rPr>
                      <w:rFonts w:hint="eastAsia" w:ascii="Times New Roman" w:hAnsi="Times New Roman" w:eastAsia="宋体" w:cs="宋体"/>
                      <w:color w:val="auto"/>
                      <w:szCs w:val="21"/>
                      <w:highlight w:val="none"/>
                    </w:rPr>
                    <w:t>1</w:t>
                  </w:r>
                  <w:r>
                    <w:rPr>
                      <w:rFonts w:ascii="Times New Roman" w:hAnsi="Times New Roman" w:eastAsia="宋体" w:cs="宋体"/>
                      <w:color w:val="auto"/>
                      <w:szCs w:val="21"/>
                      <w:highlight w:val="none"/>
                    </w:rPr>
                    <w:t>°</w:t>
                  </w:r>
                  <w:r>
                    <w:rPr>
                      <w:rFonts w:hint="eastAsia" w:cs="宋体"/>
                      <w:color w:val="auto"/>
                      <w:szCs w:val="21"/>
                      <w:highlight w:val="none"/>
                      <w:lang w:val="en-US" w:eastAsia="zh-CN"/>
                    </w:rPr>
                    <w:t>34.446</w:t>
                  </w:r>
                  <w:r>
                    <w:rPr>
                      <w:rFonts w:ascii="Times New Roman" w:hAnsi="Times New Roman" w:eastAsia="宋体" w:cs="宋体"/>
                      <w:color w:val="auto"/>
                      <w:szCs w:val="21"/>
                      <w:highlight w:val="none"/>
                    </w:rPr>
                    <w:t>"</w:t>
                  </w:r>
                </w:p>
              </w:tc>
            </w:tr>
            <w:tr w14:paraId="780AA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0BFE2549">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主要危险物质及分布</w:t>
                  </w:r>
                </w:p>
              </w:tc>
              <w:tc>
                <w:tcPr>
                  <w:tcW w:w="3687" w:type="pct"/>
                  <w:gridSpan w:val="5"/>
                  <w:vAlign w:val="center"/>
                </w:tcPr>
                <w:p w14:paraId="0DDDB79F">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本项目主要危险物质为</w:t>
                  </w:r>
                  <w:r>
                    <w:rPr>
                      <w:rFonts w:hint="eastAsia" w:cs="宋体"/>
                      <w:color w:val="auto"/>
                      <w:spacing w:val="-4"/>
                      <w:szCs w:val="21"/>
                      <w:highlight w:val="none"/>
                      <w:lang w:val="en-US" w:eastAsia="zh-CN"/>
                    </w:rPr>
                    <w:t>液压油、导轨油、清洗剂、光亮剂</w:t>
                  </w:r>
                  <w:r>
                    <w:rPr>
                      <w:rFonts w:ascii="Times New Roman" w:hAnsi="Times New Roman" w:eastAsia="宋体" w:cs="宋体"/>
                      <w:color w:val="auto"/>
                      <w:spacing w:val="-4"/>
                      <w:szCs w:val="21"/>
                      <w:highlight w:val="none"/>
                    </w:rPr>
                    <w:t>等，暂存于规范化设置的</w:t>
                  </w:r>
                  <w:r>
                    <w:rPr>
                      <w:rFonts w:hint="eastAsia" w:ascii="Times New Roman" w:hAnsi="Times New Roman" w:eastAsia="宋体" w:cs="宋体"/>
                      <w:color w:val="auto"/>
                      <w:spacing w:val="-4"/>
                      <w:szCs w:val="21"/>
                      <w:highlight w:val="none"/>
                    </w:rPr>
                    <w:t>仓库</w:t>
                  </w:r>
                </w:p>
              </w:tc>
            </w:tr>
            <w:tr w14:paraId="337A0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4F12CC45">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环境影响途径及危害后果（大气、地表水、地下水等）</w:t>
                  </w:r>
                </w:p>
              </w:tc>
              <w:tc>
                <w:tcPr>
                  <w:tcW w:w="3687" w:type="pct"/>
                  <w:gridSpan w:val="5"/>
                  <w:vAlign w:val="center"/>
                </w:tcPr>
                <w:p w14:paraId="1EE01EEB">
                  <w:pPr>
                    <w:tabs>
                      <w:tab w:val="left" w:pos="960"/>
                    </w:tabs>
                    <w:snapToGrid w:val="0"/>
                    <w:jc w:val="center"/>
                    <w:rPr>
                      <w:rFonts w:ascii="Times New Roman" w:hAnsi="Times New Roman" w:eastAsia="宋体" w:cs="宋体"/>
                      <w:bCs/>
                      <w:color w:val="auto"/>
                      <w:spacing w:val="-4"/>
                      <w:szCs w:val="21"/>
                      <w:highlight w:val="none"/>
                    </w:rPr>
                  </w:pPr>
                  <w:r>
                    <w:rPr>
                      <w:rFonts w:ascii="Times New Roman" w:hAnsi="Times New Roman" w:eastAsia="宋体" w:cs="宋体"/>
                      <w:bCs/>
                      <w:color w:val="auto"/>
                      <w:spacing w:val="-4"/>
                      <w:szCs w:val="21"/>
                      <w:highlight w:val="none"/>
                    </w:rPr>
                    <w:t>包装容器破损或倾倒使其泄漏，可能通过雨水冲刷和下渗影响土壤、地表水和地下水</w:t>
                  </w:r>
                </w:p>
              </w:tc>
            </w:tr>
            <w:tr w14:paraId="00D70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12" w:type="pct"/>
                  <w:vAlign w:val="center"/>
                </w:tcPr>
                <w:p w14:paraId="36E9E002">
                  <w:pPr>
                    <w:snapToGrid w:val="0"/>
                    <w:jc w:val="center"/>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风险防范措施要求</w:t>
                  </w:r>
                </w:p>
              </w:tc>
              <w:tc>
                <w:tcPr>
                  <w:tcW w:w="3687" w:type="pct"/>
                  <w:gridSpan w:val="5"/>
                  <w:vAlign w:val="center"/>
                </w:tcPr>
                <w:p w14:paraId="773C6FAD">
                  <w:pPr>
                    <w:tabs>
                      <w:tab w:val="left" w:pos="960"/>
                    </w:tabs>
                    <w:snapToGrid w:val="0"/>
                    <w:jc w:val="center"/>
                    <w:rPr>
                      <w:rFonts w:ascii="Times New Roman" w:hAnsi="Times New Roman" w:eastAsia="宋体" w:cs="宋体"/>
                      <w:bCs/>
                      <w:color w:val="auto"/>
                      <w:spacing w:val="-4"/>
                      <w:szCs w:val="21"/>
                      <w:highlight w:val="none"/>
                    </w:rPr>
                  </w:pPr>
                  <w:r>
                    <w:rPr>
                      <w:rFonts w:hint="eastAsia" w:ascii="Times New Roman" w:hAnsi="Times New Roman" w:eastAsia="宋体" w:cs="宋体"/>
                      <w:color w:val="auto"/>
                      <w:szCs w:val="21"/>
                      <w:highlight w:val="none"/>
                    </w:rPr>
                    <w:t>本项目</w:t>
                  </w:r>
                  <w:r>
                    <w:rPr>
                      <w:rFonts w:ascii="Times New Roman" w:hAnsi="Times New Roman" w:eastAsia="宋体" w:cs="宋体"/>
                      <w:color w:val="auto"/>
                      <w:szCs w:val="21"/>
                      <w:highlight w:val="none"/>
                    </w:rPr>
                    <w:t>按</w:t>
                  </w:r>
                  <w:r>
                    <w:rPr>
                      <w:rFonts w:hint="eastAsia" w:ascii="Times New Roman" w:hAnsi="Times New Roman" w:eastAsia="宋体" w:cs="宋体"/>
                      <w:color w:val="auto"/>
                      <w:szCs w:val="21"/>
                      <w:highlight w:val="none"/>
                    </w:rPr>
                    <w:t>原料</w:t>
                  </w:r>
                  <w:r>
                    <w:rPr>
                      <w:rFonts w:ascii="Times New Roman" w:hAnsi="Times New Roman" w:eastAsia="宋体" w:cs="宋体"/>
                      <w:color w:val="auto"/>
                      <w:szCs w:val="21"/>
                      <w:highlight w:val="none"/>
                    </w:rPr>
                    <w:t>的特性设置仓库，禁忌类物料、消防方法不同的物料严格按照有关仓储的安全要求分区、分类、隔离、隔开、分离储存，并实行定置管理，确保通风、温度、湿度、防日晒等仓储条件良好，符合《易燃易爆性商品储</w:t>
                  </w:r>
                  <w:r>
                    <w:rPr>
                      <w:rFonts w:hint="eastAsia" w:ascii="Times New Roman" w:hAnsi="Times New Roman" w:eastAsia="宋体" w:cs="宋体"/>
                      <w:color w:val="auto"/>
                      <w:szCs w:val="21"/>
                      <w:highlight w:val="none"/>
                    </w:rPr>
                    <w:t>存</w:t>
                  </w:r>
                  <w:r>
                    <w:rPr>
                      <w:rFonts w:ascii="Times New Roman" w:hAnsi="Times New Roman" w:eastAsia="宋体" w:cs="宋体"/>
                      <w:color w:val="auto"/>
                      <w:szCs w:val="21"/>
                      <w:highlight w:val="none"/>
                    </w:rPr>
                    <w:t>养护技术条件》（GB17914-2013）</w:t>
                  </w:r>
                </w:p>
              </w:tc>
            </w:tr>
            <w:tr w14:paraId="6FA4E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000" w:type="pct"/>
                  <w:gridSpan w:val="6"/>
                  <w:vAlign w:val="center"/>
                </w:tcPr>
                <w:p w14:paraId="73EC13EB">
                  <w:pPr>
                    <w:tabs>
                      <w:tab w:val="left" w:pos="960"/>
                    </w:tabs>
                    <w:snapToGrid w:val="0"/>
                    <w:jc w:val="left"/>
                    <w:rPr>
                      <w:rFonts w:ascii="Times New Roman" w:hAnsi="Times New Roman" w:eastAsia="宋体" w:cs="宋体"/>
                      <w:color w:val="auto"/>
                      <w:spacing w:val="-4"/>
                      <w:szCs w:val="21"/>
                      <w:highlight w:val="none"/>
                    </w:rPr>
                  </w:pPr>
                  <w:r>
                    <w:rPr>
                      <w:rFonts w:ascii="Times New Roman" w:hAnsi="Times New Roman" w:eastAsia="宋体" w:cs="宋体"/>
                      <w:color w:val="auto"/>
                      <w:spacing w:val="-4"/>
                      <w:szCs w:val="21"/>
                      <w:highlight w:val="none"/>
                    </w:rPr>
                    <w:t>填表说明（列出项目相关信息及评价说明）：</w:t>
                  </w:r>
                </w:p>
                <w:p w14:paraId="2CCB6A4F">
                  <w:pPr>
                    <w:tabs>
                      <w:tab w:val="left" w:pos="960"/>
                    </w:tabs>
                    <w:snapToGrid w:val="0"/>
                    <w:ind w:firstLine="404" w:firstLineChars="200"/>
                    <w:jc w:val="left"/>
                    <w:rPr>
                      <w:rFonts w:ascii="Times New Roman" w:hAnsi="Times New Roman" w:eastAsia="宋体" w:cs="宋体"/>
                      <w:bCs/>
                      <w:color w:val="auto"/>
                      <w:spacing w:val="-4"/>
                      <w:szCs w:val="21"/>
                      <w:highlight w:val="none"/>
                    </w:rPr>
                  </w:pPr>
                  <w:r>
                    <w:rPr>
                      <w:rFonts w:hint="eastAsia" w:ascii="Times New Roman" w:hAnsi="Times New Roman" w:eastAsia="宋体" w:cs="宋体"/>
                      <w:bCs/>
                      <w:color w:val="auto"/>
                      <w:spacing w:val="-4"/>
                      <w:szCs w:val="21"/>
                      <w:highlight w:val="none"/>
                    </w:rPr>
                    <w:t>本项目</w:t>
                  </w:r>
                  <w:r>
                    <w:rPr>
                      <w:rFonts w:hint="eastAsia" w:cs="宋体"/>
                      <w:color w:val="auto"/>
                      <w:spacing w:val="-4"/>
                      <w:szCs w:val="21"/>
                      <w:highlight w:val="none"/>
                      <w:lang w:val="en-US" w:eastAsia="zh-CN"/>
                    </w:rPr>
                    <w:t>液压油、导轨油、清洗剂、光亮剂</w:t>
                  </w:r>
                  <w:r>
                    <w:rPr>
                      <w:rFonts w:hint="eastAsia" w:ascii="Times New Roman" w:hAnsi="Times New Roman" w:eastAsia="宋体" w:cs="宋体"/>
                      <w:color w:val="auto"/>
                      <w:spacing w:val="-4"/>
                      <w:szCs w:val="21"/>
                      <w:highlight w:val="none"/>
                    </w:rPr>
                    <w:t>等</w:t>
                  </w:r>
                  <w:r>
                    <w:rPr>
                      <w:rFonts w:hint="eastAsia" w:ascii="Times New Roman" w:hAnsi="Times New Roman" w:eastAsia="宋体" w:cs="宋体"/>
                      <w:bCs/>
                      <w:color w:val="auto"/>
                      <w:spacing w:val="-4"/>
                      <w:szCs w:val="21"/>
                      <w:highlight w:val="none"/>
                    </w:rPr>
                    <w:t>存在一定的危险性，由于Q＜1，判定本项目环境风险潜势为Ⅰ，根据评价等级划分依据，本项目评价工作等级为简单分析。本项目采取完善的危险废物管理制度，项目建设、运行过程中环境风险可接受。</w:t>
                  </w:r>
                </w:p>
              </w:tc>
            </w:tr>
          </w:tbl>
          <w:p w14:paraId="42363823">
            <w:pPr>
              <w:spacing w:line="360" w:lineRule="auto"/>
              <w:ind w:firstLine="482" w:firstLineChars="200"/>
              <w:rPr>
                <w:rFonts w:ascii="Times New Roman" w:hAnsi="Times New Roman" w:eastAsia="宋体" w:cs="宋体"/>
                <w:b/>
                <w:color w:val="auto"/>
                <w:sz w:val="24"/>
                <w:highlight w:val="none"/>
              </w:rPr>
            </w:pPr>
            <w:r>
              <w:rPr>
                <w:rFonts w:hint="eastAsia" w:ascii="Times New Roman" w:hAnsi="Times New Roman" w:eastAsia="宋体" w:cs="宋体"/>
                <w:b/>
                <w:color w:val="auto"/>
                <w:sz w:val="24"/>
                <w:highlight w:val="none"/>
              </w:rPr>
              <w:t>8、电磁辐射</w:t>
            </w:r>
          </w:p>
          <w:p w14:paraId="565CBFFC">
            <w:pPr>
              <w:spacing w:line="360" w:lineRule="auto"/>
              <w:ind w:firstLine="480" w:firstLineChars="200"/>
              <w:rPr>
                <w:rFonts w:ascii="Times New Roman" w:hAnsi="Times New Roman" w:eastAsia="宋体" w:cs="宋体"/>
                <w:color w:val="auto"/>
                <w:sz w:val="24"/>
                <w:highlight w:val="none"/>
              </w:rPr>
            </w:pPr>
            <w:r>
              <w:rPr>
                <w:rFonts w:hint="eastAsia" w:ascii="Times New Roman" w:hAnsi="Times New Roman" w:eastAsia="宋体" w:cs="宋体"/>
                <w:color w:val="auto"/>
                <w:kern w:val="0"/>
                <w:sz w:val="24"/>
                <w:highlight w:val="none"/>
              </w:rPr>
              <w:t>本项目涉及</w:t>
            </w:r>
            <w:r>
              <w:rPr>
                <w:rFonts w:hint="eastAsia" w:ascii="Times New Roman" w:hAnsi="Times New Roman" w:eastAsia="宋体" w:cs="宋体"/>
                <w:color w:val="auto"/>
                <w:kern w:val="0"/>
                <w:sz w:val="24"/>
                <w:highlight w:val="none"/>
                <w:lang w:val="en-US" w:eastAsia="zh-CN"/>
              </w:rPr>
              <w:t>使用X-Ray探伤仪，</w:t>
            </w:r>
            <w:r>
              <w:rPr>
                <w:rFonts w:hint="eastAsia" w:cs="宋体"/>
                <w:color w:val="auto"/>
                <w:kern w:val="0"/>
                <w:sz w:val="24"/>
                <w:highlight w:val="none"/>
                <w:lang w:val="en-US" w:eastAsia="zh-CN"/>
              </w:rPr>
              <w:t>涉及电磁辐射，需</w:t>
            </w:r>
            <w:r>
              <w:rPr>
                <w:rFonts w:hint="eastAsia" w:ascii="Times New Roman" w:hAnsi="Times New Roman" w:eastAsia="宋体" w:cs="宋体"/>
                <w:color w:val="auto"/>
                <w:kern w:val="0"/>
                <w:sz w:val="24"/>
                <w:highlight w:val="none"/>
                <w:lang w:val="en-US" w:eastAsia="zh-CN"/>
              </w:rPr>
              <w:t>按照环境管理要求另行办理</w:t>
            </w:r>
            <w:r>
              <w:rPr>
                <w:rFonts w:hint="eastAsia" w:cs="宋体"/>
                <w:color w:val="auto"/>
                <w:kern w:val="0"/>
                <w:sz w:val="24"/>
                <w:highlight w:val="none"/>
                <w:lang w:val="en-US" w:eastAsia="zh-CN"/>
              </w:rPr>
              <w:t>相关环保手续</w:t>
            </w:r>
            <w:r>
              <w:rPr>
                <w:rFonts w:hint="eastAsia" w:ascii="Times New Roman" w:hAnsi="Times New Roman" w:eastAsia="宋体" w:cs="宋体"/>
                <w:color w:val="auto"/>
                <w:sz w:val="24"/>
                <w:highlight w:val="none"/>
              </w:rPr>
              <w:t>。</w:t>
            </w:r>
          </w:p>
          <w:p w14:paraId="21C33DB4">
            <w:pPr>
              <w:spacing w:line="360" w:lineRule="auto"/>
              <w:ind w:firstLine="482" w:firstLineChars="200"/>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9</w:t>
            </w:r>
            <w:r>
              <w:rPr>
                <w:rFonts w:hint="default" w:ascii="Times New Roman" w:hAnsi="Times New Roman" w:cs="Times New Roman"/>
                <w:b/>
                <w:bCs/>
                <w:color w:val="auto"/>
                <w:sz w:val="24"/>
                <w:lang w:val="en-US" w:eastAsia="zh-CN"/>
              </w:rPr>
              <w:t>、环境管理</w:t>
            </w:r>
          </w:p>
          <w:p w14:paraId="7B45BCB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项目建成后，应按地方环保局的要求加强对企业的环境管理，建立健全企业的环保监督、管理制度。</w:t>
            </w:r>
          </w:p>
          <w:p w14:paraId="1424913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该项目的建设规模和环境管理的任务，建设期项目筹建处应设1名环保专职或兼职人员，负责工程建设期的环境保护工作；项目建成后应在公司设置环保处，公司副总经理负责环保工作，车间设置设2~3名专职环保管理人员，负责公司的环境管理以及对外的环保协调工作，污染源监测可委托第三方检测公司承担。</w:t>
            </w:r>
          </w:p>
          <w:p w14:paraId="0B539AF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（1）建立公司专门的环保设施档案，记录环保设施的运转及检修情况，以便督促有关人员加强对环保设施的管理和及时维修，保证治理设施的正常运行。</w:t>
            </w:r>
          </w:p>
          <w:p w14:paraId="20A1AC2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（2）建立污染源监测数据档案，定期编写环保通报，便于政府环保部门和公司管理部门及时了解污染动态，以便于采取相应的对策措施。</w:t>
            </w:r>
          </w:p>
          <w:p w14:paraId="1DAFBED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（3）制定环保奖惩条例。对于爱护环保设施、节能降耗、改善环境人员进行奖励；对于环保观念淡薄，不按环保要求管理、造成环境设施损坏、环境污染及资源和能源浪费人员一律予以重罚。</w:t>
            </w:r>
          </w:p>
          <w:p w14:paraId="60C851D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根据《排污单位自行监测技术指南 总则》（HJ819-2017）的要求，企业可根据自身条件和能力，利用自有人员、场所和设备进行自行监测，可也委托其他有资质的监测机构代开展自行监测，包括污染物排放监测（废气污染物、废水污染物和噪声污染等）、周边环境质量影响监测（周边的空气、地下水、地表水等）、关键工艺参数监测（通过对与污染物产生和排放密切相关的关键工艺参数进行测试）、污染治理设施处理效果监测。企业应建立自行监测质量管理制度，按照相关技术规范要求做好监测质量保证与质量控制，做好与监测相关的数据记录，按照规定进行保存，并依据《企业事业单位环境信息公开办法》（环境保护部令 第31号）等规定向社会公开监测结果。</w:t>
            </w:r>
          </w:p>
          <w:p w14:paraId="561FC64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排污许可证管理暂行规定》申领排污许可证并进行公示。在统一社会信用代码基础上，通过国家排污许可证管理信息平台对全国的排污许可证实行统一编码。排污许可证申请、受理、审核、发放、变更、延续、注销、撤销、遗失补办应当在国家排污许可证管理信息平台上进行。排污许可证的执行、监管执法、社会监督等信息应当在国家排污许可证管理信息平台上记录。</w:t>
            </w:r>
          </w:p>
          <w:p w14:paraId="1E1DC49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在申请排污许可证前，应当将主要申请内容，包括排污单位基本信息、拟申请的许可事项、产排污环节、污染防治设施，通过国家排污许可证管理信息平台或者其他规定途径等便于公众知晓的方式向社会公开。</w:t>
            </w:r>
          </w:p>
          <w:p w14:paraId="7515EDF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按排污许可证规定的监测点位、监测因子、监测频次和相关监测技术规范开展自行监测并公开。</w:t>
            </w:r>
          </w:p>
          <w:p w14:paraId="3BD46D1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排污单位应及时公开信息，畅通与公众沟通的渠道，自觉接受公众监督。</w:t>
            </w:r>
          </w:p>
          <w:p w14:paraId="082BE96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根据《企业事业单位环境信息公开办法》（环境保护部令 第31号）规定，企业可参照重点排污单位公开其信息：</w:t>
            </w:r>
          </w:p>
          <w:p w14:paraId="6D83BE7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（一）基础信息，包括单位名称、组织机构代码、法定代表人、生产地址、联系方式，以及生产经营和管理服务的主要内容、产品及规模；</w:t>
            </w:r>
          </w:p>
          <w:p w14:paraId="5A6ECAF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（二）排污信息，包括主要污染物及特征污染物的名称、排放方式、排放口数量和分布情况、排放浓度和总量、超标情况，以及执行的污染物排放标准、核定的排放总量；</w:t>
            </w:r>
          </w:p>
          <w:p w14:paraId="3E00B1F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（三）防治污染设施的建设和运行情况；</w:t>
            </w:r>
          </w:p>
          <w:p w14:paraId="782CBB4C">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（四）建设项目环境影响评价及其他环境保护行政许可情况；</w:t>
            </w:r>
          </w:p>
          <w:p w14:paraId="56620930">
            <w:pPr>
              <w:spacing w:line="360" w:lineRule="auto"/>
              <w:ind w:firstLine="480" w:firstLineChars="200"/>
              <w:rPr>
                <w:rFonts w:ascii="Times New Roman" w:hAnsi="Times New Roman" w:eastAsia="宋体" w:cs="宋体"/>
                <w:color w:val="auto"/>
                <w:szCs w:val="21"/>
                <w:highlight w:val="none"/>
              </w:rPr>
            </w:pPr>
            <w:r>
              <w:rPr>
                <w:rFonts w:hint="default" w:ascii="Times New Roman" w:hAnsi="Times New Roman" w:eastAsia="宋体" w:cs="Times New Roman"/>
                <w:color w:val="auto"/>
                <w:sz w:val="24"/>
                <w:szCs w:val="24"/>
              </w:rPr>
              <w:t>（五）突发环境事件应急预案；</w:t>
            </w:r>
          </w:p>
          <w:p w14:paraId="6A60F6B8">
            <w:pPr>
              <w:spacing w:line="360" w:lineRule="auto"/>
              <w:ind w:firstLine="420" w:firstLineChars="200"/>
              <w:rPr>
                <w:rFonts w:ascii="Times New Roman" w:hAnsi="Times New Roman" w:eastAsia="宋体" w:cs="宋体"/>
                <w:color w:val="auto"/>
                <w:szCs w:val="21"/>
                <w:highlight w:val="none"/>
              </w:rPr>
            </w:pPr>
          </w:p>
          <w:p w14:paraId="25433198">
            <w:pPr>
              <w:spacing w:line="360" w:lineRule="auto"/>
              <w:ind w:firstLine="420" w:firstLineChars="200"/>
              <w:rPr>
                <w:rFonts w:ascii="Times New Roman" w:hAnsi="Times New Roman" w:eastAsia="宋体" w:cs="宋体"/>
                <w:color w:val="auto"/>
                <w:szCs w:val="21"/>
                <w:highlight w:val="none"/>
              </w:rPr>
            </w:pPr>
          </w:p>
          <w:p w14:paraId="30851B70">
            <w:pPr>
              <w:spacing w:line="360" w:lineRule="auto"/>
              <w:ind w:firstLine="420" w:firstLineChars="200"/>
              <w:rPr>
                <w:rFonts w:ascii="Times New Roman" w:hAnsi="Times New Roman" w:eastAsia="宋体" w:cs="宋体"/>
                <w:color w:val="auto"/>
                <w:szCs w:val="21"/>
                <w:highlight w:val="none"/>
              </w:rPr>
            </w:pPr>
          </w:p>
          <w:p w14:paraId="6D69A056">
            <w:pPr>
              <w:spacing w:line="360" w:lineRule="auto"/>
              <w:ind w:firstLine="420" w:firstLineChars="200"/>
              <w:rPr>
                <w:rFonts w:ascii="Times New Roman" w:hAnsi="Times New Roman" w:eastAsia="宋体" w:cs="宋体"/>
                <w:color w:val="auto"/>
                <w:szCs w:val="21"/>
                <w:highlight w:val="none"/>
              </w:rPr>
            </w:pPr>
          </w:p>
          <w:p w14:paraId="772A1E22">
            <w:pPr>
              <w:spacing w:line="360" w:lineRule="auto"/>
              <w:ind w:firstLine="420" w:firstLineChars="200"/>
              <w:rPr>
                <w:rFonts w:ascii="Times New Roman" w:hAnsi="Times New Roman" w:eastAsia="宋体" w:cs="宋体"/>
                <w:color w:val="auto"/>
                <w:szCs w:val="21"/>
                <w:highlight w:val="none"/>
              </w:rPr>
            </w:pPr>
          </w:p>
          <w:p w14:paraId="0EE92220">
            <w:pPr>
              <w:spacing w:line="360" w:lineRule="auto"/>
              <w:ind w:firstLine="420" w:firstLineChars="200"/>
              <w:rPr>
                <w:rFonts w:ascii="Times New Roman" w:hAnsi="Times New Roman" w:eastAsia="宋体" w:cs="宋体"/>
                <w:color w:val="auto"/>
                <w:szCs w:val="21"/>
                <w:highlight w:val="none"/>
              </w:rPr>
            </w:pPr>
          </w:p>
          <w:p w14:paraId="251A1D67">
            <w:pPr>
              <w:spacing w:line="360" w:lineRule="auto"/>
              <w:ind w:firstLine="420" w:firstLineChars="200"/>
              <w:rPr>
                <w:rFonts w:ascii="Times New Roman" w:hAnsi="Times New Roman" w:eastAsia="宋体" w:cs="宋体"/>
                <w:color w:val="auto"/>
                <w:szCs w:val="21"/>
                <w:highlight w:val="none"/>
              </w:rPr>
            </w:pPr>
          </w:p>
          <w:p w14:paraId="010F9CEE">
            <w:pPr>
              <w:spacing w:line="360" w:lineRule="auto"/>
              <w:ind w:firstLine="420" w:firstLineChars="200"/>
              <w:rPr>
                <w:rFonts w:ascii="Times New Roman" w:hAnsi="Times New Roman" w:eastAsia="宋体" w:cs="宋体"/>
                <w:color w:val="auto"/>
                <w:szCs w:val="21"/>
                <w:highlight w:val="none"/>
              </w:rPr>
            </w:pPr>
          </w:p>
          <w:p w14:paraId="5DD8C911">
            <w:pPr>
              <w:spacing w:line="360" w:lineRule="auto"/>
              <w:ind w:firstLine="420" w:firstLineChars="200"/>
              <w:rPr>
                <w:rFonts w:ascii="Times New Roman" w:hAnsi="Times New Roman" w:eastAsia="宋体" w:cs="宋体"/>
                <w:color w:val="auto"/>
                <w:szCs w:val="21"/>
                <w:highlight w:val="none"/>
              </w:rPr>
            </w:pPr>
          </w:p>
          <w:p w14:paraId="6A907672">
            <w:pPr>
              <w:spacing w:line="360" w:lineRule="auto"/>
              <w:ind w:firstLine="420" w:firstLineChars="200"/>
              <w:rPr>
                <w:rFonts w:ascii="Times New Roman" w:hAnsi="Times New Roman" w:eastAsia="宋体" w:cs="宋体"/>
                <w:color w:val="auto"/>
                <w:szCs w:val="21"/>
                <w:highlight w:val="none"/>
              </w:rPr>
            </w:pPr>
          </w:p>
          <w:p w14:paraId="46EA4A97">
            <w:pPr>
              <w:spacing w:line="360" w:lineRule="auto"/>
              <w:ind w:firstLine="420" w:firstLineChars="200"/>
              <w:rPr>
                <w:rFonts w:ascii="Times New Roman" w:hAnsi="Times New Roman" w:eastAsia="宋体" w:cs="宋体"/>
                <w:color w:val="auto"/>
                <w:szCs w:val="21"/>
                <w:highlight w:val="none"/>
              </w:rPr>
            </w:pPr>
          </w:p>
          <w:p w14:paraId="2773583B">
            <w:pPr>
              <w:spacing w:line="360" w:lineRule="auto"/>
              <w:ind w:firstLine="420" w:firstLineChars="200"/>
              <w:rPr>
                <w:rFonts w:ascii="Times New Roman" w:hAnsi="Times New Roman" w:eastAsia="宋体" w:cs="宋体"/>
                <w:color w:val="auto"/>
                <w:szCs w:val="21"/>
                <w:highlight w:val="none"/>
              </w:rPr>
            </w:pPr>
          </w:p>
          <w:p w14:paraId="72C97057">
            <w:pPr>
              <w:spacing w:line="360" w:lineRule="auto"/>
              <w:ind w:firstLine="420" w:firstLineChars="200"/>
              <w:rPr>
                <w:rFonts w:ascii="Times New Roman" w:hAnsi="Times New Roman" w:eastAsia="宋体" w:cs="宋体"/>
                <w:color w:val="auto"/>
                <w:szCs w:val="21"/>
                <w:highlight w:val="none"/>
              </w:rPr>
            </w:pPr>
          </w:p>
          <w:p w14:paraId="35D55CFE">
            <w:pPr>
              <w:spacing w:line="360" w:lineRule="auto"/>
              <w:ind w:firstLine="420" w:firstLineChars="200"/>
              <w:rPr>
                <w:rFonts w:ascii="Times New Roman" w:hAnsi="Times New Roman" w:eastAsia="宋体" w:cs="宋体"/>
                <w:color w:val="auto"/>
                <w:szCs w:val="21"/>
                <w:highlight w:val="none"/>
              </w:rPr>
            </w:pPr>
          </w:p>
          <w:p w14:paraId="27F80A01">
            <w:pPr>
              <w:spacing w:line="360" w:lineRule="auto"/>
              <w:ind w:firstLine="420" w:firstLineChars="200"/>
              <w:rPr>
                <w:rFonts w:ascii="Times New Roman" w:hAnsi="Times New Roman" w:eastAsia="宋体" w:cs="宋体"/>
                <w:color w:val="auto"/>
                <w:szCs w:val="21"/>
                <w:highlight w:val="none"/>
              </w:rPr>
            </w:pPr>
          </w:p>
          <w:p w14:paraId="7CF5ECBF">
            <w:pPr>
              <w:spacing w:line="360" w:lineRule="auto"/>
              <w:ind w:firstLine="420" w:firstLineChars="200"/>
              <w:rPr>
                <w:rFonts w:ascii="Times New Roman" w:hAnsi="Times New Roman" w:eastAsia="宋体" w:cs="宋体"/>
                <w:color w:val="auto"/>
                <w:szCs w:val="21"/>
                <w:highlight w:val="none"/>
              </w:rPr>
            </w:pPr>
          </w:p>
          <w:p w14:paraId="1CDDFDC5">
            <w:pPr>
              <w:spacing w:line="360" w:lineRule="auto"/>
              <w:ind w:firstLine="420" w:firstLineChars="200"/>
              <w:rPr>
                <w:rFonts w:ascii="Times New Roman" w:hAnsi="Times New Roman" w:eastAsia="宋体" w:cs="宋体"/>
                <w:color w:val="auto"/>
                <w:szCs w:val="21"/>
                <w:highlight w:val="none"/>
              </w:rPr>
            </w:pPr>
          </w:p>
          <w:p w14:paraId="6DC80536">
            <w:pPr>
              <w:spacing w:line="360" w:lineRule="auto"/>
              <w:ind w:firstLine="420" w:firstLineChars="200"/>
              <w:rPr>
                <w:rFonts w:ascii="Times New Roman" w:hAnsi="Times New Roman" w:eastAsia="宋体" w:cs="宋体"/>
                <w:color w:val="auto"/>
                <w:szCs w:val="21"/>
                <w:highlight w:val="none"/>
              </w:rPr>
            </w:pPr>
          </w:p>
          <w:p w14:paraId="2A11B4CA">
            <w:pPr>
              <w:spacing w:line="360" w:lineRule="auto"/>
              <w:ind w:firstLine="420" w:firstLineChars="200"/>
              <w:rPr>
                <w:rFonts w:ascii="Times New Roman" w:hAnsi="Times New Roman" w:eastAsia="宋体" w:cs="宋体"/>
                <w:color w:val="auto"/>
                <w:szCs w:val="21"/>
                <w:highlight w:val="none"/>
              </w:rPr>
            </w:pPr>
          </w:p>
          <w:p w14:paraId="1D7127AD">
            <w:pPr>
              <w:spacing w:line="360" w:lineRule="auto"/>
              <w:ind w:firstLine="420" w:firstLineChars="200"/>
              <w:rPr>
                <w:rFonts w:ascii="Times New Roman" w:hAnsi="Times New Roman" w:eastAsia="宋体" w:cs="宋体"/>
                <w:color w:val="auto"/>
                <w:szCs w:val="21"/>
                <w:highlight w:val="none"/>
              </w:rPr>
            </w:pPr>
          </w:p>
          <w:p w14:paraId="13F29248">
            <w:pPr>
              <w:spacing w:line="360" w:lineRule="auto"/>
              <w:ind w:firstLine="420" w:firstLineChars="200"/>
              <w:rPr>
                <w:rFonts w:ascii="Times New Roman" w:hAnsi="Times New Roman" w:eastAsia="宋体" w:cs="宋体"/>
                <w:color w:val="auto"/>
                <w:szCs w:val="21"/>
                <w:highlight w:val="none"/>
              </w:rPr>
            </w:pPr>
          </w:p>
          <w:p w14:paraId="2630D058">
            <w:pPr>
              <w:spacing w:line="360" w:lineRule="auto"/>
              <w:ind w:firstLine="420" w:firstLineChars="200"/>
              <w:rPr>
                <w:rFonts w:ascii="Times New Roman" w:hAnsi="Times New Roman" w:eastAsia="宋体" w:cs="宋体"/>
                <w:color w:val="auto"/>
                <w:szCs w:val="21"/>
                <w:highlight w:val="none"/>
              </w:rPr>
            </w:pPr>
          </w:p>
          <w:p w14:paraId="5FD5C09B">
            <w:pPr>
              <w:spacing w:line="360" w:lineRule="auto"/>
              <w:ind w:firstLine="420" w:firstLineChars="200"/>
              <w:rPr>
                <w:rFonts w:ascii="Times New Roman" w:hAnsi="Times New Roman" w:eastAsia="宋体" w:cs="宋体"/>
                <w:color w:val="auto"/>
                <w:szCs w:val="21"/>
                <w:highlight w:val="none"/>
              </w:rPr>
            </w:pPr>
          </w:p>
          <w:p w14:paraId="0CFD71D9">
            <w:pPr>
              <w:spacing w:line="360" w:lineRule="auto"/>
              <w:ind w:firstLine="420" w:firstLineChars="200"/>
              <w:rPr>
                <w:rFonts w:ascii="Times New Roman" w:hAnsi="Times New Roman" w:eastAsia="宋体" w:cs="宋体"/>
                <w:color w:val="auto"/>
                <w:szCs w:val="21"/>
                <w:highlight w:val="none"/>
              </w:rPr>
            </w:pPr>
          </w:p>
          <w:p w14:paraId="17BAC1A4">
            <w:pPr>
              <w:spacing w:line="360" w:lineRule="auto"/>
              <w:ind w:firstLine="482" w:firstLineChars="200"/>
              <w:rPr>
                <w:rFonts w:ascii="Times New Roman" w:hAnsi="Times New Roman" w:eastAsia="宋体" w:cs="宋体"/>
                <w:b/>
                <w:color w:val="auto"/>
                <w:sz w:val="24"/>
                <w:highlight w:val="none"/>
              </w:rPr>
            </w:pPr>
          </w:p>
        </w:tc>
      </w:tr>
    </w:tbl>
    <w:p w14:paraId="2A5DCD9F">
      <w:pPr>
        <w:adjustRightInd w:val="0"/>
        <w:snapToGrid w:val="0"/>
        <w:spacing w:line="360" w:lineRule="auto"/>
        <w:rPr>
          <w:rFonts w:ascii="Times New Roman" w:hAnsi="Times New Roman" w:eastAsia="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840A3B0">
      <w:pPr>
        <w:pStyle w:val="19"/>
        <w:widowControl w:val="0"/>
        <w:jc w:val="center"/>
        <w:outlineLvl w:val="0"/>
        <w:rPr>
          <w:rFonts w:ascii="Times New Roman" w:hAnsi="Times New Roman" w:eastAsia="宋体" w:cs="宋体"/>
          <w:snapToGrid w:val="0"/>
          <w:color w:val="auto"/>
          <w:sz w:val="30"/>
          <w:szCs w:val="30"/>
          <w:highlight w:val="none"/>
        </w:rPr>
      </w:pPr>
      <w:bookmarkStart w:id="13" w:name="_Toc4996"/>
      <w:r>
        <w:rPr>
          <w:rFonts w:hint="eastAsia" w:ascii="Times New Roman" w:hAnsi="Times New Roman" w:eastAsia="宋体" w:cs="宋体"/>
          <w:snapToGrid w:val="0"/>
          <w:color w:val="auto"/>
          <w:sz w:val="30"/>
          <w:szCs w:val="30"/>
          <w:highlight w:val="none"/>
        </w:rPr>
        <w:t>五、</w:t>
      </w:r>
      <w:bookmarkStart w:id="14" w:name="_Hlk54167917"/>
      <w:r>
        <w:rPr>
          <w:rFonts w:hint="eastAsia" w:ascii="Times New Roman" w:hAnsi="Times New Roman" w:eastAsia="宋体" w:cs="宋体"/>
          <w:snapToGrid w:val="0"/>
          <w:color w:val="auto"/>
          <w:sz w:val="30"/>
          <w:szCs w:val="30"/>
          <w:highlight w:val="none"/>
        </w:rPr>
        <w:t>环境保护措施监督检查清单</w:t>
      </w:r>
      <w:bookmarkEnd w:id="13"/>
      <w:bookmarkEnd w:id="14"/>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78"/>
        <w:gridCol w:w="1318"/>
        <w:gridCol w:w="1520"/>
        <w:gridCol w:w="1530"/>
        <w:gridCol w:w="2654"/>
      </w:tblGrid>
      <w:tr w14:paraId="7CB23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tcBorders>
              <w:tl2br w:val="single" w:color="auto" w:sz="4" w:space="0"/>
            </w:tcBorders>
          </w:tcPr>
          <w:p w14:paraId="243B2251">
            <w:pPr>
              <w:snapToGrid w:val="0"/>
              <w:ind w:firstLine="84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内容</w:t>
            </w:r>
          </w:p>
          <w:p w14:paraId="2570B17D">
            <w:pPr>
              <w:snapToGrid w:val="0"/>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要素</w:t>
            </w:r>
          </w:p>
        </w:tc>
        <w:tc>
          <w:tcPr>
            <w:tcW w:w="1318" w:type="dxa"/>
            <w:vAlign w:val="center"/>
          </w:tcPr>
          <w:p w14:paraId="3A26AE46">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排放口（编号、名称）/污染源</w:t>
            </w:r>
          </w:p>
        </w:tc>
        <w:tc>
          <w:tcPr>
            <w:tcW w:w="1520" w:type="dxa"/>
            <w:vAlign w:val="center"/>
          </w:tcPr>
          <w:p w14:paraId="2F92EF7B">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污染物项目</w:t>
            </w:r>
          </w:p>
        </w:tc>
        <w:tc>
          <w:tcPr>
            <w:tcW w:w="1530" w:type="dxa"/>
            <w:vAlign w:val="center"/>
          </w:tcPr>
          <w:p w14:paraId="496AFF6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环境保护措施</w:t>
            </w:r>
          </w:p>
        </w:tc>
        <w:tc>
          <w:tcPr>
            <w:tcW w:w="2654" w:type="dxa"/>
            <w:vAlign w:val="center"/>
          </w:tcPr>
          <w:p w14:paraId="75893D1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执行标准</w:t>
            </w:r>
          </w:p>
        </w:tc>
      </w:tr>
      <w:tr w14:paraId="2936F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Merge w:val="restart"/>
            <w:vAlign w:val="center"/>
          </w:tcPr>
          <w:p w14:paraId="6C9BF0E6">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大气环境</w:t>
            </w:r>
          </w:p>
        </w:tc>
        <w:tc>
          <w:tcPr>
            <w:tcW w:w="1318" w:type="dxa"/>
            <w:vAlign w:val="center"/>
          </w:tcPr>
          <w:p w14:paraId="5993531F">
            <w:pPr>
              <w:snapToGrid w:val="0"/>
              <w:jc w:val="center"/>
              <w:rPr>
                <w:rFonts w:hint="eastAsia" w:ascii="Times New Roman" w:hAnsi="Times New Roman" w:eastAsia="宋体" w:cs="宋体"/>
                <w:color w:val="auto"/>
                <w:szCs w:val="21"/>
                <w:highlight w:val="none"/>
                <w:lang w:eastAsia="zh-CN"/>
              </w:rPr>
            </w:pPr>
            <w:r>
              <w:rPr>
                <w:rFonts w:hint="eastAsia" w:ascii="Times New Roman" w:hAnsi="Times New Roman" w:eastAsia="宋体" w:cs="宋体"/>
                <w:color w:val="auto"/>
                <w:szCs w:val="21"/>
                <w:highlight w:val="none"/>
              </w:rPr>
              <w:t>FQ-</w:t>
            </w:r>
            <w:r>
              <w:rPr>
                <w:rFonts w:hint="eastAsia" w:ascii="Times New Roman" w:hAnsi="Times New Roman" w:eastAsia="宋体" w:cs="宋体"/>
                <w:color w:val="auto"/>
                <w:szCs w:val="21"/>
                <w:highlight w:val="none"/>
                <w:lang w:val="en-US" w:eastAsia="zh-CN"/>
              </w:rPr>
              <w:t>1</w:t>
            </w:r>
          </w:p>
        </w:tc>
        <w:tc>
          <w:tcPr>
            <w:tcW w:w="1520" w:type="dxa"/>
            <w:vAlign w:val="center"/>
          </w:tcPr>
          <w:p w14:paraId="278FE94E">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颗粒物</w:t>
            </w:r>
            <w:r>
              <w:rPr>
                <w:rFonts w:hint="eastAsia" w:cs="宋体"/>
                <w:color w:val="auto"/>
                <w:szCs w:val="21"/>
                <w:highlight w:val="none"/>
                <w:lang w:val="en-US" w:eastAsia="zh-CN"/>
              </w:rPr>
              <w:t>、二氧化硫、氮氧化物、非甲烷总烃</w:t>
            </w:r>
          </w:p>
        </w:tc>
        <w:tc>
          <w:tcPr>
            <w:tcW w:w="1530" w:type="dxa"/>
            <w:vAlign w:val="center"/>
          </w:tcPr>
          <w:p w14:paraId="23A49C68">
            <w:pPr>
              <w:snapToGrid w:val="0"/>
              <w:jc w:val="center"/>
              <w:rPr>
                <w:rFonts w:hint="default" w:ascii="Times New Roman" w:hAnsi="Times New Roman" w:eastAsia="宋体" w:cs="宋体"/>
                <w:color w:val="auto"/>
                <w:szCs w:val="21"/>
                <w:highlight w:val="none"/>
                <w:lang w:val="en-US" w:eastAsia="zh-CN"/>
              </w:rPr>
            </w:pPr>
            <w:r>
              <w:rPr>
                <w:rFonts w:hint="eastAsia"/>
                <w:smallCaps w:val="0"/>
                <w:color w:val="auto"/>
                <w:lang w:val="en-US" w:eastAsia="zh-CN"/>
              </w:rPr>
              <w:t>水喷淋</w:t>
            </w:r>
            <w:r>
              <w:rPr>
                <w:rFonts w:hint="eastAsia" w:ascii="Times New Roman" w:hAnsi="Times New Roman" w:eastAsia="宋体"/>
                <w:smallCaps w:val="0"/>
                <w:color w:val="auto"/>
              </w:rPr>
              <w:t>装置</w:t>
            </w:r>
            <w:r>
              <w:rPr>
                <w:rFonts w:hint="eastAsia"/>
                <w:smallCaps w:val="0"/>
                <w:color w:val="auto"/>
                <w:lang w:val="en-US" w:eastAsia="zh-CN"/>
              </w:rPr>
              <w:t>/静电除油+水喷淋+除湿+二级活性炭装置</w:t>
            </w:r>
          </w:p>
        </w:tc>
        <w:tc>
          <w:tcPr>
            <w:tcW w:w="2654" w:type="dxa"/>
            <w:vAlign w:val="center"/>
          </w:tcPr>
          <w:p w14:paraId="70F04DD6">
            <w:pPr>
              <w:snapToGrid w:val="0"/>
              <w:jc w:val="center"/>
              <w:rPr>
                <w:rFonts w:hint="default"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《铸造工业大气污染物排放标准》（GB39726-2020）表1中的限值、</w:t>
            </w:r>
            <w:r>
              <w:rPr>
                <w:rFonts w:hint="eastAsia" w:ascii="Times New Roman" w:hAnsi="Times New Roman" w:eastAsia="宋体" w:cs="宋体"/>
                <w:bCs/>
                <w:color w:val="auto"/>
                <w:szCs w:val="21"/>
                <w:highlight w:val="none"/>
              </w:rPr>
              <w:t>《大气污染物综合排放标准》（</w:t>
            </w:r>
            <w:r>
              <w:rPr>
                <w:rFonts w:ascii="Times New Roman" w:hAnsi="Times New Roman" w:eastAsia="宋体" w:cs="宋体"/>
                <w:bCs/>
                <w:color w:val="auto"/>
                <w:szCs w:val="21"/>
                <w:highlight w:val="none"/>
              </w:rPr>
              <w:t>DB32/4041-2021</w:t>
            </w:r>
            <w:r>
              <w:rPr>
                <w:rFonts w:hint="eastAsia"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lang w:val="en-US" w:eastAsia="zh-CN"/>
              </w:rPr>
              <w:t>表</w:t>
            </w:r>
            <w:r>
              <w:rPr>
                <w:rFonts w:hint="eastAsia" w:cs="宋体"/>
                <w:bCs/>
                <w:color w:val="auto"/>
                <w:szCs w:val="21"/>
                <w:highlight w:val="none"/>
                <w:lang w:val="en-US" w:eastAsia="zh-CN"/>
              </w:rPr>
              <w:t>1</w:t>
            </w:r>
            <w:r>
              <w:rPr>
                <w:rFonts w:hint="eastAsia" w:ascii="Times New Roman" w:hAnsi="Times New Roman" w:eastAsia="宋体" w:cs="宋体"/>
                <w:bCs/>
                <w:color w:val="auto"/>
                <w:szCs w:val="21"/>
                <w:highlight w:val="none"/>
                <w:lang w:val="en-US" w:eastAsia="zh-CN"/>
              </w:rPr>
              <w:t>中的限值</w:t>
            </w:r>
          </w:p>
        </w:tc>
      </w:tr>
      <w:tr w14:paraId="5DF8D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Merge w:val="continue"/>
            <w:vAlign w:val="center"/>
          </w:tcPr>
          <w:p w14:paraId="667B624E">
            <w:pPr>
              <w:snapToGrid w:val="0"/>
              <w:jc w:val="center"/>
              <w:rPr>
                <w:rFonts w:hint="eastAsia" w:ascii="Times New Roman" w:hAnsi="Times New Roman" w:eastAsia="宋体" w:cs="宋体"/>
                <w:color w:val="auto"/>
                <w:szCs w:val="21"/>
                <w:highlight w:val="none"/>
              </w:rPr>
            </w:pPr>
          </w:p>
        </w:tc>
        <w:tc>
          <w:tcPr>
            <w:tcW w:w="1318" w:type="dxa"/>
            <w:vAlign w:val="center"/>
          </w:tcPr>
          <w:p w14:paraId="3FA0B11F">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FQ-3</w:t>
            </w:r>
          </w:p>
        </w:tc>
        <w:tc>
          <w:tcPr>
            <w:tcW w:w="1520" w:type="dxa"/>
            <w:vAlign w:val="center"/>
          </w:tcPr>
          <w:p w14:paraId="2A6CACFF">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w:t>
            </w:r>
          </w:p>
        </w:tc>
        <w:tc>
          <w:tcPr>
            <w:tcW w:w="1530" w:type="dxa"/>
            <w:vAlign w:val="center"/>
          </w:tcPr>
          <w:p w14:paraId="2A2B924A">
            <w:pPr>
              <w:snapToGrid w:val="0"/>
              <w:jc w:val="center"/>
              <w:rPr>
                <w:rFonts w:hint="default"/>
                <w:smallCaps w:val="0"/>
                <w:color w:val="auto"/>
                <w:lang w:val="en-US" w:eastAsia="zh-CN"/>
              </w:rPr>
            </w:pPr>
            <w:r>
              <w:rPr>
                <w:rFonts w:hint="eastAsia"/>
                <w:smallCaps w:val="0"/>
                <w:color w:val="auto"/>
                <w:lang w:val="en-US" w:eastAsia="zh-CN"/>
              </w:rPr>
              <w:t>湿式除尘器</w:t>
            </w:r>
          </w:p>
        </w:tc>
        <w:tc>
          <w:tcPr>
            <w:tcW w:w="2654" w:type="dxa"/>
            <w:vAlign w:val="center"/>
          </w:tcPr>
          <w:p w14:paraId="67C49959">
            <w:pPr>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color w:val="auto"/>
                <w:szCs w:val="21"/>
                <w:highlight w:val="none"/>
                <w:lang w:val="en-US" w:eastAsia="zh-CN"/>
              </w:rPr>
              <w:t>《铸造工业大气污染物排放标准》（GB39726-2020）表1中的限值</w:t>
            </w:r>
          </w:p>
        </w:tc>
      </w:tr>
      <w:tr w14:paraId="5C603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Merge w:val="continue"/>
            <w:vAlign w:val="center"/>
          </w:tcPr>
          <w:p w14:paraId="3EBDF617">
            <w:pPr>
              <w:snapToGrid w:val="0"/>
              <w:jc w:val="center"/>
              <w:rPr>
                <w:rFonts w:hint="eastAsia" w:ascii="Times New Roman" w:hAnsi="Times New Roman" w:eastAsia="宋体" w:cs="宋体"/>
                <w:color w:val="auto"/>
                <w:szCs w:val="21"/>
                <w:highlight w:val="none"/>
              </w:rPr>
            </w:pPr>
          </w:p>
        </w:tc>
        <w:tc>
          <w:tcPr>
            <w:tcW w:w="1318" w:type="dxa"/>
            <w:vAlign w:val="center"/>
          </w:tcPr>
          <w:p w14:paraId="750E0F2D">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厂界</w:t>
            </w:r>
          </w:p>
        </w:tc>
        <w:tc>
          <w:tcPr>
            <w:tcW w:w="1520" w:type="dxa"/>
            <w:vAlign w:val="center"/>
          </w:tcPr>
          <w:p w14:paraId="79A09FB6">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颗粒物、非甲烷总烃</w:t>
            </w:r>
          </w:p>
        </w:tc>
        <w:tc>
          <w:tcPr>
            <w:tcW w:w="1530" w:type="dxa"/>
            <w:vAlign w:val="center"/>
          </w:tcPr>
          <w:p w14:paraId="2C182CF5">
            <w:pPr>
              <w:snapToGrid w:val="0"/>
              <w:jc w:val="center"/>
              <w:rPr>
                <w:rFonts w:hint="eastAsia"/>
                <w:smallCaps w:val="0"/>
                <w:color w:val="auto"/>
                <w:lang w:val="en-US" w:eastAsia="zh-CN"/>
              </w:rPr>
            </w:pPr>
            <w:r>
              <w:rPr>
                <w:rFonts w:hint="eastAsia"/>
                <w:smallCaps w:val="0"/>
                <w:color w:val="auto"/>
                <w:lang w:val="en-US" w:eastAsia="zh-CN"/>
              </w:rPr>
              <w:t>加强通风</w:t>
            </w:r>
          </w:p>
        </w:tc>
        <w:tc>
          <w:tcPr>
            <w:tcW w:w="2654" w:type="dxa"/>
            <w:vAlign w:val="center"/>
          </w:tcPr>
          <w:p w14:paraId="213B59BB">
            <w:pPr>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bCs/>
                <w:color w:val="auto"/>
                <w:szCs w:val="21"/>
                <w:highlight w:val="none"/>
              </w:rPr>
              <w:t>《大气污染物综合排放标准》（</w:t>
            </w:r>
            <w:r>
              <w:rPr>
                <w:rFonts w:ascii="Times New Roman" w:hAnsi="Times New Roman" w:eastAsia="宋体" w:cs="宋体"/>
                <w:bCs/>
                <w:color w:val="auto"/>
                <w:szCs w:val="21"/>
                <w:highlight w:val="none"/>
              </w:rPr>
              <w:t>DB32/4041-2021</w:t>
            </w:r>
            <w:r>
              <w:rPr>
                <w:rFonts w:hint="eastAsia"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lang w:val="en-US" w:eastAsia="zh-CN"/>
              </w:rPr>
              <w:t>表3中的限值</w:t>
            </w:r>
          </w:p>
        </w:tc>
      </w:tr>
      <w:tr w14:paraId="65E89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778" w:type="dxa"/>
            <w:vMerge w:val="continue"/>
            <w:vAlign w:val="center"/>
          </w:tcPr>
          <w:p w14:paraId="3E068136">
            <w:pPr>
              <w:snapToGrid w:val="0"/>
              <w:jc w:val="center"/>
              <w:rPr>
                <w:rFonts w:hint="eastAsia" w:ascii="Times New Roman" w:hAnsi="Times New Roman" w:eastAsia="宋体" w:cs="宋体"/>
                <w:color w:val="auto"/>
                <w:szCs w:val="21"/>
                <w:highlight w:val="none"/>
              </w:rPr>
            </w:pPr>
          </w:p>
        </w:tc>
        <w:tc>
          <w:tcPr>
            <w:tcW w:w="1318" w:type="dxa"/>
            <w:vMerge w:val="restart"/>
            <w:vAlign w:val="center"/>
          </w:tcPr>
          <w:p w14:paraId="3EF9629D">
            <w:pPr>
              <w:snapToGrid w:val="0"/>
              <w:jc w:val="center"/>
              <w:rPr>
                <w:rFonts w:hint="eastAsia"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车间外</w:t>
            </w:r>
          </w:p>
        </w:tc>
        <w:tc>
          <w:tcPr>
            <w:tcW w:w="1520" w:type="dxa"/>
            <w:vAlign w:val="center"/>
          </w:tcPr>
          <w:p w14:paraId="1711FA8D">
            <w:pPr>
              <w:tabs>
                <w:tab w:val="left" w:pos="960"/>
              </w:tabs>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非甲烷总烃</w:t>
            </w:r>
          </w:p>
        </w:tc>
        <w:tc>
          <w:tcPr>
            <w:tcW w:w="1530" w:type="dxa"/>
            <w:vAlign w:val="center"/>
          </w:tcPr>
          <w:p w14:paraId="1C353798">
            <w:pPr>
              <w:snapToGrid w:val="0"/>
              <w:jc w:val="center"/>
              <w:rPr>
                <w:rFonts w:hint="default"/>
                <w:smallCaps w:val="0"/>
                <w:color w:val="auto"/>
                <w:lang w:val="en-US" w:eastAsia="zh-CN"/>
              </w:rPr>
            </w:pPr>
            <w:r>
              <w:rPr>
                <w:rFonts w:hint="eastAsia"/>
                <w:smallCaps w:val="0"/>
                <w:color w:val="auto"/>
                <w:lang w:val="en-US" w:eastAsia="zh-CN"/>
              </w:rPr>
              <w:t>加强通风</w:t>
            </w:r>
          </w:p>
        </w:tc>
        <w:tc>
          <w:tcPr>
            <w:tcW w:w="2654" w:type="dxa"/>
            <w:vAlign w:val="center"/>
          </w:tcPr>
          <w:p w14:paraId="5625FA00">
            <w:pPr>
              <w:snapToGrid w:val="0"/>
              <w:jc w:val="center"/>
              <w:rPr>
                <w:rFonts w:hint="eastAsia" w:ascii="Times New Roman" w:hAnsi="Times New Roman" w:eastAsia="宋体" w:cs="宋体"/>
                <w:color w:val="auto"/>
                <w:szCs w:val="21"/>
                <w:highlight w:val="none"/>
                <w:lang w:val="en-US" w:eastAsia="zh-CN"/>
              </w:rPr>
            </w:pPr>
            <w:r>
              <w:rPr>
                <w:rFonts w:hint="eastAsia" w:ascii="Times New Roman" w:hAnsi="Times New Roman" w:eastAsia="宋体" w:cs="宋体"/>
                <w:bCs/>
                <w:color w:val="auto"/>
                <w:szCs w:val="21"/>
                <w:highlight w:val="none"/>
              </w:rPr>
              <w:t>《大气污染物综合排放标准》（</w:t>
            </w:r>
            <w:r>
              <w:rPr>
                <w:rFonts w:ascii="Times New Roman" w:hAnsi="Times New Roman" w:eastAsia="宋体" w:cs="宋体"/>
                <w:bCs/>
                <w:color w:val="auto"/>
                <w:szCs w:val="21"/>
                <w:highlight w:val="none"/>
              </w:rPr>
              <w:t>DB32/4041-2021</w:t>
            </w:r>
            <w:r>
              <w:rPr>
                <w:rFonts w:hint="eastAsia" w:ascii="Times New Roman" w:hAnsi="Times New Roman" w:eastAsia="宋体" w:cs="宋体"/>
                <w:bCs/>
                <w:color w:val="auto"/>
                <w:szCs w:val="21"/>
                <w:highlight w:val="none"/>
              </w:rPr>
              <w:t>）</w:t>
            </w:r>
            <w:r>
              <w:rPr>
                <w:rFonts w:hint="eastAsia" w:ascii="Times New Roman" w:hAnsi="Times New Roman" w:eastAsia="宋体" w:cs="宋体"/>
                <w:bCs/>
                <w:color w:val="auto"/>
                <w:szCs w:val="21"/>
                <w:highlight w:val="none"/>
                <w:lang w:val="en-US" w:eastAsia="zh-CN"/>
              </w:rPr>
              <w:t>表2中的限值</w:t>
            </w:r>
          </w:p>
        </w:tc>
      </w:tr>
      <w:tr w14:paraId="56EBA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778" w:type="dxa"/>
            <w:vMerge w:val="continue"/>
            <w:vAlign w:val="center"/>
          </w:tcPr>
          <w:p w14:paraId="3F9879A3">
            <w:pPr>
              <w:snapToGrid w:val="0"/>
              <w:jc w:val="center"/>
              <w:rPr>
                <w:rFonts w:hint="eastAsia" w:ascii="Times New Roman" w:hAnsi="Times New Roman" w:eastAsia="宋体" w:cs="宋体"/>
                <w:color w:val="auto"/>
                <w:szCs w:val="21"/>
                <w:highlight w:val="none"/>
              </w:rPr>
            </w:pPr>
          </w:p>
        </w:tc>
        <w:tc>
          <w:tcPr>
            <w:tcW w:w="1318" w:type="dxa"/>
            <w:vMerge w:val="continue"/>
            <w:vAlign w:val="center"/>
          </w:tcPr>
          <w:p w14:paraId="1D8A007D">
            <w:pPr>
              <w:snapToGrid w:val="0"/>
              <w:jc w:val="center"/>
              <w:rPr>
                <w:rFonts w:hint="eastAsia" w:cs="宋体"/>
                <w:color w:val="auto"/>
                <w:szCs w:val="21"/>
                <w:highlight w:val="none"/>
                <w:lang w:val="en-US" w:eastAsia="zh-CN"/>
              </w:rPr>
            </w:pPr>
          </w:p>
        </w:tc>
        <w:tc>
          <w:tcPr>
            <w:tcW w:w="1520" w:type="dxa"/>
            <w:vAlign w:val="center"/>
          </w:tcPr>
          <w:p w14:paraId="10DE18F2">
            <w:pPr>
              <w:tabs>
                <w:tab w:val="left" w:pos="960"/>
              </w:tabs>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颗粒物</w:t>
            </w:r>
          </w:p>
        </w:tc>
        <w:tc>
          <w:tcPr>
            <w:tcW w:w="1530" w:type="dxa"/>
            <w:vAlign w:val="center"/>
          </w:tcPr>
          <w:p w14:paraId="2746D328">
            <w:pPr>
              <w:snapToGrid w:val="0"/>
              <w:jc w:val="center"/>
              <w:rPr>
                <w:rFonts w:hint="eastAsia"/>
                <w:smallCaps w:val="0"/>
                <w:color w:val="auto"/>
                <w:lang w:val="en-US" w:eastAsia="zh-CN"/>
              </w:rPr>
            </w:pPr>
            <w:r>
              <w:rPr>
                <w:rFonts w:hint="eastAsia"/>
                <w:smallCaps w:val="0"/>
                <w:color w:val="auto"/>
                <w:lang w:val="en-US" w:eastAsia="zh-CN"/>
              </w:rPr>
              <w:t>加强通风</w:t>
            </w:r>
          </w:p>
        </w:tc>
        <w:tc>
          <w:tcPr>
            <w:tcW w:w="2654" w:type="dxa"/>
            <w:vAlign w:val="center"/>
          </w:tcPr>
          <w:p w14:paraId="03239179">
            <w:pPr>
              <w:snapToGrid w:val="0"/>
              <w:jc w:val="center"/>
              <w:rPr>
                <w:rFonts w:hint="eastAsia" w:ascii="Times New Roman" w:hAnsi="Times New Roman" w:eastAsia="宋体" w:cs="宋体"/>
                <w:bCs/>
                <w:color w:val="auto"/>
                <w:szCs w:val="21"/>
                <w:highlight w:val="none"/>
              </w:rPr>
            </w:pPr>
            <w:r>
              <w:rPr>
                <w:rFonts w:hint="eastAsia" w:ascii="Times New Roman" w:hAnsi="Times New Roman" w:eastAsia="宋体" w:cs="宋体"/>
                <w:color w:val="auto"/>
                <w:szCs w:val="21"/>
                <w:highlight w:val="none"/>
                <w:lang w:val="en-US" w:eastAsia="zh-CN"/>
              </w:rPr>
              <w:t>《铸造工业大气污染物排放标准》（GB39726-2020）</w:t>
            </w:r>
            <w:r>
              <w:rPr>
                <w:rFonts w:hint="eastAsia" w:cs="宋体"/>
                <w:color w:val="auto"/>
                <w:szCs w:val="21"/>
                <w:highlight w:val="none"/>
                <w:lang w:val="en-US" w:eastAsia="zh-CN"/>
              </w:rPr>
              <w:t>附录A.1</w:t>
            </w:r>
            <w:r>
              <w:rPr>
                <w:rFonts w:hint="eastAsia" w:ascii="Times New Roman" w:hAnsi="Times New Roman" w:eastAsia="宋体" w:cs="宋体"/>
                <w:color w:val="auto"/>
                <w:szCs w:val="21"/>
                <w:highlight w:val="none"/>
                <w:lang w:val="en-US" w:eastAsia="zh-CN"/>
              </w:rPr>
              <w:t>中的限值</w:t>
            </w:r>
          </w:p>
        </w:tc>
      </w:tr>
      <w:tr w14:paraId="6A529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31D5DE73">
            <w:pPr>
              <w:snapToGrid w:val="0"/>
              <w:jc w:val="center"/>
              <w:rPr>
                <w:rFonts w:hint="default" w:ascii="Times New Roman" w:hAnsi="Times New Roman" w:eastAsia="宋体" w:cs="宋体"/>
                <w:color w:val="auto"/>
                <w:szCs w:val="21"/>
                <w:highlight w:val="none"/>
                <w:lang w:val="en-US" w:eastAsia="zh-CN"/>
              </w:rPr>
            </w:pPr>
            <w:r>
              <w:rPr>
                <w:rFonts w:hint="eastAsia" w:cs="宋体"/>
                <w:color w:val="auto"/>
                <w:szCs w:val="21"/>
                <w:highlight w:val="none"/>
                <w:lang w:val="en-US" w:eastAsia="zh-CN"/>
              </w:rPr>
              <w:t>地表水环境</w:t>
            </w:r>
          </w:p>
        </w:tc>
        <w:tc>
          <w:tcPr>
            <w:tcW w:w="1318" w:type="dxa"/>
            <w:vAlign w:val="center"/>
          </w:tcPr>
          <w:p w14:paraId="263DBABF">
            <w:pPr>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振光废水、清洗废水</w:t>
            </w:r>
          </w:p>
        </w:tc>
        <w:tc>
          <w:tcPr>
            <w:tcW w:w="1520" w:type="dxa"/>
            <w:vAlign w:val="center"/>
          </w:tcPr>
          <w:p w14:paraId="07F1DF93">
            <w:pPr>
              <w:tabs>
                <w:tab w:val="left" w:pos="960"/>
              </w:tabs>
              <w:snapToGrid w:val="0"/>
              <w:jc w:val="center"/>
              <w:rPr>
                <w:rFonts w:hint="default" w:cs="宋体"/>
                <w:color w:val="auto"/>
                <w:szCs w:val="21"/>
                <w:highlight w:val="none"/>
                <w:lang w:val="en-US" w:eastAsia="zh-CN"/>
              </w:rPr>
            </w:pPr>
            <w:r>
              <w:rPr>
                <w:rFonts w:hint="eastAsia" w:cs="宋体"/>
                <w:color w:val="auto"/>
                <w:szCs w:val="21"/>
                <w:highlight w:val="none"/>
                <w:lang w:val="en-US" w:eastAsia="zh-CN"/>
              </w:rPr>
              <w:t>COD、SS、石油类、LAS</w:t>
            </w:r>
          </w:p>
        </w:tc>
        <w:tc>
          <w:tcPr>
            <w:tcW w:w="1530" w:type="dxa"/>
            <w:vAlign w:val="center"/>
          </w:tcPr>
          <w:p w14:paraId="629E7108">
            <w:pPr>
              <w:snapToGrid w:val="0"/>
              <w:jc w:val="center"/>
              <w:rPr>
                <w:rFonts w:hint="eastAsia"/>
                <w:smallCaps w:val="0"/>
                <w:color w:val="auto"/>
                <w:lang w:val="en-US" w:eastAsia="zh-CN"/>
              </w:rPr>
            </w:pPr>
            <w:r>
              <w:rPr>
                <w:rFonts w:hint="eastAsia" w:ascii="Times New Roman" w:hAnsi="Times New Roman" w:cs="宋体"/>
                <w:smallCaps w:val="0"/>
                <w:color w:val="auto"/>
                <w:lang w:val="en-US" w:eastAsia="zh-CN"/>
              </w:rPr>
              <w:t>精密过滤+炭滤+砂滤+RO</w:t>
            </w:r>
          </w:p>
        </w:tc>
        <w:tc>
          <w:tcPr>
            <w:tcW w:w="2654" w:type="dxa"/>
            <w:vAlign w:val="center"/>
          </w:tcPr>
          <w:p w14:paraId="044B196A">
            <w:pPr>
              <w:snapToGrid w:val="0"/>
              <w:jc w:val="center"/>
              <w:rPr>
                <w:rFonts w:hint="eastAsia" w:ascii="Times New Roman" w:hAnsi="Times New Roman" w:eastAsia="宋体" w:cs="宋体"/>
                <w:bCs/>
                <w:color w:val="auto"/>
                <w:szCs w:val="21"/>
                <w:highlight w:val="none"/>
                <w:lang w:val="en-US" w:eastAsia="zh-CN"/>
              </w:rPr>
            </w:pPr>
            <w:r>
              <w:rPr>
                <w:rFonts w:hint="eastAsia" w:ascii="Times New Roman" w:hAnsi="Times New Roman" w:eastAsia="宋体" w:cs="宋体"/>
                <w:bCs/>
                <w:color w:val="auto"/>
                <w:szCs w:val="21"/>
                <w:highlight w:val="none"/>
              </w:rPr>
              <w:t>《城市污水再生利用 工业用水水质》（GB/T19923-2024）表1洗涤用水</w:t>
            </w:r>
            <w:r>
              <w:rPr>
                <w:rFonts w:hint="eastAsia" w:ascii="Times New Roman" w:hAnsi="Times New Roman" w:eastAsia="宋体" w:cs="宋体"/>
                <w:bCs/>
                <w:color w:val="auto"/>
                <w:szCs w:val="21"/>
                <w:highlight w:val="none"/>
                <w:lang w:val="en-US" w:eastAsia="zh-CN"/>
              </w:rPr>
              <w:t>限值</w:t>
            </w:r>
          </w:p>
        </w:tc>
      </w:tr>
      <w:tr w14:paraId="685B5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204C975C">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声环境</w:t>
            </w:r>
          </w:p>
        </w:tc>
        <w:tc>
          <w:tcPr>
            <w:tcW w:w="7022" w:type="dxa"/>
            <w:gridSpan w:val="4"/>
            <w:vAlign w:val="center"/>
          </w:tcPr>
          <w:p w14:paraId="0AFDD6F7">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通过车间隔声</w:t>
            </w:r>
            <w:r>
              <w:rPr>
                <w:rFonts w:hint="eastAsia" w:ascii="Times New Roman" w:hAnsi="Times New Roman" w:eastAsia="宋体" w:cs="宋体"/>
                <w:color w:val="auto"/>
                <w:szCs w:val="21"/>
                <w:highlight w:val="none"/>
              </w:rPr>
              <w:t>、</w:t>
            </w:r>
            <w:r>
              <w:rPr>
                <w:rFonts w:ascii="Times New Roman" w:hAnsi="Times New Roman" w:eastAsia="宋体" w:cs="宋体"/>
                <w:color w:val="auto"/>
                <w:szCs w:val="21"/>
                <w:highlight w:val="none"/>
              </w:rPr>
              <w:t>距离衰减</w:t>
            </w:r>
            <w:r>
              <w:rPr>
                <w:rFonts w:hint="eastAsia" w:ascii="Times New Roman" w:hAnsi="Times New Roman" w:eastAsia="宋体" w:cs="宋体"/>
                <w:color w:val="auto"/>
                <w:szCs w:val="21"/>
                <w:highlight w:val="none"/>
              </w:rPr>
              <w:t>，</w:t>
            </w:r>
            <w:r>
              <w:rPr>
                <w:rFonts w:ascii="Times New Roman" w:hAnsi="Times New Roman" w:eastAsia="宋体" w:cs="宋体"/>
                <w:color w:val="auto"/>
                <w:szCs w:val="21"/>
                <w:highlight w:val="none"/>
              </w:rPr>
              <w:t>采取噪声防治措施后，东、南、</w:t>
            </w:r>
            <w:r>
              <w:rPr>
                <w:rFonts w:hint="eastAsia" w:ascii="Times New Roman" w:hAnsi="Times New Roman" w:eastAsia="宋体" w:cs="宋体"/>
                <w:color w:val="auto"/>
                <w:szCs w:val="21"/>
                <w:highlight w:val="none"/>
              </w:rPr>
              <w:t>西、</w:t>
            </w:r>
            <w:r>
              <w:rPr>
                <w:rFonts w:ascii="Times New Roman" w:hAnsi="Times New Roman" w:eastAsia="宋体" w:cs="宋体"/>
                <w:color w:val="auto"/>
                <w:szCs w:val="21"/>
                <w:highlight w:val="none"/>
              </w:rPr>
              <w:t>北厂界昼间噪声预测值</w:t>
            </w:r>
            <w:r>
              <w:rPr>
                <w:rFonts w:hint="eastAsia" w:ascii="Times New Roman" w:hAnsi="Times New Roman" w:eastAsia="宋体" w:cs="宋体"/>
                <w:color w:val="auto"/>
                <w:szCs w:val="21"/>
                <w:highlight w:val="none"/>
              </w:rPr>
              <w:t>满足</w:t>
            </w:r>
            <w:r>
              <w:rPr>
                <w:rFonts w:ascii="Times New Roman" w:hAnsi="Times New Roman" w:eastAsia="宋体" w:cs="宋体"/>
                <w:color w:val="auto"/>
                <w:szCs w:val="21"/>
                <w:highlight w:val="none"/>
              </w:rPr>
              <w:t>《工业企业厂界环境噪声排放标准》（GB12348—2008）</w:t>
            </w:r>
            <w:r>
              <w:rPr>
                <w:rFonts w:hint="eastAsia" w:cs="宋体"/>
                <w:color w:val="auto"/>
                <w:szCs w:val="21"/>
                <w:highlight w:val="none"/>
                <w:lang w:val="en-US" w:eastAsia="zh-CN"/>
              </w:rPr>
              <w:t>3</w:t>
            </w:r>
            <w:r>
              <w:rPr>
                <w:rFonts w:hint="eastAsia" w:ascii="Times New Roman" w:hAnsi="Times New Roman" w:eastAsia="宋体" w:cs="宋体"/>
                <w:color w:val="auto"/>
                <w:szCs w:val="21"/>
                <w:highlight w:val="none"/>
              </w:rPr>
              <w:t>类</w:t>
            </w:r>
            <w:r>
              <w:rPr>
                <w:rFonts w:ascii="Times New Roman" w:hAnsi="Times New Roman" w:eastAsia="宋体" w:cs="宋体"/>
                <w:color w:val="auto"/>
                <w:szCs w:val="21"/>
                <w:highlight w:val="none"/>
              </w:rPr>
              <w:t>标准</w:t>
            </w:r>
            <w:r>
              <w:rPr>
                <w:rFonts w:hint="eastAsia" w:ascii="Times New Roman" w:hAnsi="Times New Roman" w:eastAsia="宋体" w:cs="宋体"/>
                <w:color w:val="auto"/>
                <w:szCs w:val="21"/>
                <w:highlight w:val="none"/>
              </w:rPr>
              <w:t>。</w:t>
            </w:r>
          </w:p>
        </w:tc>
      </w:tr>
      <w:tr w14:paraId="3A66DD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61945B0B">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电磁辐射</w:t>
            </w:r>
          </w:p>
        </w:tc>
        <w:tc>
          <w:tcPr>
            <w:tcW w:w="7022" w:type="dxa"/>
            <w:gridSpan w:val="4"/>
            <w:vAlign w:val="center"/>
          </w:tcPr>
          <w:p w14:paraId="260FA066">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本项目涉及使用X-Ray探伤仪，涉及电磁辐射，需按照环境管理要求另行办理相关环保手续</w:t>
            </w:r>
          </w:p>
        </w:tc>
      </w:tr>
      <w:tr w14:paraId="5EEC86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00B32DB9">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固体废物</w:t>
            </w:r>
          </w:p>
        </w:tc>
        <w:tc>
          <w:tcPr>
            <w:tcW w:w="7022" w:type="dxa"/>
            <w:gridSpan w:val="4"/>
            <w:vAlign w:val="center"/>
          </w:tcPr>
          <w:p w14:paraId="7BCAE9C1">
            <w:pPr>
              <w:snapToGrid w:val="0"/>
              <w:jc w:val="center"/>
              <w:rPr>
                <w:rFonts w:hint="eastAsia" w:ascii="Times New Roman" w:hAnsi="Times New Roman" w:eastAsia="宋体" w:cs="宋体"/>
                <w:color w:val="auto"/>
                <w:szCs w:val="21"/>
                <w:highlight w:val="none"/>
              </w:rPr>
            </w:pPr>
            <w:r>
              <w:rPr>
                <w:rFonts w:hint="eastAsia" w:cs="宋体"/>
                <w:color w:val="auto"/>
                <w:szCs w:val="21"/>
                <w:highlight w:val="none"/>
                <w:lang w:val="en-US" w:eastAsia="zh-CN"/>
              </w:rPr>
              <w:t>本项目产生的</w:t>
            </w:r>
            <w:r>
              <w:rPr>
                <w:rFonts w:hint="eastAsia" w:ascii="Times New Roman" w:hAnsi="Times New Roman" w:eastAsia="宋体" w:cs="宋体"/>
                <w:color w:val="auto"/>
                <w:szCs w:val="21"/>
                <w:highlight w:val="none"/>
                <w:lang w:val="en-US" w:eastAsia="zh-CN"/>
              </w:rPr>
              <w:t>废机加工</w:t>
            </w:r>
            <w:r>
              <w:rPr>
                <w:rFonts w:hint="eastAsia" w:ascii="Times New Roman" w:hAnsi="Times New Roman" w:eastAsia="宋体" w:cs="宋体"/>
                <w:color w:val="auto"/>
                <w:szCs w:val="21"/>
                <w:highlight w:val="none"/>
                <w:lang w:eastAsia="zh-CN"/>
              </w:rPr>
              <w:t>边角料、除尘器收尘</w:t>
            </w:r>
            <w:r>
              <w:rPr>
                <w:rFonts w:hint="eastAsia" w:ascii="Times New Roman" w:hAnsi="Times New Roman" w:eastAsia="宋体" w:cs="宋体"/>
                <w:color w:val="auto"/>
                <w:szCs w:val="21"/>
                <w:highlight w:val="none"/>
              </w:rPr>
              <w:t>外售综合利用，</w:t>
            </w:r>
            <w:r>
              <w:rPr>
                <w:rFonts w:hint="eastAsia" w:ascii="Times New Roman" w:hAnsi="Times New Roman" w:eastAsia="宋体" w:cs="宋体"/>
                <w:color w:val="auto"/>
                <w:szCs w:val="21"/>
                <w:highlight w:val="none"/>
                <w:lang w:val="en-US" w:eastAsia="zh-CN"/>
              </w:rPr>
              <w:t>废打磨边角料、不合格品回用于熔化工序，铝灰渣、脱模废液、废乳化液、RO浓液、废过滤介质</w:t>
            </w:r>
            <w:r>
              <w:rPr>
                <w:rFonts w:hint="eastAsia" w:ascii="Times New Roman" w:hAnsi="Times New Roman" w:eastAsia="宋体" w:cs="宋体"/>
                <w:color w:val="auto"/>
                <w:szCs w:val="21"/>
                <w:highlight w:val="none"/>
                <w:lang w:eastAsia="zh-CN"/>
              </w:rPr>
              <w:t>、</w:t>
            </w:r>
            <w:r>
              <w:rPr>
                <w:rFonts w:hint="eastAsia" w:ascii="Times New Roman" w:hAnsi="Times New Roman" w:eastAsia="宋体" w:cs="宋体"/>
                <w:color w:val="auto"/>
                <w:szCs w:val="21"/>
                <w:highlight w:val="none"/>
                <w:lang w:val="en-US" w:eastAsia="zh-CN"/>
              </w:rPr>
              <w:t>除尘渣、废活性炭、废矿物油、</w:t>
            </w:r>
            <w:r>
              <w:rPr>
                <w:rFonts w:hint="eastAsia" w:ascii="Times New Roman" w:hAnsi="Times New Roman" w:eastAsia="宋体" w:cs="宋体"/>
                <w:color w:val="auto"/>
                <w:szCs w:val="21"/>
                <w:highlight w:val="none"/>
                <w:lang w:eastAsia="zh-CN"/>
              </w:rPr>
              <w:t>废包装桶</w:t>
            </w:r>
            <w:r>
              <w:rPr>
                <w:rFonts w:hint="eastAsia" w:ascii="Times New Roman" w:hAnsi="Times New Roman" w:eastAsia="宋体" w:cs="宋体"/>
                <w:color w:val="auto"/>
                <w:szCs w:val="21"/>
                <w:highlight w:val="none"/>
              </w:rPr>
              <w:t>委托有资质单位处置，</w:t>
            </w:r>
            <w:r>
              <w:rPr>
                <w:rFonts w:hint="eastAsia" w:ascii="Times New Roman" w:hAnsi="Times New Roman" w:eastAsia="宋体" w:cs="宋体"/>
                <w:color w:val="auto"/>
                <w:szCs w:val="21"/>
                <w:highlight w:val="none"/>
                <w:lang w:val="en-US" w:eastAsia="zh-CN"/>
              </w:rPr>
              <w:t>含油劳保用品</w:t>
            </w:r>
            <w:r>
              <w:rPr>
                <w:rFonts w:hint="eastAsia" w:ascii="Times New Roman" w:hAnsi="Times New Roman" w:eastAsia="宋体" w:cs="宋体"/>
                <w:color w:val="auto"/>
                <w:szCs w:val="21"/>
                <w:highlight w:val="none"/>
              </w:rPr>
              <w:t>由当地环卫部门及时收集和清运，进入城市垃圾处理系统统一处置</w:t>
            </w:r>
          </w:p>
        </w:tc>
      </w:tr>
      <w:tr w14:paraId="2F3C9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67D67B03">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土壤及地下水</w:t>
            </w:r>
          </w:p>
          <w:p w14:paraId="4CBC0780">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污染防治措施</w:t>
            </w:r>
          </w:p>
        </w:tc>
        <w:tc>
          <w:tcPr>
            <w:tcW w:w="7022" w:type="dxa"/>
            <w:gridSpan w:val="4"/>
            <w:vAlign w:val="center"/>
          </w:tcPr>
          <w:p w14:paraId="16063004">
            <w:pPr>
              <w:snapToGrid w:val="0"/>
              <w:jc w:val="center"/>
              <w:rPr>
                <w:rFonts w:ascii="Times New Roman" w:hAnsi="Times New Roman" w:eastAsia="宋体" w:cs="宋体"/>
                <w:color w:val="auto"/>
                <w:szCs w:val="21"/>
                <w:highlight w:val="none"/>
              </w:rPr>
            </w:pPr>
            <w:r>
              <w:rPr>
                <w:rFonts w:ascii="Times New Roman" w:hAnsi="Times New Roman" w:eastAsia="宋体" w:cs="宋体"/>
                <w:color w:val="auto"/>
                <w:szCs w:val="21"/>
                <w:highlight w:val="none"/>
              </w:rPr>
              <w:t>生产车间、办公用房为一般防渗区，</w:t>
            </w:r>
            <w:r>
              <w:rPr>
                <w:rFonts w:hint="eastAsia" w:ascii="Times New Roman" w:hAnsi="Times New Roman" w:eastAsia="宋体" w:cs="宋体"/>
                <w:color w:val="auto"/>
                <w:szCs w:val="21"/>
                <w:highlight w:val="none"/>
              </w:rPr>
              <w:t>危险废物暂存间、熔化压铸区、清洗区、油品库</w:t>
            </w:r>
            <w:r>
              <w:rPr>
                <w:rFonts w:ascii="Times New Roman" w:hAnsi="Times New Roman" w:eastAsia="宋体" w:cs="宋体"/>
                <w:color w:val="auto"/>
                <w:szCs w:val="21"/>
                <w:highlight w:val="none"/>
              </w:rPr>
              <w:t>为重点防渗区。从设计、管理中防止和减少污染物料的跑、冒、滴、漏而采取的各种措施，主要措施包括工艺、管道、设备、土建、给排水、总图布置等防止污染物泄漏的措施。运行期严格管理，加强巡检，及时发现液态物料泄漏；一旦出现泄漏及时处理，检查检修设备，将泄漏的环境风险事故降到最低。固废堆场在做好地面防渗、耐腐蚀处理的同时，需设置隔离设施以及防风、防晒和防雨设施。</w:t>
            </w:r>
          </w:p>
        </w:tc>
      </w:tr>
      <w:tr w14:paraId="28999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650ECB0C">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生态保护措施</w:t>
            </w:r>
          </w:p>
        </w:tc>
        <w:tc>
          <w:tcPr>
            <w:tcW w:w="7022" w:type="dxa"/>
            <w:gridSpan w:val="4"/>
            <w:vAlign w:val="center"/>
          </w:tcPr>
          <w:p w14:paraId="2F755AD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w:t>
            </w:r>
          </w:p>
        </w:tc>
      </w:tr>
      <w:tr w14:paraId="7F6AF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19EDE35A">
            <w:pPr>
              <w:snapToGrid w:val="0"/>
              <w:jc w:val="center"/>
              <w:rPr>
                <w:rFonts w:ascii="Times New Roman" w:hAnsi="Times New Roman" w:eastAsia="宋体" w:cs="宋体"/>
                <w:color w:val="auto"/>
                <w:spacing w:val="-8"/>
                <w:szCs w:val="21"/>
                <w:highlight w:val="none"/>
              </w:rPr>
            </w:pPr>
            <w:r>
              <w:rPr>
                <w:rFonts w:hint="eastAsia" w:ascii="Times New Roman" w:hAnsi="Times New Roman" w:eastAsia="宋体" w:cs="宋体"/>
                <w:color w:val="auto"/>
                <w:spacing w:val="-8"/>
                <w:szCs w:val="21"/>
                <w:highlight w:val="none"/>
              </w:rPr>
              <w:t>环境风险</w:t>
            </w:r>
          </w:p>
          <w:p w14:paraId="2EE459AF">
            <w:pPr>
              <w:snapToGrid w:val="0"/>
              <w:jc w:val="center"/>
              <w:rPr>
                <w:rFonts w:ascii="Times New Roman" w:hAnsi="Times New Roman" w:eastAsia="宋体" w:cs="宋体"/>
                <w:color w:val="auto"/>
                <w:spacing w:val="-8"/>
                <w:szCs w:val="21"/>
                <w:highlight w:val="none"/>
              </w:rPr>
            </w:pPr>
            <w:r>
              <w:rPr>
                <w:rFonts w:hint="eastAsia" w:ascii="Times New Roman" w:hAnsi="Times New Roman" w:eastAsia="宋体" w:cs="宋体"/>
                <w:color w:val="auto"/>
                <w:spacing w:val="-8"/>
                <w:szCs w:val="21"/>
                <w:highlight w:val="none"/>
              </w:rPr>
              <w:t>防范措施</w:t>
            </w:r>
          </w:p>
        </w:tc>
        <w:tc>
          <w:tcPr>
            <w:tcW w:w="7022" w:type="dxa"/>
            <w:gridSpan w:val="4"/>
            <w:vAlign w:val="center"/>
          </w:tcPr>
          <w:p w14:paraId="10291B00">
            <w:pPr>
              <w:snapToGrid w:val="0"/>
              <w:jc w:val="center"/>
              <w:rPr>
                <w:rFonts w:ascii="Times New Roman" w:hAnsi="Times New Roman" w:eastAsia="宋体" w:cs="宋体"/>
                <w:bCs/>
                <w:color w:val="auto"/>
                <w:szCs w:val="32"/>
                <w:highlight w:val="none"/>
              </w:rPr>
            </w:pPr>
            <w:r>
              <w:rPr>
                <w:rFonts w:ascii="Times New Roman" w:hAnsi="Times New Roman" w:eastAsia="宋体" w:cs="宋体"/>
                <w:bCs/>
                <w:color w:val="auto"/>
                <w:szCs w:val="32"/>
                <w:highlight w:val="none"/>
              </w:rPr>
              <w:t>从生产管理、原辅料贮存、工艺技术设计、消防及火灾报警系统等方面制定相应的环境风险防范措施，配备相应的消防措施，如灭火器等。规范各类</w:t>
            </w:r>
            <w:r>
              <w:rPr>
                <w:rFonts w:hint="eastAsia" w:ascii="Times New Roman" w:hAnsi="Times New Roman" w:eastAsia="宋体" w:cs="宋体"/>
                <w:bCs/>
                <w:color w:val="auto"/>
                <w:szCs w:val="32"/>
                <w:highlight w:val="none"/>
              </w:rPr>
              <w:t>原辅料</w:t>
            </w:r>
            <w:r>
              <w:rPr>
                <w:rFonts w:ascii="Times New Roman" w:hAnsi="Times New Roman" w:eastAsia="宋体" w:cs="宋体"/>
                <w:bCs/>
                <w:color w:val="auto"/>
                <w:szCs w:val="32"/>
                <w:highlight w:val="none"/>
              </w:rPr>
              <w:t>贮存，定期检查，谨防</w:t>
            </w:r>
            <w:r>
              <w:rPr>
                <w:rFonts w:hint="eastAsia" w:ascii="Times New Roman" w:hAnsi="Times New Roman" w:eastAsia="宋体" w:cs="宋体"/>
                <w:bCs/>
                <w:color w:val="auto"/>
                <w:szCs w:val="32"/>
                <w:highlight w:val="none"/>
              </w:rPr>
              <w:t>泄漏</w:t>
            </w:r>
            <w:r>
              <w:rPr>
                <w:rFonts w:ascii="Times New Roman" w:hAnsi="Times New Roman" w:eastAsia="宋体" w:cs="宋体"/>
                <w:bCs/>
                <w:color w:val="auto"/>
                <w:szCs w:val="32"/>
                <w:highlight w:val="none"/>
              </w:rPr>
              <w:t>。原辅材料存放地应阴凉，车间内不得有热源，严禁明火，夏季应有降温措施。</w:t>
            </w:r>
          </w:p>
        </w:tc>
      </w:tr>
      <w:tr w14:paraId="41C67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8" w:type="dxa"/>
            <w:vAlign w:val="center"/>
          </w:tcPr>
          <w:p w14:paraId="2858FD8F">
            <w:pPr>
              <w:snapToGrid w:val="0"/>
              <w:jc w:val="center"/>
              <w:rPr>
                <w:rFonts w:ascii="Times New Roman" w:hAnsi="Times New Roman" w:eastAsia="宋体" w:cs="宋体"/>
                <w:bCs/>
                <w:color w:val="auto"/>
                <w:szCs w:val="32"/>
                <w:highlight w:val="none"/>
              </w:rPr>
            </w:pPr>
            <w:r>
              <w:rPr>
                <w:rFonts w:hint="eastAsia" w:ascii="Times New Roman" w:hAnsi="Times New Roman" w:eastAsia="宋体" w:cs="宋体"/>
                <w:bCs/>
                <w:color w:val="auto"/>
                <w:szCs w:val="32"/>
                <w:highlight w:val="none"/>
              </w:rPr>
              <w:t>其他环境</w:t>
            </w:r>
          </w:p>
          <w:p w14:paraId="59018923">
            <w:pPr>
              <w:snapToGrid w:val="0"/>
              <w:jc w:val="center"/>
              <w:rPr>
                <w:rFonts w:ascii="Times New Roman" w:hAnsi="Times New Roman" w:eastAsia="宋体" w:cs="宋体"/>
                <w:bCs/>
                <w:color w:val="auto"/>
                <w:szCs w:val="32"/>
                <w:highlight w:val="none"/>
              </w:rPr>
            </w:pPr>
            <w:r>
              <w:rPr>
                <w:rFonts w:hint="eastAsia" w:ascii="Times New Roman" w:hAnsi="Times New Roman" w:eastAsia="宋体" w:cs="宋体"/>
                <w:bCs/>
                <w:color w:val="auto"/>
                <w:szCs w:val="32"/>
                <w:highlight w:val="none"/>
              </w:rPr>
              <w:t>管理要求</w:t>
            </w:r>
          </w:p>
        </w:tc>
        <w:tc>
          <w:tcPr>
            <w:tcW w:w="7022" w:type="dxa"/>
            <w:gridSpan w:val="4"/>
            <w:vAlign w:val="center"/>
          </w:tcPr>
          <w:p w14:paraId="2941D034">
            <w:pPr>
              <w:pStyle w:val="6"/>
              <w:numPr>
                <w:ilvl w:val="0"/>
                <w:numId w:val="0"/>
              </w:numPr>
              <w:snapToGrid w:val="0"/>
              <w:jc w:val="both"/>
              <w:rPr>
                <w:rFonts w:hint="eastAsia" w:ascii="Times New Roman" w:hAnsi="Times New Roman" w:eastAsia="宋体" w:cs="宋体"/>
                <w:bCs/>
                <w:color w:val="auto"/>
                <w:kern w:val="2"/>
                <w:sz w:val="21"/>
                <w:szCs w:val="32"/>
                <w:highlight w:val="none"/>
              </w:rPr>
            </w:pPr>
            <w:r>
              <w:rPr>
                <w:rFonts w:hint="eastAsia" w:cs="宋体"/>
                <w:bCs/>
                <w:color w:val="auto"/>
                <w:kern w:val="2"/>
                <w:sz w:val="21"/>
                <w:szCs w:val="32"/>
                <w:highlight w:val="none"/>
                <w:lang w:val="en-US" w:eastAsia="zh-CN"/>
              </w:rPr>
              <w:t>1、</w:t>
            </w:r>
            <w:r>
              <w:rPr>
                <w:rFonts w:hint="eastAsia" w:ascii="Times New Roman" w:hAnsi="Times New Roman" w:eastAsia="宋体" w:cs="宋体"/>
                <w:bCs/>
                <w:color w:val="auto"/>
                <w:kern w:val="2"/>
                <w:sz w:val="21"/>
                <w:szCs w:val="32"/>
                <w:highlight w:val="none"/>
              </w:rPr>
              <w:t>建设项目需要配套的环境保护设施，必须与主体工程同时设计、同时施工、同时投产使用，建设项目竣工后、正式生产前，对配套建设的环境保护设施进行验收，编制验收报告并申领排污许可证。</w:t>
            </w:r>
          </w:p>
          <w:p w14:paraId="33F3C65E">
            <w:pPr>
              <w:pStyle w:val="6"/>
              <w:numPr>
                <w:ilvl w:val="0"/>
                <w:numId w:val="0"/>
              </w:numPr>
              <w:snapToGrid w:val="0"/>
              <w:jc w:val="both"/>
              <w:rPr>
                <w:rFonts w:hint="eastAsia" w:cs="宋体"/>
                <w:bCs/>
                <w:color w:val="auto"/>
                <w:kern w:val="2"/>
                <w:sz w:val="21"/>
                <w:szCs w:val="32"/>
                <w:highlight w:val="none"/>
                <w:lang w:val="en-US" w:eastAsia="zh-CN"/>
              </w:rPr>
            </w:pPr>
            <w:r>
              <w:rPr>
                <w:rFonts w:hint="eastAsia" w:ascii="Times New Roman" w:hAnsi="Times New Roman" w:eastAsia="宋体" w:cs="宋体"/>
                <w:bCs/>
                <w:color w:val="auto"/>
                <w:kern w:val="2"/>
                <w:sz w:val="21"/>
                <w:szCs w:val="32"/>
                <w:highlight w:val="none"/>
                <w:lang w:val="en-US" w:eastAsia="zh-CN"/>
              </w:rPr>
              <w:t>2、</w:t>
            </w:r>
            <w:r>
              <w:rPr>
                <w:rFonts w:hint="eastAsia" w:ascii="Times New Roman" w:hAnsi="Times New Roman" w:eastAsia="宋体" w:cs="宋体"/>
                <w:bCs/>
                <w:color w:val="auto"/>
                <w:kern w:val="2"/>
                <w:sz w:val="21"/>
                <w:szCs w:val="32"/>
                <w:highlight w:val="none"/>
              </w:rPr>
              <w:t>按《江苏省排污口设置及规范化整治管理办法》(苏环控[97]122号)要求设置；对废气排放口、固定噪声污染源、临时堆场进行规范化设置</w:t>
            </w:r>
            <w:r>
              <w:rPr>
                <w:rFonts w:hint="eastAsia" w:ascii="Times New Roman" w:hAnsi="Times New Roman" w:eastAsia="宋体" w:cs="宋体"/>
                <w:bCs/>
                <w:color w:val="auto"/>
                <w:kern w:val="2"/>
                <w:sz w:val="21"/>
                <w:szCs w:val="32"/>
                <w:highlight w:val="none"/>
                <w:lang w:eastAsia="zh-CN"/>
              </w:rPr>
              <w:t>。</w:t>
            </w:r>
          </w:p>
          <w:p w14:paraId="35F5023B">
            <w:pPr>
              <w:pStyle w:val="6"/>
              <w:numPr>
                <w:ilvl w:val="0"/>
                <w:numId w:val="0"/>
              </w:numPr>
              <w:snapToGrid w:val="0"/>
              <w:jc w:val="both"/>
              <w:rPr>
                <w:rFonts w:ascii="Times New Roman" w:hAnsi="Times New Roman" w:eastAsia="宋体" w:cs="宋体"/>
                <w:bCs/>
                <w:color w:val="auto"/>
                <w:kern w:val="2"/>
                <w:sz w:val="21"/>
                <w:szCs w:val="32"/>
                <w:highlight w:val="none"/>
              </w:rPr>
            </w:pPr>
            <w:r>
              <w:rPr>
                <w:rFonts w:hint="eastAsia" w:cs="宋体"/>
                <w:bCs/>
                <w:color w:val="auto"/>
                <w:kern w:val="2"/>
                <w:sz w:val="21"/>
                <w:szCs w:val="32"/>
                <w:highlight w:val="none"/>
                <w:lang w:val="en-US" w:eastAsia="zh-CN"/>
              </w:rPr>
              <w:t>3、</w:t>
            </w:r>
            <w:r>
              <w:rPr>
                <w:rFonts w:ascii="Times New Roman" w:hAnsi="Times New Roman" w:eastAsia="宋体" w:cs="宋体"/>
                <w:bCs/>
                <w:color w:val="auto"/>
                <w:kern w:val="2"/>
                <w:sz w:val="21"/>
                <w:szCs w:val="32"/>
                <w:highlight w:val="none"/>
              </w:rPr>
              <w:t>根据企业实际生产情况，需定期对废气排放口、废水接管口各污染物浓度</w:t>
            </w:r>
            <w:r>
              <w:rPr>
                <w:rFonts w:hint="eastAsia" w:ascii="Times New Roman" w:hAnsi="Times New Roman" w:eastAsia="宋体" w:cs="宋体"/>
                <w:bCs/>
                <w:color w:val="auto"/>
                <w:kern w:val="2"/>
                <w:sz w:val="21"/>
                <w:szCs w:val="32"/>
                <w:highlight w:val="none"/>
              </w:rPr>
              <w:t>、</w:t>
            </w:r>
            <w:r>
              <w:rPr>
                <w:rFonts w:ascii="Times New Roman" w:hAnsi="Times New Roman" w:eastAsia="宋体" w:cs="宋体"/>
                <w:bCs/>
                <w:color w:val="auto"/>
                <w:kern w:val="2"/>
                <w:sz w:val="21"/>
                <w:szCs w:val="32"/>
                <w:highlight w:val="none"/>
              </w:rPr>
              <w:t>厂界噪声进行监测。</w:t>
            </w:r>
          </w:p>
          <w:p w14:paraId="30BA92E6">
            <w:pPr>
              <w:pStyle w:val="6"/>
              <w:numPr>
                <w:ilvl w:val="0"/>
                <w:numId w:val="0"/>
              </w:numPr>
              <w:snapToGrid w:val="0"/>
              <w:jc w:val="both"/>
              <w:rPr>
                <w:rFonts w:hint="eastAsia" w:ascii="Times New Roman" w:hAnsi="Times New Roman" w:eastAsia="宋体" w:cs="宋体"/>
                <w:bCs/>
                <w:color w:val="auto"/>
                <w:kern w:val="2"/>
                <w:sz w:val="21"/>
                <w:szCs w:val="32"/>
                <w:highlight w:val="none"/>
              </w:rPr>
            </w:pPr>
            <w:r>
              <w:rPr>
                <w:rFonts w:hint="eastAsia" w:cs="宋体"/>
                <w:bCs/>
                <w:color w:val="auto"/>
                <w:kern w:val="2"/>
                <w:sz w:val="21"/>
                <w:szCs w:val="32"/>
                <w:highlight w:val="none"/>
                <w:lang w:val="en-US" w:eastAsia="zh-CN"/>
              </w:rPr>
              <w:t>4、</w:t>
            </w:r>
            <w:r>
              <w:rPr>
                <w:rFonts w:ascii="Times New Roman" w:hAnsi="Times New Roman" w:eastAsia="宋体" w:cs="宋体"/>
                <w:bCs/>
                <w:color w:val="auto"/>
                <w:kern w:val="2"/>
                <w:sz w:val="21"/>
                <w:szCs w:val="32"/>
                <w:highlight w:val="none"/>
              </w:rPr>
              <w:t>本项目</w:t>
            </w:r>
            <w:r>
              <w:rPr>
                <w:rFonts w:hint="eastAsia" w:ascii="Times New Roman" w:hAnsi="Times New Roman" w:eastAsia="宋体" w:cs="宋体"/>
                <w:bCs/>
                <w:color w:val="auto"/>
                <w:kern w:val="2"/>
                <w:sz w:val="21"/>
                <w:szCs w:val="32"/>
                <w:highlight w:val="none"/>
              </w:rPr>
              <w:t>无需设置大气环境防护距离，</w:t>
            </w:r>
            <w:r>
              <w:rPr>
                <w:rFonts w:ascii="Times New Roman" w:hAnsi="Times New Roman" w:eastAsia="宋体" w:cs="宋体"/>
                <w:bCs/>
                <w:color w:val="auto"/>
                <w:kern w:val="2"/>
                <w:sz w:val="21"/>
                <w:szCs w:val="32"/>
                <w:highlight w:val="none"/>
              </w:rPr>
              <w:t>卫生防护距离为</w:t>
            </w:r>
            <w:r>
              <w:rPr>
                <w:rFonts w:hint="eastAsia" w:ascii="Times New Roman" w:hAnsi="Times New Roman" w:eastAsia="宋体" w:cs="宋体"/>
                <w:bCs/>
                <w:color w:val="auto"/>
                <w:kern w:val="2"/>
                <w:sz w:val="21"/>
                <w:szCs w:val="32"/>
                <w:highlight w:val="none"/>
              </w:rPr>
              <w:t>1#生产车间外扩50m、2#生产车间外扩</w:t>
            </w:r>
            <w:r>
              <w:rPr>
                <w:rFonts w:hint="eastAsia" w:ascii="Times New Roman" w:hAnsi="Times New Roman" w:eastAsia="宋体" w:cs="宋体"/>
                <w:bCs/>
                <w:color w:val="auto"/>
                <w:kern w:val="2"/>
                <w:sz w:val="21"/>
                <w:szCs w:val="32"/>
                <w:highlight w:val="none"/>
                <w:lang w:val="en-US" w:eastAsia="zh-CN"/>
              </w:rPr>
              <w:t>10</w:t>
            </w:r>
            <w:r>
              <w:rPr>
                <w:rFonts w:hint="eastAsia" w:ascii="Times New Roman" w:hAnsi="Times New Roman" w:eastAsia="宋体" w:cs="宋体"/>
                <w:bCs/>
                <w:color w:val="auto"/>
                <w:kern w:val="2"/>
                <w:sz w:val="21"/>
                <w:szCs w:val="32"/>
                <w:highlight w:val="none"/>
              </w:rPr>
              <w:t>0m所形成的包络区域。</w:t>
            </w:r>
          </w:p>
          <w:p w14:paraId="60E9702A">
            <w:pPr>
              <w:pStyle w:val="6"/>
              <w:numPr>
                <w:ilvl w:val="0"/>
                <w:numId w:val="0"/>
              </w:numPr>
              <w:snapToGrid w:val="0"/>
              <w:jc w:val="both"/>
              <w:rPr>
                <w:rFonts w:ascii="Times New Roman" w:hAnsi="Times New Roman" w:eastAsia="宋体" w:cs="宋体"/>
                <w:bCs/>
                <w:color w:val="auto"/>
                <w:kern w:val="2"/>
                <w:sz w:val="21"/>
                <w:szCs w:val="32"/>
                <w:highlight w:val="none"/>
              </w:rPr>
            </w:pPr>
            <w:r>
              <w:rPr>
                <w:rFonts w:hint="eastAsia" w:cs="宋体"/>
                <w:bCs/>
                <w:color w:val="auto"/>
                <w:kern w:val="2"/>
                <w:sz w:val="21"/>
                <w:szCs w:val="32"/>
                <w:highlight w:val="none"/>
                <w:lang w:val="en-US" w:eastAsia="zh-CN"/>
              </w:rPr>
              <w:t>5</w:t>
            </w:r>
            <w:r>
              <w:rPr>
                <w:rFonts w:hint="eastAsia" w:cs="宋体"/>
                <w:bCs/>
                <w:color w:val="auto"/>
                <w:kern w:val="2"/>
                <w:sz w:val="21"/>
                <w:szCs w:val="32"/>
                <w:highlight w:val="none"/>
                <w:lang w:eastAsia="zh-CN"/>
              </w:rPr>
              <w:t>、</w:t>
            </w:r>
            <w:r>
              <w:rPr>
                <w:rFonts w:hint="eastAsia" w:ascii="Times New Roman" w:hAnsi="Times New Roman" w:eastAsia="宋体" w:cs="宋体"/>
                <w:bCs/>
                <w:color w:val="auto"/>
                <w:kern w:val="2"/>
                <w:sz w:val="21"/>
                <w:szCs w:val="32"/>
                <w:highlight w:val="none"/>
              </w:rPr>
              <w:t>建设单位应在排放污染物之前按《固定污染源排污许可分类管理名录》（2019年版）、《排污许可证申请与核发技术规范 总则》（HJ942-2018）等要求在全国排污许可平台对排污许可证进行申请，做到持证排污、按证排污，本项目排污许可为简化管理。</w:t>
            </w:r>
          </w:p>
        </w:tc>
      </w:tr>
    </w:tbl>
    <w:p w14:paraId="3C869ACB">
      <w:pPr>
        <w:pStyle w:val="19"/>
        <w:widowControl w:val="0"/>
        <w:jc w:val="center"/>
        <w:outlineLvl w:val="0"/>
        <w:rPr>
          <w:rFonts w:ascii="Times New Roman" w:hAnsi="Times New Roman" w:eastAsia="宋体" w:cs="宋体"/>
          <w:snapToGrid w:val="0"/>
          <w:color w:val="auto"/>
          <w:sz w:val="30"/>
          <w:szCs w:val="30"/>
          <w:highlight w:val="none"/>
        </w:rPr>
      </w:pPr>
      <w:r>
        <w:rPr>
          <w:rFonts w:ascii="Times New Roman" w:hAnsi="Times New Roman" w:eastAsia="宋体" w:cs="宋体"/>
          <w:snapToGrid w:val="0"/>
          <w:color w:val="auto"/>
          <w:highlight w:val="none"/>
        </w:rPr>
        <w:br w:type="page"/>
      </w:r>
      <w:bookmarkStart w:id="15" w:name="_Toc15768"/>
      <w:r>
        <w:rPr>
          <w:rFonts w:hint="eastAsia" w:ascii="Times New Roman" w:hAnsi="Times New Roman" w:eastAsia="宋体" w:cs="宋体"/>
          <w:snapToGrid w:val="0"/>
          <w:color w:val="auto"/>
          <w:sz w:val="30"/>
          <w:szCs w:val="30"/>
          <w:highlight w:val="none"/>
        </w:rPr>
        <w:t>六、结论</w:t>
      </w:r>
      <w:bookmarkEnd w:id="1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9DE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vAlign w:val="top"/>
          </w:tcPr>
          <w:p w14:paraId="5AC7D103">
            <w:pPr>
              <w:pStyle w:val="8"/>
              <w:keepNext w:val="0"/>
              <w:keepLines w:val="0"/>
              <w:pageBreakBefore w:val="0"/>
              <w:widowControl w:val="0"/>
              <w:kinsoku/>
              <w:wordWrap/>
              <w:overflowPunct/>
              <w:topLinePunct w:val="0"/>
              <w:autoSpaceDE/>
              <w:autoSpaceDN/>
              <w:bidi w:val="0"/>
              <w:adjustRightInd/>
              <w:snapToGrid/>
              <w:spacing w:after="0" w:line="400" w:lineRule="exact"/>
              <w:ind w:left="0" w:leftChars="0" w:firstLine="482" w:firstLineChars="200"/>
              <w:jc w:val="both"/>
              <w:textAlignment w:val="auto"/>
              <w:rPr>
                <w:color w:val="auto"/>
              </w:rPr>
            </w:pPr>
            <w:r>
              <w:rPr>
                <w:rFonts w:hint="eastAsia" w:ascii="Times New Roman" w:hAnsi="Times New Roman" w:eastAsia="宋体" w:cs="宋体"/>
                <w:b/>
                <w:color w:val="auto"/>
                <w:highlight w:val="none"/>
              </w:rPr>
              <w:t>本项目符合国家及地方法律法规、产业政策、行业政策，选址合理，对周围环境影响较小。在遵守国家和地方有关环保法规并采取相应的环保措施后达标排放，不会造成区域环境质量下降，从环境保护角度论证，本项目在该地建设可行。</w:t>
            </w:r>
          </w:p>
          <w:p w14:paraId="558155B8">
            <w:pPr>
              <w:jc w:val="both"/>
              <w:rPr>
                <w:color w:val="auto"/>
              </w:rPr>
            </w:pPr>
          </w:p>
          <w:p w14:paraId="2315A07A">
            <w:pPr>
              <w:pStyle w:val="28"/>
              <w:jc w:val="both"/>
              <w:rPr>
                <w:color w:val="auto"/>
              </w:rPr>
            </w:pPr>
          </w:p>
          <w:p w14:paraId="126EA3B4">
            <w:pPr>
              <w:pStyle w:val="28"/>
              <w:jc w:val="both"/>
              <w:rPr>
                <w:color w:val="auto"/>
              </w:rPr>
            </w:pPr>
          </w:p>
        </w:tc>
      </w:tr>
    </w:tbl>
    <w:p w14:paraId="69DA7D3E">
      <w:pPr>
        <w:rPr>
          <w:rFonts w:ascii="Times New Roman" w:hAnsi="Times New Roman" w:eastAsia="宋体" w:cs="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A7DAB68">
      <w:pPr>
        <w:pStyle w:val="19"/>
        <w:widowControl w:val="0"/>
        <w:adjustRightInd w:val="0"/>
        <w:snapToGrid w:val="0"/>
        <w:spacing w:before="0" w:beforeAutospacing="0" w:after="0" w:afterAutospacing="0" w:line="360" w:lineRule="auto"/>
        <w:rPr>
          <w:rFonts w:ascii="Times New Roman" w:hAnsi="Times New Roman" w:eastAsia="宋体" w:cs="宋体"/>
          <w:snapToGrid w:val="0"/>
          <w:color w:val="auto"/>
          <w:sz w:val="32"/>
          <w:szCs w:val="32"/>
          <w:highlight w:val="none"/>
        </w:rPr>
      </w:pPr>
      <w:r>
        <w:rPr>
          <w:rFonts w:hint="eastAsia" w:ascii="Times New Roman" w:hAnsi="Times New Roman" w:eastAsia="宋体" w:cs="宋体"/>
          <w:snapToGrid w:val="0"/>
          <w:color w:val="auto"/>
          <w:sz w:val="32"/>
          <w:szCs w:val="32"/>
          <w:highlight w:val="none"/>
        </w:rPr>
        <w:t>附表</w:t>
      </w:r>
    </w:p>
    <w:p w14:paraId="33843717">
      <w:pPr>
        <w:pStyle w:val="19"/>
        <w:widowControl w:val="0"/>
        <w:adjustRightInd w:val="0"/>
        <w:snapToGrid w:val="0"/>
        <w:spacing w:before="0" w:beforeAutospacing="0" w:after="0" w:afterAutospacing="0" w:line="360" w:lineRule="auto"/>
        <w:jc w:val="center"/>
        <w:rPr>
          <w:rFonts w:ascii="Times New Roman" w:hAnsi="Times New Roman" w:eastAsia="宋体" w:cs="宋体"/>
          <w:snapToGrid w:val="0"/>
          <w:color w:val="auto"/>
          <w:sz w:val="38"/>
          <w:szCs w:val="38"/>
          <w:highlight w:val="none"/>
        </w:rPr>
      </w:pPr>
      <w:r>
        <w:rPr>
          <w:rFonts w:hint="eastAsia" w:ascii="Times New Roman" w:hAnsi="Times New Roman" w:eastAsia="宋体" w:cs="宋体"/>
          <w:snapToGrid w:val="0"/>
          <w:color w:val="auto"/>
          <w:sz w:val="38"/>
          <w:szCs w:val="38"/>
          <w:highlight w:val="none"/>
        </w:rPr>
        <w:t>建设项目污染物排放量汇总表</w:t>
      </w:r>
    </w:p>
    <w:tbl>
      <w:tblPr>
        <w:tblStyle w:val="21"/>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2"/>
        <w:gridCol w:w="876"/>
        <w:gridCol w:w="1559"/>
        <w:gridCol w:w="1559"/>
        <w:gridCol w:w="1276"/>
        <w:gridCol w:w="1701"/>
        <w:gridCol w:w="1559"/>
        <w:gridCol w:w="1761"/>
        <w:gridCol w:w="1499"/>
        <w:gridCol w:w="1286"/>
      </w:tblGrid>
      <w:tr w14:paraId="7704F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88" w:type="dxa"/>
            <w:gridSpan w:val="2"/>
            <w:tcBorders>
              <w:tl2br w:val="single" w:color="auto" w:sz="4" w:space="0"/>
            </w:tcBorders>
            <w:tcMar>
              <w:left w:w="28" w:type="dxa"/>
              <w:right w:w="28" w:type="dxa"/>
            </w:tcMar>
            <w:vAlign w:val="center"/>
          </w:tcPr>
          <w:p w14:paraId="6B71291B">
            <w:pPr>
              <w:pStyle w:val="37"/>
              <w:adjustRightInd/>
              <w:spacing w:beforeLines="0" w:afterLines="0" w:line="240" w:lineRule="auto"/>
              <w:jc w:val="right"/>
              <w:rPr>
                <w:rFonts w:ascii="Times New Roman" w:hAnsi="Times New Roman" w:eastAsia="宋体" w:cs="宋体"/>
                <w:snapToGrid w:val="0"/>
                <w:color w:val="auto"/>
                <w:spacing w:val="-6"/>
                <w:kern w:val="21"/>
                <w:szCs w:val="21"/>
                <w:highlight w:val="none"/>
              </w:rPr>
            </w:pPr>
            <w:r>
              <w:rPr>
                <w:rFonts w:hint="eastAsia" w:ascii="Times New Roman" w:hAnsi="Times New Roman" w:eastAsia="宋体" w:cs="宋体"/>
                <w:snapToGrid w:val="0"/>
                <w:color w:val="auto"/>
                <w:spacing w:val="-6"/>
                <w:kern w:val="21"/>
                <w:szCs w:val="21"/>
                <w:highlight w:val="none"/>
              </w:rPr>
              <w:t>项目</w:t>
            </w:r>
          </w:p>
          <w:p w14:paraId="3A95EB14">
            <w:pPr>
              <w:pStyle w:val="37"/>
              <w:adjustRightInd/>
              <w:spacing w:beforeLines="0" w:afterLines="0" w:line="240" w:lineRule="auto"/>
              <w:jc w:val="left"/>
              <w:rPr>
                <w:rFonts w:ascii="Times New Roman" w:hAnsi="Times New Roman" w:eastAsia="宋体" w:cs="宋体"/>
                <w:snapToGrid w:val="0"/>
                <w:color w:val="auto"/>
                <w:spacing w:val="-6"/>
                <w:kern w:val="21"/>
                <w:szCs w:val="21"/>
                <w:highlight w:val="none"/>
              </w:rPr>
            </w:pPr>
            <w:r>
              <w:rPr>
                <w:rFonts w:hint="eastAsia" w:ascii="Times New Roman" w:hAnsi="Times New Roman" w:eastAsia="宋体" w:cs="宋体"/>
                <w:snapToGrid w:val="0"/>
                <w:color w:val="auto"/>
                <w:spacing w:val="-6"/>
                <w:kern w:val="21"/>
                <w:szCs w:val="21"/>
                <w:highlight w:val="none"/>
              </w:rPr>
              <w:t>分类</w:t>
            </w:r>
          </w:p>
        </w:tc>
        <w:tc>
          <w:tcPr>
            <w:tcW w:w="1559" w:type="dxa"/>
            <w:tcMar>
              <w:left w:w="28" w:type="dxa"/>
              <w:right w:w="28" w:type="dxa"/>
            </w:tcMar>
            <w:vAlign w:val="center"/>
          </w:tcPr>
          <w:p w14:paraId="0E1A6A3C">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hint="eastAsia" w:ascii="Times New Roman" w:hAnsi="Times New Roman" w:eastAsia="宋体" w:cs="宋体"/>
                <w:snapToGrid w:val="0"/>
                <w:color w:val="auto"/>
                <w:spacing w:val="-6"/>
                <w:kern w:val="21"/>
                <w:szCs w:val="21"/>
                <w:highlight w:val="none"/>
              </w:rPr>
              <w:t>污染物名称</w:t>
            </w:r>
          </w:p>
        </w:tc>
        <w:tc>
          <w:tcPr>
            <w:tcW w:w="1559" w:type="dxa"/>
            <w:tcMar>
              <w:left w:w="28" w:type="dxa"/>
              <w:right w:w="28" w:type="dxa"/>
            </w:tcMar>
            <w:vAlign w:val="center"/>
          </w:tcPr>
          <w:p w14:paraId="367C84B9">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现有工程</w:t>
            </w:r>
          </w:p>
          <w:p w14:paraId="40A28C31">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排放量（固</w:t>
            </w:r>
            <w:r>
              <w:rPr>
                <w:rFonts w:hint="eastAsia" w:ascii="Times New Roman" w:hAnsi="Times New Roman" w:eastAsia="宋体" w:cs="宋体"/>
                <w:snapToGrid w:val="0"/>
                <w:color w:val="auto"/>
                <w:spacing w:val="-6"/>
                <w:kern w:val="21"/>
                <w:szCs w:val="21"/>
                <w:highlight w:val="none"/>
              </w:rPr>
              <w:t>体</w:t>
            </w:r>
            <w:r>
              <w:rPr>
                <w:rFonts w:ascii="Times New Roman" w:hAnsi="Times New Roman" w:eastAsia="宋体" w:cs="宋体"/>
                <w:snapToGrid w:val="0"/>
                <w:color w:val="auto"/>
                <w:spacing w:val="-6"/>
                <w:kern w:val="21"/>
                <w:szCs w:val="21"/>
                <w:highlight w:val="none"/>
              </w:rPr>
              <w:t>废</w:t>
            </w:r>
            <w:r>
              <w:rPr>
                <w:rFonts w:hint="eastAsia" w:ascii="Times New Roman" w:hAnsi="Times New Roman" w:eastAsia="宋体" w:cs="宋体"/>
                <w:snapToGrid w:val="0"/>
                <w:color w:val="auto"/>
                <w:spacing w:val="-6"/>
                <w:kern w:val="21"/>
                <w:szCs w:val="21"/>
                <w:highlight w:val="none"/>
              </w:rPr>
              <w:t>物</w:t>
            </w:r>
            <w:r>
              <w:rPr>
                <w:rFonts w:ascii="Times New Roman" w:hAnsi="Times New Roman" w:eastAsia="宋体" w:cs="宋体"/>
                <w:snapToGrid w:val="0"/>
                <w:color w:val="auto"/>
                <w:spacing w:val="-6"/>
                <w:kern w:val="21"/>
                <w:szCs w:val="21"/>
                <w:highlight w:val="none"/>
              </w:rPr>
              <w:t>产生量）</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1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kern w:val="2"/>
                <w:szCs w:val="21"/>
                <w:highlight w:val="none"/>
              </w:rPr>
              <w:t>①</w:t>
            </w:r>
            <w:r>
              <w:rPr>
                <w:rFonts w:ascii="Times New Roman" w:hAnsi="Times New Roman" w:eastAsia="宋体" w:cs="宋体"/>
                <w:snapToGrid w:val="0"/>
                <w:color w:val="auto"/>
                <w:spacing w:val="-6"/>
                <w:kern w:val="21"/>
                <w:szCs w:val="21"/>
                <w:highlight w:val="none"/>
              </w:rPr>
              <w:fldChar w:fldCharType="end"/>
            </w:r>
          </w:p>
        </w:tc>
        <w:tc>
          <w:tcPr>
            <w:tcW w:w="1276" w:type="dxa"/>
            <w:tcMar>
              <w:left w:w="28" w:type="dxa"/>
              <w:right w:w="28" w:type="dxa"/>
            </w:tcMar>
            <w:vAlign w:val="center"/>
          </w:tcPr>
          <w:p w14:paraId="03582FF8">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现有工程</w:t>
            </w:r>
          </w:p>
          <w:p w14:paraId="0855C105">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许可排放量</w:t>
            </w:r>
          </w:p>
          <w:p w14:paraId="4441EED2">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2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snapToGrid w:val="0"/>
                <w:color w:val="auto"/>
                <w:spacing w:val="-6"/>
                <w:kern w:val="21"/>
                <w:szCs w:val="21"/>
                <w:highlight w:val="none"/>
              </w:rPr>
              <w:t>②</w:t>
            </w:r>
            <w:r>
              <w:rPr>
                <w:rFonts w:ascii="Times New Roman" w:hAnsi="Times New Roman" w:eastAsia="宋体" w:cs="宋体"/>
                <w:snapToGrid w:val="0"/>
                <w:color w:val="auto"/>
                <w:spacing w:val="-6"/>
                <w:kern w:val="21"/>
                <w:szCs w:val="21"/>
                <w:highlight w:val="none"/>
              </w:rPr>
              <w:fldChar w:fldCharType="end"/>
            </w:r>
          </w:p>
        </w:tc>
        <w:tc>
          <w:tcPr>
            <w:tcW w:w="1701" w:type="dxa"/>
            <w:tcMar>
              <w:left w:w="28" w:type="dxa"/>
              <w:right w:w="28" w:type="dxa"/>
            </w:tcMar>
            <w:vAlign w:val="center"/>
          </w:tcPr>
          <w:p w14:paraId="58DD649F">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在建工程</w:t>
            </w:r>
          </w:p>
          <w:p w14:paraId="63F113ED">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排放量（固</w:t>
            </w:r>
            <w:r>
              <w:rPr>
                <w:rFonts w:hint="eastAsia" w:ascii="Times New Roman" w:hAnsi="Times New Roman" w:eastAsia="宋体" w:cs="宋体"/>
                <w:snapToGrid w:val="0"/>
                <w:color w:val="auto"/>
                <w:spacing w:val="-6"/>
                <w:kern w:val="21"/>
                <w:szCs w:val="21"/>
                <w:highlight w:val="none"/>
              </w:rPr>
              <w:t>体</w:t>
            </w:r>
            <w:r>
              <w:rPr>
                <w:rFonts w:ascii="Times New Roman" w:hAnsi="Times New Roman" w:eastAsia="宋体" w:cs="宋体"/>
                <w:snapToGrid w:val="0"/>
                <w:color w:val="auto"/>
                <w:spacing w:val="-6"/>
                <w:kern w:val="21"/>
                <w:szCs w:val="21"/>
                <w:highlight w:val="none"/>
              </w:rPr>
              <w:t>废</w:t>
            </w:r>
            <w:r>
              <w:rPr>
                <w:rFonts w:hint="eastAsia" w:ascii="Times New Roman" w:hAnsi="Times New Roman" w:eastAsia="宋体" w:cs="宋体"/>
                <w:snapToGrid w:val="0"/>
                <w:color w:val="auto"/>
                <w:spacing w:val="-6"/>
                <w:kern w:val="21"/>
                <w:szCs w:val="21"/>
                <w:highlight w:val="none"/>
              </w:rPr>
              <w:t>物</w:t>
            </w:r>
            <w:r>
              <w:rPr>
                <w:rFonts w:ascii="Times New Roman" w:hAnsi="Times New Roman" w:eastAsia="宋体" w:cs="宋体"/>
                <w:snapToGrid w:val="0"/>
                <w:color w:val="auto"/>
                <w:spacing w:val="-6"/>
                <w:kern w:val="21"/>
                <w:szCs w:val="21"/>
                <w:highlight w:val="none"/>
              </w:rPr>
              <w:t>产生量）</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3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kern w:val="2"/>
                <w:szCs w:val="21"/>
                <w:highlight w:val="none"/>
              </w:rPr>
              <w:t>③</w:t>
            </w:r>
            <w:r>
              <w:rPr>
                <w:rFonts w:ascii="Times New Roman" w:hAnsi="Times New Roman" w:eastAsia="宋体" w:cs="宋体"/>
                <w:snapToGrid w:val="0"/>
                <w:color w:val="auto"/>
                <w:spacing w:val="-6"/>
                <w:kern w:val="21"/>
                <w:szCs w:val="21"/>
                <w:highlight w:val="none"/>
              </w:rPr>
              <w:fldChar w:fldCharType="end"/>
            </w:r>
          </w:p>
        </w:tc>
        <w:tc>
          <w:tcPr>
            <w:tcW w:w="1559" w:type="dxa"/>
            <w:tcMar>
              <w:left w:w="28" w:type="dxa"/>
              <w:right w:w="28" w:type="dxa"/>
            </w:tcMar>
            <w:vAlign w:val="center"/>
          </w:tcPr>
          <w:p w14:paraId="1BE93893">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本项目</w:t>
            </w:r>
          </w:p>
          <w:p w14:paraId="4A522E0C">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排放量（固</w:t>
            </w:r>
            <w:r>
              <w:rPr>
                <w:rFonts w:hint="eastAsia" w:ascii="Times New Roman" w:hAnsi="Times New Roman" w:eastAsia="宋体" w:cs="宋体"/>
                <w:snapToGrid w:val="0"/>
                <w:color w:val="auto"/>
                <w:spacing w:val="-6"/>
                <w:kern w:val="21"/>
                <w:szCs w:val="21"/>
                <w:highlight w:val="none"/>
              </w:rPr>
              <w:t>体</w:t>
            </w:r>
            <w:r>
              <w:rPr>
                <w:rFonts w:ascii="Times New Roman" w:hAnsi="Times New Roman" w:eastAsia="宋体" w:cs="宋体"/>
                <w:snapToGrid w:val="0"/>
                <w:color w:val="auto"/>
                <w:spacing w:val="-6"/>
                <w:kern w:val="21"/>
                <w:szCs w:val="21"/>
                <w:highlight w:val="none"/>
              </w:rPr>
              <w:t>废</w:t>
            </w:r>
            <w:r>
              <w:rPr>
                <w:rFonts w:hint="eastAsia" w:ascii="Times New Roman" w:hAnsi="Times New Roman" w:eastAsia="宋体" w:cs="宋体"/>
                <w:snapToGrid w:val="0"/>
                <w:color w:val="auto"/>
                <w:spacing w:val="-6"/>
                <w:kern w:val="21"/>
                <w:szCs w:val="21"/>
                <w:highlight w:val="none"/>
              </w:rPr>
              <w:t>物</w:t>
            </w:r>
            <w:r>
              <w:rPr>
                <w:rFonts w:ascii="Times New Roman" w:hAnsi="Times New Roman" w:eastAsia="宋体" w:cs="宋体"/>
                <w:snapToGrid w:val="0"/>
                <w:color w:val="auto"/>
                <w:spacing w:val="-6"/>
                <w:kern w:val="21"/>
                <w:szCs w:val="21"/>
                <w:highlight w:val="none"/>
              </w:rPr>
              <w:t>产生量）</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4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kern w:val="2"/>
                <w:szCs w:val="21"/>
                <w:highlight w:val="none"/>
              </w:rPr>
              <w:t>④</w:t>
            </w:r>
            <w:r>
              <w:rPr>
                <w:rFonts w:ascii="Times New Roman" w:hAnsi="Times New Roman" w:eastAsia="宋体" w:cs="宋体"/>
                <w:snapToGrid w:val="0"/>
                <w:color w:val="auto"/>
                <w:spacing w:val="-6"/>
                <w:kern w:val="21"/>
                <w:szCs w:val="21"/>
                <w:highlight w:val="none"/>
              </w:rPr>
              <w:fldChar w:fldCharType="end"/>
            </w:r>
          </w:p>
        </w:tc>
        <w:tc>
          <w:tcPr>
            <w:tcW w:w="1761" w:type="dxa"/>
            <w:tcMar>
              <w:left w:w="28" w:type="dxa"/>
              <w:right w:w="28" w:type="dxa"/>
            </w:tcMar>
            <w:vAlign w:val="center"/>
          </w:tcPr>
          <w:p w14:paraId="6D6613FC">
            <w:pPr>
              <w:pStyle w:val="37"/>
              <w:adjustRightInd/>
              <w:spacing w:beforeLines="0" w:afterLines="0" w:line="240" w:lineRule="auto"/>
              <w:rPr>
                <w:rFonts w:ascii="Times New Roman" w:hAnsi="Times New Roman" w:eastAsia="宋体" w:cs="宋体"/>
                <w:snapToGrid w:val="0"/>
                <w:color w:val="auto"/>
                <w:spacing w:val="-16"/>
                <w:kern w:val="21"/>
                <w:szCs w:val="21"/>
                <w:highlight w:val="none"/>
              </w:rPr>
            </w:pPr>
            <w:r>
              <w:rPr>
                <w:rFonts w:ascii="Times New Roman" w:hAnsi="Times New Roman" w:eastAsia="宋体" w:cs="宋体"/>
                <w:snapToGrid w:val="0"/>
                <w:color w:val="auto"/>
                <w:spacing w:val="-16"/>
                <w:kern w:val="21"/>
                <w:szCs w:val="21"/>
                <w:highlight w:val="none"/>
              </w:rPr>
              <w:t>以新带老削减量</w:t>
            </w:r>
          </w:p>
          <w:p w14:paraId="04E42384">
            <w:pPr>
              <w:pStyle w:val="37"/>
              <w:adjustRightInd/>
              <w:spacing w:beforeLines="0" w:afterLines="0" w:line="240" w:lineRule="auto"/>
              <w:rPr>
                <w:rFonts w:ascii="Times New Roman" w:hAnsi="Times New Roman" w:eastAsia="宋体" w:cs="宋体"/>
                <w:snapToGrid w:val="0"/>
                <w:color w:val="auto"/>
                <w:spacing w:val="-16"/>
                <w:kern w:val="21"/>
                <w:szCs w:val="21"/>
                <w:highlight w:val="none"/>
              </w:rPr>
            </w:pPr>
            <w:r>
              <w:rPr>
                <w:rFonts w:ascii="Times New Roman" w:hAnsi="Times New Roman" w:eastAsia="宋体" w:cs="宋体"/>
                <w:snapToGrid w:val="0"/>
                <w:color w:val="auto"/>
                <w:spacing w:val="-16"/>
                <w:kern w:val="21"/>
                <w:szCs w:val="21"/>
                <w:highlight w:val="none"/>
              </w:rPr>
              <w:t>（新建项目不填）</w:t>
            </w:r>
            <w:r>
              <w:rPr>
                <w:rFonts w:ascii="Times New Roman" w:hAnsi="Times New Roman" w:eastAsia="宋体" w:cs="宋体"/>
                <w:snapToGrid w:val="0"/>
                <w:color w:val="auto"/>
                <w:spacing w:val="-16"/>
                <w:kern w:val="21"/>
                <w:szCs w:val="21"/>
                <w:highlight w:val="none"/>
              </w:rPr>
              <w:fldChar w:fldCharType="begin"/>
            </w:r>
            <w:r>
              <w:rPr>
                <w:rFonts w:ascii="Times New Roman" w:hAnsi="Times New Roman" w:eastAsia="宋体" w:cs="宋体"/>
                <w:snapToGrid w:val="0"/>
                <w:color w:val="auto"/>
                <w:spacing w:val="-16"/>
                <w:kern w:val="21"/>
                <w:szCs w:val="21"/>
                <w:highlight w:val="none"/>
              </w:rPr>
              <w:instrText xml:space="preserve"> = 5 \* GB3 \* MERGEFORMAT </w:instrText>
            </w:r>
            <w:r>
              <w:rPr>
                <w:rFonts w:ascii="Times New Roman" w:hAnsi="Times New Roman" w:eastAsia="宋体" w:cs="宋体"/>
                <w:snapToGrid w:val="0"/>
                <w:color w:val="auto"/>
                <w:spacing w:val="-16"/>
                <w:kern w:val="21"/>
                <w:szCs w:val="21"/>
                <w:highlight w:val="none"/>
              </w:rPr>
              <w:fldChar w:fldCharType="separate"/>
            </w:r>
            <w:r>
              <w:rPr>
                <w:rFonts w:hint="eastAsia" w:ascii="Times New Roman" w:hAnsi="Times New Roman" w:eastAsia="宋体" w:cs="宋体"/>
                <w:color w:val="auto"/>
                <w:kern w:val="2"/>
                <w:szCs w:val="21"/>
                <w:highlight w:val="none"/>
              </w:rPr>
              <w:t>⑤</w:t>
            </w:r>
            <w:r>
              <w:rPr>
                <w:rFonts w:ascii="Times New Roman" w:hAnsi="Times New Roman" w:eastAsia="宋体" w:cs="宋体"/>
                <w:snapToGrid w:val="0"/>
                <w:color w:val="auto"/>
                <w:spacing w:val="-16"/>
                <w:kern w:val="21"/>
                <w:szCs w:val="21"/>
                <w:highlight w:val="none"/>
              </w:rPr>
              <w:fldChar w:fldCharType="end"/>
            </w:r>
          </w:p>
        </w:tc>
        <w:tc>
          <w:tcPr>
            <w:tcW w:w="1499" w:type="dxa"/>
            <w:tcMar>
              <w:left w:w="28" w:type="dxa"/>
              <w:right w:w="28" w:type="dxa"/>
            </w:tcMar>
            <w:vAlign w:val="center"/>
          </w:tcPr>
          <w:p w14:paraId="3E768AB9">
            <w:pPr>
              <w:pStyle w:val="37"/>
              <w:adjustRightInd/>
              <w:spacing w:beforeLines="0" w:afterLines="0" w:line="240" w:lineRule="auto"/>
              <w:rPr>
                <w:rFonts w:ascii="Times New Roman" w:hAnsi="Times New Roman" w:eastAsia="宋体" w:cs="宋体"/>
                <w:snapToGrid w:val="0"/>
                <w:color w:val="auto"/>
                <w:spacing w:val="-16"/>
                <w:kern w:val="21"/>
                <w:szCs w:val="21"/>
                <w:highlight w:val="none"/>
              </w:rPr>
            </w:pPr>
            <w:r>
              <w:rPr>
                <w:rFonts w:ascii="Times New Roman" w:hAnsi="Times New Roman" w:eastAsia="宋体" w:cs="宋体"/>
                <w:snapToGrid w:val="0"/>
                <w:color w:val="auto"/>
                <w:spacing w:val="-16"/>
                <w:kern w:val="21"/>
                <w:szCs w:val="21"/>
                <w:highlight w:val="none"/>
              </w:rPr>
              <w:t>本项目建成后</w:t>
            </w:r>
          </w:p>
          <w:p w14:paraId="2DAAED2C">
            <w:pPr>
              <w:pStyle w:val="37"/>
              <w:adjustRightInd/>
              <w:spacing w:beforeLines="0" w:afterLines="0" w:line="240" w:lineRule="auto"/>
              <w:rPr>
                <w:rFonts w:ascii="Times New Roman" w:hAnsi="Times New Roman" w:eastAsia="宋体" w:cs="宋体"/>
                <w:snapToGrid w:val="0"/>
                <w:color w:val="auto"/>
                <w:spacing w:val="-16"/>
                <w:kern w:val="21"/>
                <w:szCs w:val="21"/>
                <w:highlight w:val="none"/>
              </w:rPr>
            </w:pPr>
            <w:r>
              <w:rPr>
                <w:rFonts w:hint="eastAsia" w:ascii="Times New Roman" w:hAnsi="Times New Roman" w:eastAsia="宋体" w:cs="宋体"/>
                <w:snapToGrid w:val="0"/>
                <w:color w:val="auto"/>
                <w:spacing w:val="-16"/>
                <w:kern w:val="21"/>
                <w:szCs w:val="21"/>
                <w:highlight w:val="none"/>
              </w:rPr>
              <w:t>全厂</w:t>
            </w:r>
            <w:r>
              <w:rPr>
                <w:rFonts w:ascii="Times New Roman" w:hAnsi="Times New Roman" w:eastAsia="宋体" w:cs="宋体"/>
                <w:snapToGrid w:val="0"/>
                <w:color w:val="auto"/>
                <w:spacing w:val="-16"/>
                <w:kern w:val="21"/>
                <w:szCs w:val="21"/>
                <w:highlight w:val="none"/>
              </w:rPr>
              <w:t>排放量（固</w:t>
            </w:r>
            <w:r>
              <w:rPr>
                <w:rFonts w:hint="eastAsia" w:ascii="Times New Roman" w:hAnsi="Times New Roman" w:eastAsia="宋体" w:cs="宋体"/>
                <w:snapToGrid w:val="0"/>
                <w:color w:val="auto"/>
                <w:spacing w:val="-16"/>
                <w:kern w:val="21"/>
                <w:szCs w:val="21"/>
                <w:highlight w:val="none"/>
              </w:rPr>
              <w:t>体</w:t>
            </w:r>
            <w:r>
              <w:rPr>
                <w:rFonts w:ascii="Times New Roman" w:hAnsi="Times New Roman" w:eastAsia="宋体" w:cs="宋体"/>
                <w:snapToGrid w:val="0"/>
                <w:color w:val="auto"/>
                <w:spacing w:val="-16"/>
                <w:kern w:val="21"/>
                <w:szCs w:val="21"/>
                <w:highlight w:val="none"/>
              </w:rPr>
              <w:t>废</w:t>
            </w:r>
            <w:r>
              <w:rPr>
                <w:rFonts w:hint="eastAsia" w:ascii="Times New Roman" w:hAnsi="Times New Roman" w:eastAsia="宋体" w:cs="宋体"/>
                <w:snapToGrid w:val="0"/>
                <w:color w:val="auto"/>
                <w:spacing w:val="-16"/>
                <w:kern w:val="21"/>
                <w:szCs w:val="21"/>
                <w:highlight w:val="none"/>
              </w:rPr>
              <w:t>物</w:t>
            </w:r>
            <w:r>
              <w:rPr>
                <w:rFonts w:ascii="Times New Roman" w:hAnsi="Times New Roman" w:eastAsia="宋体" w:cs="宋体"/>
                <w:snapToGrid w:val="0"/>
                <w:color w:val="auto"/>
                <w:spacing w:val="-16"/>
                <w:kern w:val="21"/>
                <w:szCs w:val="21"/>
                <w:highlight w:val="none"/>
              </w:rPr>
              <w:t>产生量）</w:t>
            </w:r>
            <w:r>
              <w:rPr>
                <w:rFonts w:ascii="Times New Roman" w:hAnsi="Times New Roman" w:eastAsia="宋体" w:cs="宋体"/>
                <w:snapToGrid w:val="0"/>
                <w:color w:val="auto"/>
                <w:spacing w:val="-16"/>
                <w:kern w:val="21"/>
                <w:szCs w:val="21"/>
                <w:highlight w:val="none"/>
              </w:rPr>
              <w:fldChar w:fldCharType="begin"/>
            </w:r>
            <w:r>
              <w:rPr>
                <w:rFonts w:ascii="Times New Roman" w:hAnsi="Times New Roman" w:eastAsia="宋体" w:cs="宋体"/>
                <w:snapToGrid w:val="0"/>
                <w:color w:val="auto"/>
                <w:spacing w:val="-16"/>
                <w:kern w:val="21"/>
                <w:szCs w:val="21"/>
                <w:highlight w:val="none"/>
              </w:rPr>
              <w:instrText xml:space="preserve"> = 6 \* GB3 \* MERGEFORMAT </w:instrText>
            </w:r>
            <w:r>
              <w:rPr>
                <w:rFonts w:ascii="Times New Roman" w:hAnsi="Times New Roman" w:eastAsia="宋体" w:cs="宋体"/>
                <w:snapToGrid w:val="0"/>
                <w:color w:val="auto"/>
                <w:spacing w:val="-16"/>
                <w:kern w:val="21"/>
                <w:szCs w:val="21"/>
                <w:highlight w:val="none"/>
              </w:rPr>
              <w:fldChar w:fldCharType="separate"/>
            </w:r>
            <w:r>
              <w:rPr>
                <w:rFonts w:hint="eastAsia" w:ascii="Times New Roman" w:hAnsi="Times New Roman" w:eastAsia="宋体" w:cs="宋体"/>
                <w:color w:val="auto"/>
                <w:kern w:val="2"/>
                <w:szCs w:val="21"/>
                <w:highlight w:val="none"/>
              </w:rPr>
              <w:t>⑥</w:t>
            </w:r>
            <w:r>
              <w:rPr>
                <w:rFonts w:ascii="Times New Roman" w:hAnsi="Times New Roman" w:eastAsia="宋体" w:cs="宋体"/>
                <w:snapToGrid w:val="0"/>
                <w:color w:val="auto"/>
                <w:spacing w:val="-16"/>
                <w:kern w:val="21"/>
                <w:szCs w:val="21"/>
                <w:highlight w:val="none"/>
              </w:rPr>
              <w:fldChar w:fldCharType="end"/>
            </w:r>
          </w:p>
        </w:tc>
        <w:tc>
          <w:tcPr>
            <w:tcW w:w="1286" w:type="dxa"/>
            <w:tcMar>
              <w:left w:w="28" w:type="dxa"/>
              <w:right w:w="28" w:type="dxa"/>
            </w:tcMar>
            <w:vAlign w:val="center"/>
          </w:tcPr>
          <w:p w14:paraId="51053D9E">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t>变化量</w:t>
            </w:r>
          </w:p>
          <w:p w14:paraId="0628D37B">
            <w:pPr>
              <w:pStyle w:val="37"/>
              <w:adjustRightInd/>
              <w:spacing w:beforeLines="0" w:afterLines="0" w:line="240" w:lineRule="auto"/>
              <w:rPr>
                <w:rFonts w:ascii="Times New Roman" w:hAnsi="Times New Roman" w:eastAsia="宋体" w:cs="宋体"/>
                <w:snapToGrid w:val="0"/>
                <w:color w:val="auto"/>
                <w:spacing w:val="-6"/>
                <w:kern w:val="21"/>
                <w:szCs w:val="21"/>
                <w:highlight w:val="none"/>
              </w:rPr>
            </w:pP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7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kern w:val="2"/>
                <w:szCs w:val="21"/>
                <w:highlight w:val="none"/>
              </w:rPr>
              <w:t>⑦</w:t>
            </w:r>
            <w:r>
              <w:rPr>
                <w:rFonts w:ascii="Times New Roman" w:hAnsi="Times New Roman" w:eastAsia="宋体" w:cs="宋体"/>
                <w:snapToGrid w:val="0"/>
                <w:color w:val="auto"/>
                <w:spacing w:val="-6"/>
                <w:kern w:val="21"/>
                <w:szCs w:val="21"/>
                <w:highlight w:val="none"/>
              </w:rPr>
              <w:fldChar w:fldCharType="end"/>
            </w:r>
          </w:p>
        </w:tc>
      </w:tr>
      <w:tr w14:paraId="0A6CA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restart"/>
            <w:vAlign w:val="center"/>
          </w:tcPr>
          <w:p w14:paraId="2FE8616D">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废气</w:t>
            </w:r>
          </w:p>
        </w:tc>
        <w:tc>
          <w:tcPr>
            <w:tcW w:w="876" w:type="dxa"/>
            <w:vMerge w:val="restart"/>
            <w:vAlign w:val="center"/>
          </w:tcPr>
          <w:p w14:paraId="3AEC76DF">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ascii="Times New Roman" w:hAnsi="Times New Roman" w:eastAsia="宋体" w:cs="宋体"/>
                <w:snapToGrid w:val="0"/>
                <w:color w:val="auto"/>
                <w:kern w:val="21"/>
                <w:szCs w:val="21"/>
                <w:highlight w:val="none"/>
              </w:rPr>
              <w:t>有组织</w:t>
            </w:r>
          </w:p>
        </w:tc>
        <w:tc>
          <w:tcPr>
            <w:tcW w:w="1559" w:type="dxa"/>
            <w:vAlign w:val="center"/>
          </w:tcPr>
          <w:p w14:paraId="26B0FCB6">
            <w:pPr>
              <w:snapToGrid w:val="0"/>
              <w:jc w:val="center"/>
              <w:rPr>
                <w:rFonts w:hint="eastAsia" w:ascii="Times New Roman" w:hAnsi="Times New Roman" w:eastAsia="宋体" w:cs="Times New Roman"/>
                <w:smallCaps w:val="0"/>
                <w:color w:val="auto"/>
                <w:kern w:val="0"/>
                <w:sz w:val="21"/>
                <w:szCs w:val="21"/>
                <w:highlight w:val="none"/>
                <w:lang w:val="en-US" w:eastAsia="zh-CN" w:bidi="ar-SA"/>
              </w:rPr>
            </w:pPr>
            <w:r>
              <w:rPr>
                <w:rFonts w:hint="eastAsia" w:ascii="Times New Roman" w:hAnsi="Times New Roman" w:eastAsia="宋体"/>
                <w:smallCaps w:val="0"/>
                <w:color w:val="auto"/>
                <w:kern w:val="0"/>
                <w:szCs w:val="21"/>
                <w:highlight w:val="none"/>
                <w:lang w:val="en-US" w:eastAsia="zh-CN"/>
              </w:rPr>
              <w:t>颗粒物</w:t>
            </w:r>
          </w:p>
        </w:tc>
        <w:tc>
          <w:tcPr>
            <w:tcW w:w="1559" w:type="dxa"/>
            <w:vAlign w:val="center"/>
          </w:tcPr>
          <w:p w14:paraId="07AFCE11">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0.13</w:t>
            </w:r>
          </w:p>
        </w:tc>
        <w:tc>
          <w:tcPr>
            <w:tcW w:w="1276" w:type="dxa"/>
            <w:vAlign w:val="center"/>
          </w:tcPr>
          <w:p w14:paraId="0D1C5AD5">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0.13</w:t>
            </w:r>
          </w:p>
        </w:tc>
        <w:tc>
          <w:tcPr>
            <w:tcW w:w="1701" w:type="dxa"/>
            <w:vAlign w:val="center"/>
          </w:tcPr>
          <w:p w14:paraId="7EA2E987">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shd w:val="clear" w:color="auto" w:fill="auto"/>
            <w:vAlign w:val="center"/>
          </w:tcPr>
          <w:p w14:paraId="5DA4D728">
            <w:pPr>
              <w:pStyle w:val="37"/>
              <w:adjustRightInd/>
              <w:spacing w:beforeLines="0" w:afterLines="0" w:line="240" w:lineRule="auto"/>
              <w:rPr>
                <w:rFonts w:hint="default" w:ascii="Times New Roman" w:hAnsi="Times New Roman" w:eastAsia="宋体" w:cs="Times New Roman"/>
                <w:bCs/>
                <w:smallCaps w:val="0"/>
                <w:color w:val="auto"/>
                <w:kern w:val="0"/>
                <w:sz w:val="21"/>
                <w:szCs w:val="21"/>
                <w:highlight w:val="none"/>
                <w:lang w:val="en-US" w:eastAsia="zh-CN" w:bidi="ar-SA"/>
              </w:rPr>
            </w:pPr>
            <w:r>
              <w:rPr>
                <w:rFonts w:hint="eastAsia" w:ascii="Times New Roman" w:cs="Times New Roman"/>
                <w:bCs/>
                <w:smallCaps w:val="0"/>
                <w:color w:val="auto"/>
                <w:kern w:val="0"/>
                <w:sz w:val="21"/>
                <w:szCs w:val="21"/>
                <w:highlight w:val="none"/>
                <w:lang w:val="en-US" w:eastAsia="zh-CN" w:bidi="ar-SA"/>
              </w:rPr>
              <w:t>0.192</w:t>
            </w:r>
          </w:p>
        </w:tc>
        <w:tc>
          <w:tcPr>
            <w:tcW w:w="1761" w:type="dxa"/>
            <w:vAlign w:val="center"/>
          </w:tcPr>
          <w:p w14:paraId="4D86C8A1">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0.13</w:t>
            </w:r>
          </w:p>
        </w:tc>
        <w:tc>
          <w:tcPr>
            <w:tcW w:w="1499" w:type="dxa"/>
            <w:shd w:val="clear" w:color="auto" w:fill="auto"/>
            <w:vAlign w:val="center"/>
          </w:tcPr>
          <w:p w14:paraId="2E5BA9CE">
            <w:pPr>
              <w:pStyle w:val="37"/>
              <w:adjustRightInd/>
              <w:spacing w:beforeLines="0" w:afterLines="0" w:line="240" w:lineRule="auto"/>
              <w:rPr>
                <w:rFonts w:hint="default" w:ascii="Times New Roman" w:hAnsi="Times New Roman" w:eastAsia="宋体" w:cs="Times New Roman"/>
                <w:bCs/>
                <w:smallCaps w:val="0"/>
                <w:color w:val="auto"/>
                <w:kern w:val="0"/>
                <w:sz w:val="21"/>
                <w:szCs w:val="21"/>
                <w:highlight w:val="none"/>
                <w:lang w:val="en-US" w:eastAsia="zh-CN" w:bidi="ar-SA"/>
              </w:rPr>
            </w:pPr>
            <w:r>
              <w:rPr>
                <w:rFonts w:hint="eastAsia" w:ascii="Times New Roman" w:cs="Times New Roman"/>
                <w:bCs/>
                <w:smallCaps w:val="0"/>
                <w:color w:val="auto"/>
                <w:kern w:val="0"/>
                <w:sz w:val="21"/>
                <w:szCs w:val="21"/>
                <w:highlight w:val="none"/>
                <w:lang w:val="en-US" w:eastAsia="zh-CN" w:bidi="ar-SA"/>
              </w:rPr>
              <w:t>0.192</w:t>
            </w:r>
          </w:p>
        </w:tc>
        <w:tc>
          <w:tcPr>
            <w:tcW w:w="1286" w:type="dxa"/>
            <w:shd w:val="clear" w:color="auto" w:fill="auto"/>
            <w:vAlign w:val="center"/>
          </w:tcPr>
          <w:p w14:paraId="1EA13B25">
            <w:pPr>
              <w:pStyle w:val="37"/>
              <w:adjustRightInd/>
              <w:spacing w:beforeLines="0" w:afterLines="0" w:line="240" w:lineRule="auto"/>
              <w:rPr>
                <w:rFonts w:hint="default" w:ascii="Times New Roman" w:hAnsi="Times New Roman" w:eastAsia="宋体" w:cs="Times New Roman"/>
                <w:bCs/>
                <w:smallCaps w:val="0"/>
                <w:color w:val="auto"/>
                <w:kern w:val="0"/>
                <w:sz w:val="21"/>
                <w:szCs w:val="21"/>
                <w:highlight w:val="none"/>
                <w:lang w:val="en-US" w:eastAsia="zh-CN" w:bidi="ar-SA"/>
              </w:rPr>
            </w:pPr>
            <w:r>
              <w:rPr>
                <w:rFonts w:hint="eastAsia" w:ascii="Times New Roman" w:cs="Times New Roman"/>
                <w:bCs/>
                <w:smallCaps w:val="0"/>
                <w:color w:val="auto"/>
                <w:kern w:val="0"/>
                <w:sz w:val="21"/>
                <w:szCs w:val="21"/>
                <w:highlight w:val="none"/>
                <w:lang w:val="en-US" w:eastAsia="zh-CN" w:bidi="ar-SA"/>
              </w:rPr>
              <w:t>+0.062</w:t>
            </w:r>
          </w:p>
        </w:tc>
      </w:tr>
      <w:tr w14:paraId="2C194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3AD29636">
            <w:pPr>
              <w:pStyle w:val="37"/>
              <w:adjustRightInd/>
              <w:spacing w:beforeLines="0" w:afterLines="0" w:line="240" w:lineRule="auto"/>
              <w:rPr>
                <w:rFonts w:hint="eastAsia" w:ascii="Times New Roman" w:hAnsi="Times New Roman" w:eastAsia="宋体" w:cs="宋体"/>
                <w:snapToGrid w:val="0"/>
                <w:color w:val="auto"/>
                <w:kern w:val="21"/>
                <w:szCs w:val="21"/>
                <w:highlight w:val="none"/>
              </w:rPr>
            </w:pPr>
          </w:p>
        </w:tc>
        <w:tc>
          <w:tcPr>
            <w:tcW w:w="876" w:type="dxa"/>
            <w:vMerge w:val="continue"/>
            <w:vAlign w:val="center"/>
          </w:tcPr>
          <w:p w14:paraId="3F6B91F7">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180CD4BD">
            <w:pPr>
              <w:snapToGrid w:val="0"/>
              <w:jc w:val="center"/>
              <w:rPr>
                <w:rFonts w:hint="eastAsia" w:ascii="Times New Roman" w:hAnsi="Times New Roman" w:eastAsia="宋体" w:cs="Times New Roman"/>
                <w:smallCaps w:val="0"/>
                <w:color w:val="auto"/>
                <w:kern w:val="0"/>
                <w:sz w:val="21"/>
                <w:szCs w:val="21"/>
                <w:highlight w:val="none"/>
                <w:lang w:val="en-US" w:eastAsia="zh-CN" w:bidi="ar-SA"/>
              </w:rPr>
            </w:pPr>
            <w:r>
              <w:rPr>
                <w:rFonts w:hint="eastAsia" w:ascii="Times New Roman" w:hAnsi="Times New Roman" w:eastAsia="宋体"/>
                <w:smallCaps w:val="0"/>
                <w:color w:val="auto"/>
                <w:kern w:val="0"/>
                <w:szCs w:val="21"/>
                <w:highlight w:val="none"/>
                <w:lang w:val="en-US" w:eastAsia="zh-CN"/>
              </w:rPr>
              <w:t>二氧化硫</w:t>
            </w:r>
          </w:p>
        </w:tc>
        <w:tc>
          <w:tcPr>
            <w:tcW w:w="1559" w:type="dxa"/>
            <w:vAlign w:val="center"/>
          </w:tcPr>
          <w:p w14:paraId="5D669E20">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0.027</w:t>
            </w:r>
          </w:p>
        </w:tc>
        <w:tc>
          <w:tcPr>
            <w:tcW w:w="1276" w:type="dxa"/>
            <w:vAlign w:val="center"/>
          </w:tcPr>
          <w:p w14:paraId="14BEA14F">
            <w:pPr>
              <w:pStyle w:val="37"/>
              <w:adjustRightInd/>
              <w:spacing w:beforeLines="0" w:afterLines="0" w:line="240" w:lineRule="auto"/>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0.027</w:t>
            </w:r>
          </w:p>
        </w:tc>
        <w:tc>
          <w:tcPr>
            <w:tcW w:w="1701" w:type="dxa"/>
            <w:vAlign w:val="center"/>
          </w:tcPr>
          <w:p w14:paraId="4879D7C7">
            <w:pPr>
              <w:pStyle w:val="37"/>
              <w:adjustRightInd/>
              <w:spacing w:beforeLines="0" w:afterLines="0" w:line="240" w:lineRule="auto"/>
              <w:rPr>
                <w:rFonts w:hint="eastAsia" w:ascii="Times New Roman" w:hAnsi="Times New Roman" w:eastAsia="宋体" w:cs="宋体"/>
                <w:snapToGrid w:val="0"/>
                <w:color w:val="auto"/>
                <w:kern w:val="21"/>
                <w:szCs w:val="21"/>
                <w:highlight w:val="none"/>
                <w:lang w:val="en-US" w:eastAsia="zh-CN"/>
              </w:rPr>
            </w:pPr>
            <w:r>
              <w:rPr>
                <w:rFonts w:hint="eastAsia" w:ascii="Times New Roman" w:hAnsi="Times New Roman" w:eastAsia="宋体" w:cs="宋体"/>
                <w:snapToGrid w:val="0"/>
                <w:color w:val="auto"/>
                <w:kern w:val="21"/>
                <w:szCs w:val="21"/>
                <w:highlight w:val="none"/>
                <w:lang w:val="en-US" w:eastAsia="zh-CN"/>
              </w:rPr>
              <w:t>0</w:t>
            </w:r>
          </w:p>
        </w:tc>
        <w:tc>
          <w:tcPr>
            <w:tcW w:w="1559" w:type="dxa"/>
            <w:shd w:val="clear" w:color="auto" w:fill="auto"/>
            <w:vAlign w:val="center"/>
          </w:tcPr>
          <w:p w14:paraId="320E4136">
            <w:pPr>
              <w:pStyle w:val="37"/>
              <w:adjustRightInd/>
              <w:spacing w:beforeLines="0" w:afterLines="0" w:line="240" w:lineRule="auto"/>
              <w:rPr>
                <w:rFonts w:hint="default" w:ascii="Times New Roman" w:hAnsi="Times New Roman" w:eastAsia="宋体" w:cs="宋体"/>
                <w:bCs/>
                <w:smallCaps w:val="0"/>
                <w:color w:val="auto"/>
                <w:kern w:val="0"/>
                <w:sz w:val="21"/>
                <w:szCs w:val="21"/>
                <w:highlight w:val="none"/>
                <w:lang w:val="en-US" w:eastAsia="zh-CN" w:bidi="ar-SA"/>
              </w:rPr>
            </w:pPr>
            <w:r>
              <w:rPr>
                <w:rFonts w:hint="eastAsia" w:ascii="Times New Roman" w:cs="宋体"/>
                <w:bCs/>
                <w:smallCaps w:val="0"/>
                <w:color w:val="auto"/>
                <w:szCs w:val="21"/>
                <w:highlight w:val="none"/>
                <w:lang w:val="en-US" w:eastAsia="zh-CN"/>
              </w:rPr>
              <w:t>0.022</w:t>
            </w:r>
          </w:p>
        </w:tc>
        <w:tc>
          <w:tcPr>
            <w:tcW w:w="1761" w:type="dxa"/>
            <w:vAlign w:val="center"/>
          </w:tcPr>
          <w:p w14:paraId="1B8902AD">
            <w:pPr>
              <w:pStyle w:val="37"/>
              <w:adjustRightInd/>
              <w:spacing w:beforeLines="0" w:afterLines="0" w:line="240" w:lineRule="auto"/>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0.027</w:t>
            </w:r>
          </w:p>
        </w:tc>
        <w:tc>
          <w:tcPr>
            <w:tcW w:w="1499" w:type="dxa"/>
            <w:shd w:val="clear" w:color="auto" w:fill="auto"/>
            <w:vAlign w:val="center"/>
          </w:tcPr>
          <w:p w14:paraId="1B4852A6">
            <w:pPr>
              <w:pStyle w:val="37"/>
              <w:adjustRightInd/>
              <w:spacing w:beforeLines="0" w:afterLines="0" w:line="240" w:lineRule="auto"/>
              <w:rPr>
                <w:rFonts w:hint="eastAsia" w:ascii="Times New Roman" w:hAnsi="Times New Roman" w:eastAsia="宋体" w:cs="宋体"/>
                <w:bCs/>
                <w:smallCaps w:val="0"/>
                <w:color w:val="auto"/>
                <w:kern w:val="0"/>
                <w:sz w:val="21"/>
                <w:szCs w:val="21"/>
                <w:highlight w:val="none"/>
                <w:lang w:val="en-US" w:eastAsia="zh-CN" w:bidi="ar-SA"/>
              </w:rPr>
            </w:pPr>
            <w:r>
              <w:rPr>
                <w:rFonts w:hint="eastAsia" w:ascii="Times New Roman" w:cs="宋体"/>
                <w:bCs/>
                <w:smallCaps w:val="0"/>
                <w:color w:val="auto"/>
                <w:szCs w:val="21"/>
                <w:highlight w:val="none"/>
                <w:lang w:val="en-US" w:eastAsia="zh-CN"/>
              </w:rPr>
              <w:t>0.022</w:t>
            </w:r>
          </w:p>
        </w:tc>
        <w:tc>
          <w:tcPr>
            <w:tcW w:w="1286" w:type="dxa"/>
            <w:shd w:val="clear" w:color="auto" w:fill="auto"/>
            <w:vAlign w:val="center"/>
          </w:tcPr>
          <w:p w14:paraId="0E272934">
            <w:pPr>
              <w:pStyle w:val="37"/>
              <w:adjustRightInd/>
              <w:spacing w:beforeLines="0" w:afterLines="0" w:line="240" w:lineRule="auto"/>
              <w:rPr>
                <w:rFonts w:hint="default" w:ascii="Times New Roman" w:hAnsi="Times New Roman" w:eastAsia="宋体" w:cs="宋体"/>
                <w:bCs/>
                <w:smallCaps w:val="0"/>
                <w:color w:val="auto"/>
                <w:kern w:val="0"/>
                <w:sz w:val="21"/>
                <w:szCs w:val="21"/>
                <w:highlight w:val="none"/>
                <w:lang w:val="en-US" w:eastAsia="zh-CN" w:bidi="ar-SA"/>
              </w:rPr>
            </w:pPr>
            <w:r>
              <w:rPr>
                <w:rFonts w:hint="eastAsia" w:ascii="Times New Roman" w:cs="宋体"/>
                <w:bCs/>
                <w:smallCaps w:val="0"/>
                <w:color w:val="auto"/>
                <w:szCs w:val="21"/>
                <w:highlight w:val="none"/>
                <w:lang w:val="en-US" w:eastAsia="zh-CN"/>
              </w:rPr>
              <w:t>-0.005</w:t>
            </w:r>
          </w:p>
        </w:tc>
      </w:tr>
      <w:tr w14:paraId="42E79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5F936BCF">
            <w:pPr>
              <w:pStyle w:val="37"/>
              <w:adjustRightInd/>
              <w:spacing w:beforeLines="0" w:afterLines="0" w:line="240" w:lineRule="auto"/>
              <w:rPr>
                <w:rFonts w:hint="eastAsia" w:ascii="Times New Roman" w:hAnsi="Times New Roman" w:eastAsia="宋体" w:cs="宋体"/>
                <w:snapToGrid w:val="0"/>
                <w:color w:val="auto"/>
                <w:kern w:val="21"/>
                <w:szCs w:val="21"/>
                <w:highlight w:val="none"/>
              </w:rPr>
            </w:pPr>
          </w:p>
        </w:tc>
        <w:tc>
          <w:tcPr>
            <w:tcW w:w="876" w:type="dxa"/>
            <w:vMerge w:val="continue"/>
            <w:vAlign w:val="center"/>
          </w:tcPr>
          <w:p w14:paraId="39055181">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5F73306C">
            <w:pPr>
              <w:snapToGrid w:val="0"/>
              <w:jc w:val="center"/>
              <w:rPr>
                <w:rFonts w:hint="eastAsia" w:ascii="Times New Roman" w:hAnsi="Times New Roman" w:eastAsia="宋体" w:cs="Times New Roman"/>
                <w:smallCaps w:val="0"/>
                <w:color w:val="auto"/>
                <w:kern w:val="0"/>
                <w:sz w:val="21"/>
                <w:szCs w:val="21"/>
                <w:highlight w:val="none"/>
                <w:lang w:val="en-US" w:eastAsia="zh-CN" w:bidi="ar-SA"/>
              </w:rPr>
            </w:pPr>
            <w:r>
              <w:rPr>
                <w:rFonts w:hint="eastAsia" w:ascii="Times New Roman" w:hAnsi="Times New Roman" w:eastAsia="宋体"/>
                <w:smallCaps w:val="0"/>
                <w:color w:val="auto"/>
                <w:kern w:val="0"/>
                <w:szCs w:val="21"/>
                <w:highlight w:val="none"/>
                <w:lang w:val="en-US" w:eastAsia="zh-CN"/>
              </w:rPr>
              <w:t>氮氧化物</w:t>
            </w:r>
          </w:p>
        </w:tc>
        <w:tc>
          <w:tcPr>
            <w:tcW w:w="1559" w:type="dxa"/>
            <w:vAlign w:val="center"/>
          </w:tcPr>
          <w:p w14:paraId="1FE4840E">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0.264</w:t>
            </w:r>
          </w:p>
        </w:tc>
        <w:tc>
          <w:tcPr>
            <w:tcW w:w="1276" w:type="dxa"/>
            <w:vAlign w:val="center"/>
          </w:tcPr>
          <w:p w14:paraId="19BB558D">
            <w:pPr>
              <w:pStyle w:val="37"/>
              <w:adjustRightInd/>
              <w:spacing w:beforeLines="0" w:afterLines="0" w:line="240" w:lineRule="auto"/>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0.264</w:t>
            </w:r>
          </w:p>
        </w:tc>
        <w:tc>
          <w:tcPr>
            <w:tcW w:w="1701" w:type="dxa"/>
            <w:vAlign w:val="center"/>
          </w:tcPr>
          <w:p w14:paraId="4C6BCC34">
            <w:pPr>
              <w:pStyle w:val="37"/>
              <w:adjustRightInd/>
              <w:spacing w:beforeLines="0" w:afterLines="0" w:line="240" w:lineRule="auto"/>
              <w:rPr>
                <w:rFonts w:hint="eastAsia" w:ascii="Times New Roman" w:hAnsi="Times New Roman" w:eastAsia="宋体" w:cs="宋体"/>
                <w:snapToGrid w:val="0"/>
                <w:color w:val="auto"/>
                <w:kern w:val="21"/>
                <w:szCs w:val="21"/>
                <w:highlight w:val="none"/>
                <w:lang w:val="en-US" w:eastAsia="zh-CN"/>
              </w:rPr>
            </w:pPr>
            <w:r>
              <w:rPr>
                <w:rFonts w:hint="eastAsia" w:ascii="Times New Roman" w:hAnsi="Times New Roman" w:eastAsia="宋体" w:cs="宋体"/>
                <w:snapToGrid w:val="0"/>
                <w:color w:val="auto"/>
                <w:kern w:val="21"/>
                <w:szCs w:val="21"/>
                <w:highlight w:val="none"/>
                <w:lang w:val="en-US" w:eastAsia="zh-CN"/>
              </w:rPr>
              <w:t>0</w:t>
            </w:r>
          </w:p>
        </w:tc>
        <w:tc>
          <w:tcPr>
            <w:tcW w:w="1559" w:type="dxa"/>
            <w:shd w:val="clear" w:color="auto" w:fill="auto"/>
            <w:vAlign w:val="center"/>
          </w:tcPr>
          <w:p w14:paraId="6680BFE2">
            <w:pPr>
              <w:snapToGrid w:val="0"/>
              <w:jc w:val="center"/>
              <w:rPr>
                <w:rFonts w:hint="default"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0.206</w:t>
            </w:r>
          </w:p>
        </w:tc>
        <w:tc>
          <w:tcPr>
            <w:tcW w:w="1761" w:type="dxa"/>
            <w:vAlign w:val="center"/>
          </w:tcPr>
          <w:p w14:paraId="7AC9B6E3">
            <w:pPr>
              <w:pStyle w:val="37"/>
              <w:adjustRightInd/>
              <w:spacing w:beforeLines="0" w:afterLines="0" w:line="240" w:lineRule="auto"/>
              <w:rPr>
                <w:rFonts w:hint="eastAsia"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0.264</w:t>
            </w:r>
          </w:p>
        </w:tc>
        <w:tc>
          <w:tcPr>
            <w:tcW w:w="1499" w:type="dxa"/>
            <w:shd w:val="clear" w:color="auto" w:fill="auto"/>
            <w:vAlign w:val="center"/>
          </w:tcPr>
          <w:p w14:paraId="68218FB6">
            <w:pPr>
              <w:snapToGrid w:val="0"/>
              <w:jc w:val="center"/>
              <w:rPr>
                <w:rFonts w:hint="eastAsia"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0.206</w:t>
            </w:r>
          </w:p>
        </w:tc>
        <w:tc>
          <w:tcPr>
            <w:tcW w:w="1286" w:type="dxa"/>
            <w:shd w:val="clear" w:color="auto" w:fill="auto"/>
            <w:vAlign w:val="center"/>
          </w:tcPr>
          <w:p w14:paraId="2C5E632F">
            <w:pPr>
              <w:snapToGrid w:val="0"/>
              <w:jc w:val="center"/>
              <w:rPr>
                <w:rFonts w:hint="default"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-0.058</w:t>
            </w:r>
          </w:p>
        </w:tc>
      </w:tr>
      <w:tr w14:paraId="1BF83E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755FD0B4">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010BAF1D">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2493D3B9">
            <w:pPr>
              <w:snapToGrid w:val="0"/>
              <w:jc w:val="center"/>
              <w:rPr>
                <w:rFonts w:hint="default" w:ascii="Times New Roman" w:hAnsi="Times New Roman" w:eastAsia="宋体" w:cs="Times New Roman"/>
                <w:smallCaps w:val="0"/>
                <w:color w:val="auto"/>
                <w:kern w:val="0"/>
                <w:sz w:val="21"/>
                <w:szCs w:val="21"/>
                <w:highlight w:val="none"/>
                <w:lang w:val="en-US" w:eastAsia="zh-CN" w:bidi="ar-SA"/>
              </w:rPr>
            </w:pPr>
            <w:r>
              <w:rPr>
                <w:rFonts w:hint="eastAsia" w:ascii="Times New Roman" w:hAnsi="Times New Roman" w:eastAsia="宋体" w:cs="宋体"/>
                <w:color w:val="auto"/>
                <w:kern w:val="0"/>
                <w:szCs w:val="21"/>
                <w:highlight w:val="none"/>
              </w:rPr>
              <w:t>非甲烷总烃</w:t>
            </w:r>
          </w:p>
        </w:tc>
        <w:tc>
          <w:tcPr>
            <w:tcW w:w="1559" w:type="dxa"/>
            <w:vAlign w:val="center"/>
          </w:tcPr>
          <w:p w14:paraId="53445547">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0.079</w:t>
            </w:r>
          </w:p>
        </w:tc>
        <w:tc>
          <w:tcPr>
            <w:tcW w:w="1276" w:type="dxa"/>
            <w:vAlign w:val="center"/>
          </w:tcPr>
          <w:p w14:paraId="4D71B1A5">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0.079</w:t>
            </w:r>
          </w:p>
        </w:tc>
        <w:tc>
          <w:tcPr>
            <w:tcW w:w="1701" w:type="dxa"/>
            <w:vAlign w:val="center"/>
          </w:tcPr>
          <w:p w14:paraId="3480C814">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shd w:val="clear" w:color="auto" w:fill="auto"/>
            <w:vAlign w:val="center"/>
          </w:tcPr>
          <w:p w14:paraId="3F6F83C9">
            <w:pPr>
              <w:snapToGrid w:val="0"/>
              <w:jc w:val="center"/>
              <w:rPr>
                <w:rFonts w:hint="default"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0.135</w:t>
            </w:r>
          </w:p>
        </w:tc>
        <w:tc>
          <w:tcPr>
            <w:tcW w:w="1761" w:type="dxa"/>
            <w:vAlign w:val="center"/>
          </w:tcPr>
          <w:p w14:paraId="571944A0">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shd w:val="clear" w:color="auto" w:fill="auto"/>
            <w:vAlign w:val="center"/>
          </w:tcPr>
          <w:p w14:paraId="1100274B">
            <w:pPr>
              <w:snapToGrid w:val="0"/>
              <w:jc w:val="center"/>
              <w:rPr>
                <w:rFonts w:hint="default"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0.214</w:t>
            </w:r>
          </w:p>
        </w:tc>
        <w:tc>
          <w:tcPr>
            <w:tcW w:w="1286" w:type="dxa"/>
            <w:shd w:val="clear" w:color="auto" w:fill="auto"/>
            <w:vAlign w:val="center"/>
          </w:tcPr>
          <w:p w14:paraId="45513A4A">
            <w:pPr>
              <w:snapToGrid w:val="0"/>
              <w:jc w:val="center"/>
              <w:rPr>
                <w:rFonts w:hint="default" w:ascii="Times New Roman" w:hAnsi="Times New Roman" w:eastAsia="宋体" w:cs="宋体"/>
                <w:color w:val="auto"/>
                <w:kern w:val="0"/>
                <w:sz w:val="21"/>
                <w:szCs w:val="21"/>
                <w:highlight w:val="none"/>
                <w:lang w:val="en-US" w:eastAsia="zh-CN" w:bidi="ar-SA"/>
              </w:rPr>
            </w:pPr>
            <w:r>
              <w:rPr>
                <w:rFonts w:hint="eastAsia" w:cs="宋体"/>
                <w:color w:val="auto"/>
                <w:kern w:val="0"/>
                <w:szCs w:val="21"/>
                <w:highlight w:val="none"/>
                <w:lang w:val="en-US" w:eastAsia="zh-CN"/>
              </w:rPr>
              <w:t>+0.135</w:t>
            </w:r>
          </w:p>
        </w:tc>
      </w:tr>
      <w:tr w14:paraId="01847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29C2D214">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restart"/>
            <w:vAlign w:val="center"/>
          </w:tcPr>
          <w:p w14:paraId="742EE1E4">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ascii="Times New Roman" w:hAnsi="Times New Roman" w:eastAsia="宋体" w:cs="宋体"/>
                <w:snapToGrid w:val="0"/>
                <w:color w:val="auto"/>
                <w:kern w:val="21"/>
                <w:szCs w:val="21"/>
                <w:highlight w:val="none"/>
              </w:rPr>
              <w:t>无组织</w:t>
            </w:r>
          </w:p>
        </w:tc>
        <w:tc>
          <w:tcPr>
            <w:tcW w:w="1559" w:type="dxa"/>
            <w:vAlign w:val="center"/>
          </w:tcPr>
          <w:p w14:paraId="67FCD29B">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颗粒物</w:t>
            </w:r>
          </w:p>
        </w:tc>
        <w:tc>
          <w:tcPr>
            <w:tcW w:w="1559" w:type="dxa"/>
            <w:vAlign w:val="center"/>
          </w:tcPr>
          <w:p w14:paraId="4FFCD36D">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0.142</w:t>
            </w:r>
          </w:p>
        </w:tc>
        <w:tc>
          <w:tcPr>
            <w:tcW w:w="1276" w:type="dxa"/>
            <w:vAlign w:val="center"/>
          </w:tcPr>
          <w:p w14:paraId="693972E8">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0.142</w:t>
            </w:r>
          </w:p>
        </w:tc>
        <w:tc>
          <w:tcPr>
            <w:tcW w:w="1701" w:type="dxa"/>
            <w:vAlign w:val="center"/>
          </w:tcPr>
          <w:p w14:paraId="3D82CF1D">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shd w:val="clear" w:color="auto" w:fill="auto"/>
            <w:vAlign w:val="center"/>
          </w:tcPr>
          <w:p w14:paraId="7B6FF6FE">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0.388</w:t>
            </w:r>
          </w:p>
        </w:tc>
        <w:tc>
          <w:tcPr>
            <w:tcW w:w="1761" w:type="dxa"/>
            <w:vAlign w:val="center"/>
          </w:tcPr>
          <w:p w14:paraId="52CCC9AE">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0.142</w:t>
            </w:r>
          </w:p>
        </w:tc>
        <w:tc>
          <w:tcPr>
            <w:tcW w:w="1499" w:type="dxa"/>
            <w:shd w:val="clear" w:color="auto" w:fill="auto"/>
            <w:vAlign w:val="center"/>
          </w:tcPr>
          <w:p w14:paraId="78DEB091">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0.388</w:t>
            </w:r>
          </w:p>
        </w:tc>
        <w:tc>
          <w:tcPr>
            <w:tcW w:w="1286" w:type="dxa"/>
            <w:shd w:val="clear" w:color="auto" w:fill="auto"/>
            <w:vAlign w:val="center"/>
          </w:tcPr>
          <w:p w14:paraId="2C485620">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+0.246</w:t>
            </w:r>
          </w:p>
        </w:tc>
      </w:tr>
      <w:tr w14:paraId="20013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55CACBE5">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0AEF1D24">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22705561">
            <w:pPr>
              <w:snapToGrid w:val="0"/>
              <w:jc w:val="center"/>
              <w:rPr>
                <w:rFonts w:ascii="Times New Roman" w:hAnsi="Times New Roman" w:eastAsia="宋体" w:cs="宋体"/>
                <w:color w:val="auto"/>
                <w:kern w:val="0"/>
                <w:szCs w:val="21"/>
                <w:highlight w:val="none"/>
              </w:rPr>
            </w:pPr>
            <w:r>
              <w:rPr>
                <w:rFonts w:hint="eastAsia" w:ascii="Times New Roman" w:hAnsi="Times New Roman" w:eastAsia="宋体" w:cs="宋体"/>
                <w:color w:val="auto"/>
                <w:kern w:val="0"/>
                <w:szCs w:val="21"/>
                <w:highlight w:val="none"/>
              </w:rPr>
              <w:t>非甲烷总烃</w:t>
            </w:r>
          </w:p>
        </w:tc>
        <w:tc>
          <w:tcPr>
            <w:tcW w:w="1559" w:type="dxa"/>
            <w:vAlign w:val="center"/>
          </w:tcPr>
          <w:p w14:paraId="48FA92E1">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0.035</w:t>
            </w:r>
          </w:p>
        </w:tc>
        <w:tc>
          <w:tcPr>
            <w:tcW w:w="1276" w:type="dxa"/>
            <w:vAlign w:val="center"/>
          </w:tcPr>
          <w:p w14:paraId="6D3C188B">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0.035</w:t>
            </w:r>
          </w:p>
        </w:tc>
        <w:tc>
          <w:tcPr>
            <w:tcW w:w="1701" w:type="dxa"/>
            <w:vAlign w:val="center"/>
          </w:tcPr>
          <w:p w14:paraId="0FB822C7">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shd w:val="clear" w:color="auto" w:fill="auto"/>
            <w:vAlign w:val="center"/>
          </w:tcPr>
          <w:p w14:paraId="30495D72">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0.15</w:t>
            </w:r>
          </w:p>
        </w:tc>
        <w:tc>
          <w:tcPr>
            <w:tcW w:w="1761" w:type="dxa"/>
            <w:vAlign w:val="center"/>
          </w:tcPr>
          <w:p w14:paraId="0A2D32EE">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shd w:val="clear" w:color="auto" w:fill="auto"/>
            <w:vAlign w:val="center"/>
          </w:tcPr>
          <w:p w14:paraId="6B0DCF86">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0.185</w:t>
            </w:r>
          </w:p>
        </w:tc>
        <w:tc>
          <w:tcPr>
            <w:tcW w:w="1286" w:type="dxa"/>
            <w:shd w:val="clear" w:color="auto" w:fill="auto"/>
            <w:vAlign w:val="center"/>
          </w:tcPr>
          <w:p w14:paraId="5BAED411">
            <w:pPr>
              <w:snapToGrid w:val="0"/>
              <w:jc w:val="center"/>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+0.15</w:t>
            </w:r>
          </w:p>
        </w:tc>
      </w:tr>
      <w:tr w14:paraId="6FC6F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restart"/>
            <w:vAlign w:val="center"/>
          </w:tcPr>
          <w:p w14:paraId="4564B23C">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废水</w:t>
            </w:r>
          </w:p>
        </w:tc>
        <w:tc>
          <w:tcPr>
            <w:tcW w:w="876" w:type="dxa"/>
            <w:vMerge w:val="restart"/>
            <w:vAlign w:val="center"/>
          </w:tcPr>
          <w:p w14:paraId="07FB036E">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生活污水</w:t>
            </w:r>
          </w:p>
        </w:tc>
        <w:tc>
          <w:tcPr>
            <w:tcW w:w="1559" w:type="dxa"/>
            <w:vAlign w:val="center"/>
          </w:tcPr>
          <w:p w14:paraId="19ECEFF6">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rPr>
              <w:t>废水量</w:t>
            </w:r>
          </w:p>
        </w:tc>
        <w:tc>
          <w:tcPr>
            <w:tcW w:w="1559" w:type="dxa"/>
            <w:vAlign w:val="center"/>
          </w:tcPr>
          <w:p w14:paraId="581EF42F">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1920</w:t>
            </w:r>
          </w:p>
        </w:tc>
        <w:tc>
          <w:tcPr>
            <w:tcW w:w="1276" w:type="dxa"/>
            <w:vAlign w:val="center"/>
          </w:tcPr>
          <w:p w14:paraId="29A17108">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1920</w:t>
            </w:r>
          </w:p>
        </w:tc>
        <w:tc>
          <w:tcPr>
            <w:tcW w:w="1701" w:type="dxa"/>
            <w:vAlign w:val="center"/>
          </w:tcPr>
          <w:p w14:paraId="250A2C59">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4FF30EE0">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70AB4345">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764D7ABF">
            <w:pPr>
              <w:pStyle w:val="37"/>
              <w:adjustRightInd/>
              <w:spacing w:beforeLines="0" w:afterLines="0" w:line="240" w:lineRule="auto"/>
              <w:rPr>
                <w:rFonts w:ascii="Times New Roman" w:hAnsi="Times New Roman" w:eastAsia="宋体" w:cs="宋体"/>
                <w:bCs/>
                <w:color w:val="auto"/>
                <w:kern w:val="0"/>
                <w:sz w:val="21"/>
                <w:szCs w:val="21"/>
                <w:highlight w:val="none"/>
                <w:lang w:val="en-US" w:eastAsia="zh-CN" w:bidi="ar-SA"/>
              </w:rPr>
            </w:pPr>
            <w:r>
              <w:rPr>
                <w:rFonts w:hint="eastAsia" w:ascii="Times New Roman" w:cs="宋体"/>
                <w:snapToGrid w:val="0"/>
                <w:color w:val="auto"/>
                <w:kern w:val="21"/>
                <w:szCs w:val="21"/>
                <w:highlight w:val="none"/>
                <w:lang w:val="en-US" w:eastAsia="zh-CN"/>
              </w:rPr>
              <w:t>1920</w:t>
            </w:r>
          </w:p>
        </w:tc>
        <w:tc>
          <w:tcPr>
            <w:tcW w:w="1286" w:type="dxa"/>
            <w:vAlign w:val="center"/>
          </w:tcPr>
          <w:p w14:paraId="6CB7E710">
            <w:pPr>
              <w:pStyle w:val="37"/>
              <w:adjustRightInd/>
              <w:spacing w:beforeLines="0" w:afterLines="0" w:line="240" w:lineRule="auto"/>
              <w:rPr>
                <w:rFonts w:hint="eastAsia" w:ascii="Times New Roman" w:hAnsi="Times New Roman" w:eastAsia="宋体" w:cs="宋体"/>
                <w:bCs/>
                <w:color w:val="auto"/>
                <w:kern w:val="0"/>
                <w:sz w:val="21"/>
                <w:szCs w:val="21"/>
                <w:highlight w:val="none"/>
                <w:lang w:val="en-US" w:eastAsia="zh-CN" w:bidi="ar-SA"/>
              </w:rPr>
            </w:pPr>
            <w:r>
              <w:rPr>
                <w:rFonts w:hint="eastAsia" w:ascii="Times New Roman" w:cs="宋体"/>
                <w:bCs/>
                <w:color w:val="auto"/>
                <w:szCs w:val="21"/>
                <w:highlight w:val="none"/>
                <w:lang w:val="en-US" w:eastAsia="zh-CN"/>
              </w:rPr>
              <w:t>0</w:t>
            </w:r>
          </w:p>
        </w:tc>
      </w:tr>
      <w:tr w14:paraId="3176C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35D7E96B">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691BA2A7">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3FAC4B0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化学需氧量</w:t>
            </w:r>
          </w:p>
        </w:tc>
        <w:tc>
          <w:tcPr>
            <w:tcW w:w="1559" w:type="dxa"/>
            <w:vAlign w:val="center"/>
          </w:tcPr>
          <w:p w14:paraId="4C6C657B">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0.96</w:t>
            </w:r>
          </w:p>
        </w:tc>
        <w:tc>
          <w:tcPr>
            <w:tcW w:w="1276" w:type="dxa"/>
            <w:vAlign w:val="center"/>
          </w:tcPr>
          <w:p w14:paraId="5ACBE4B7">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0.96</w:t>
            </w:r>
          </w:p>
        </w:tc>
        <w:tc>
          <w:tcPr>
            <w:tcW w:w="1701" w:type="dxa"/>
            <w:vAlign w:val="center"/>
          </w:tcPr>
          <w:p w14:paraId="103F5F2D">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05F14EDB">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0C06B568">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5BB9949E">
            <w:pPr>
              <w:pStyle w:val="37"/>
              <w:adjustRightInd/>
              <w:spacing w:beforeLines="0" w:afterLines="0" w:line="240" w:lineRule="auto"/>
              <w:rPr>
                <w:rFonts w:ascii="Times New Roman" w:hAnsi="Times New Roman" w:eastAsia="宋体" w:cs="宋体"/>
                <w:bCs/>
                <w:color w:val="auto"/>
                <w:kern w:val="2"/>
                <w:sz w:val="21"/>
                <w:szCs w:val="21"/>
                <w:highlight w:val="none"/>
                <w:lang w:val="en-US" w:eastAsia="zh-CN" w:bidi="ar-SA"/>
              </w:rPr>
            </w:pPr>
            <w:r>
              <w:rPr>
                <w:rFonts w:hint="eastAsia" w:ascii="Times New Roman" w:cs="宋体"/>
                <w:snapToGrid w:val="0"/>
                <w:color w:val="auto"/>
                <w:kern w:val="21"/>
                <w:szCs w:val="21"/>
                <w:highlight w:val="none"/>
                <w:lang w:val="en-US" w:eastAsia="zh-CN"/>
              </w:rPr>
              <w:t>0.96</w:t>
            </w:r>
          </w:p>
        </w:tc>
        <w:tc>
          <w:tcPr>
            <w:tcW w:w="1286" w:type="dxa"/>
            <w:vAlign w:val="center"/>
          </w:tcPr>
          <w:p w14:paraId="63F00425">
            <w:pPr>
              <w:snapToGrid w:val="0"/>
              <w:jc w:val="center"/>
              <w:textAlignment w:val="center"/>
              <w:rPr>
                <w:rFonts w:hint="eastAsia" w:ascii="Times New Roman" w:hAnsi="Times New Roman" w:eastAsia="宋体" w:cs="宋体"/>
                <w:bCs/>
                <w:color w:val="auto"/>
                <w:kern w:val="2"/>
                <w:sz w:val="21"/>
                <w:szCs w:val="21"/>
                <w:highlight w:val="none"/>
                <w:lang w:val="en-US" w:eastAsia="zh-CN" w:bidi="ar-SA"/>
              </w:rPr>
            </w:pPr>
            <w:r>
              <w:rPr>
                <w:rFonts w:hint="eastAsia" w:cs="宋体"/>
                <w:color w:val="auto"/>
                <w:szCs w:val="21"/>
                <w:highlight w:val="none"/>
                <w:lang w:val="en-US" w:eastAsia="zh-CN"/>
              </w:rPr>
              <w:t>0</w:t>
            </w:r>
          </w:p>
        </w:tc>
      </w:tr>
      <w:tr w14:paraId="3E5A3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2D14007A">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2120E31B">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213C32E5">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悬浮物</w:t>
            </w:r>
          </w:p>
        </w:tc>
        <w:tc>
          <w:tcPr>
            <w:tcW w:w="1559" w:type="dxa"/>
            <w:vAlign w:val="center"/>
          </w:tcPr>
          <w:p w14:paraId="6E73B73F">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0.48</w:t>
            </w:r>
          </w:p>
        </w:tc>
        <w:tc>
          <w:tcPr>
            <w:tcW w:w="1276" w:type="dxa"/>
            <w:vAlign w:val="center"/>
          </w:tcPr>
          <w:p w14:paraId="5C9F2C03">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0.48</w:t>
            </w:r>
          </w:p>
        </w:tc>
        <w:tc>
          <w:tcPr>
            <w:tcW w:w="1701" w:type="dxa"/>
            <w:vAlign w:val="center"/>
          </w:tcPr>
          <w:p w14:paraId="6B7BC00A">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2136F2B1">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6FA5D64A">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20082D55">
            <w:pPr>
              <w:pStyle w:val="37"/>
              <w:adjustRightInd/>
              <w:spacing w:beforeLines="0" w:afterLines="0" w:line="240" w:lineRule="auto"/>
              <w:rPr>
                <w:rFonts w:ascii="Times New Roman" w:hAnsi="Times New Roman" w:eastAsia="宋体" w:cs="宋体"/>
                <w:bCs/>
                <w:color w:val="auto"/>
                <w:kern w:val="2"/>
                <w:sz w:val="21"/>
                <w:szCs w:val="21"/>
                <w:highlight w:val="none"/>
                <w:lang w:val="en-US" w:eastAsia="zh-CN" w:bidi="ar-SA"/>
              </w:rPr>
            </w:pPr>
            <w:r>
              <w:rPr>
                <w:rFonts w:hint="eastAsia" w:ascii="Times New Roman" w:cs="宋体"/>
                <w:snapToGrid w:val="0"/>
                <w:color w:val="auto"/>
                <w:kern w:val="21"/>
                <w:szCs w:val="21"/>
                <w:highlight w:val="none"/>
                <w:lang w:val="en-US" w:eastAsia="zh-CN"/>
              </w:rPr>
              <w:t>0.48</w:t>
            </w:r>
          </w:p>
        </w:tc>
        <w:tc>
          <w:tcPr>
            <w:tcW w:w="1286" w:type="dxa"/>
            <w:vAlign w:val="center"/>
          </w:tcPr>
          <w:p w14:paraId="67C033B6">
            <w:pPr>
              <w:snapToGrid w:val="0"/>
              <w:jc w:val="center"/>
              <w:textAlignment w:val="center"/>
              <w:rPr>
                <w:rFonts w:hint="eastAsia" w:ascii="Times New Roman" w:hAnsi="Times New Roman" w:eastAsia="宋体" w:cs="宋体"/>
                <w:bCs/>
                <w:color w:val="auto"/>
                <w:kern w:val="2"/>
                <w:sz w:val="21"/>
                <w:szCs w:val="21"/>
                <w:highlight w:val="none"/>
                <w:lang w:val="en-US" w:eastAsia="zh-CN" w:bidi="ar-SA"/>
              </w:rPr>
            </w:pPr>
            <w:r>
              <w:rPr>
                <w:rFonts w:hint="eastAsia" w:cs="宋体"/>
                <w:color w:val="auto"/>
                <w:szCs w:val="21"/>
                <w:highlight w:val="none"/>
                <w:lang w:val="en-US" w:eastAsia="zh-CN"/>
              </w:rPr>
              <w:t>0</w:t>
            </w:r>
          </w:p>
        </w:tc>
      </w:tr>
      <w:tr w14:paraId="12622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54759109">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5719DFA0">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2FCF821D">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氨氮</w:t>
            </w:r>
          </w:p>
        </w:tc>
        <w:tc>
          <w:tcPr>
            <w:tcW w:w="1559" w:type="dxa"/>
            <w:vAlign w:val="center"/>
          </w:tcPr>
          <w:p w14:paraId="4DB7E99E">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1276" w:type="dxa"/>
            <w:vAlign w:val="center"/>
          </w:tcPr>
          <w:p w14:paraId="46115DF3">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1701" w:type="dxa"/>
            <w:vAlign w:val="center"/>
          </w:tcPr>
          <w:p w14:paraId="1B58C9EC">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09079D3D">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7904D1FD">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015DEB07">
            <w:pPr>
              <w:pStyle w:val="37"/>
              <w:adjustRightInd/>
              <w:spacing w:beforeLines="0" w:afterLines="0" w:line="240" w:lineRule="auto"/>
              <w:rPr>
                <w:rFonts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0.0672</w:t>
            </w:r>
          </w:p>
        </w:tc>
        <w:tc>
          <w:tcPr>
            <w:tcW w:w="1286" w:type="dxa"/>
            <w:vAlign w:val="center"/>
          </w:tcPr>
          <w:p w14:paraId="51E19290">
            <w:pPr>
              <w:snapToGrid w:val="0"/>
              <w:jc w:val="center"/>
              <w:textAlignment w:val="center"/>
              <w:rPr>
                <w:rFonts w:hint="eastAsia" w:ascii="Times New Roman" w:hAnsi="Times New Roman" w:eastAsia="宋体" w:cs="宋体"/>
                <w:bCs/>
                <w:color w:val="auto"/>
                <w:kern w:val="2"/>
                <w:sz w:val="21"/>
                <w:szCs w:val="21"/>
                <w:highlight w:val="none"/>
                <w:lang w:val="en-US" w:eastAsia="zh-CN" w:bidi="ar-SA"/>
              </w:rPr>
            </w:pPr>
            <w:r>
              <w:rPr>
                <w:rFonts w:hint="eastAsia" w:cs="宋体"/>
                <w:color w:val="auto"/>
                <w:szCs w:val="21"/>
                <w:highlight w:val="none"/>
                <w:lang w:val="en-US" w:eastAsia="zh-CN"/>
              </w:rPr>
              <w:t>0</w:t>
            </w:r>
          </w:p>
        </w:tc>
      </w:tr>
      <w:tr w14:paraId="1DFBB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2FD62F80">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21633741">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7A25519A">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总磷</w:t>
            </w:r>
          </w:p>
        </w:tc>
        <w:tc>
          <w:tcPr>
            <w:tcW w:w="1559" w:type="dxa"/>
            <w:vAlign w:val="center"/>
          </w:tcPr>
          <w:p w14:paraId="5939563F">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1276" w:type="dxa"/>
            <w:vAlign w:val="center"/>
          </w:tcPr>
          <w:p w14:paraId="5E9DADF3">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1701" w:type="dxa"/>
            <w:vAlign w:val="center"/>
          </w:tcPr>
          <w:p w14:paraId="039EF45C">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332A6AD8">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17A6CA22">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65D40B9D">
            <w:pPr>
              <w:pStyle w:val="37"/>
              <w:adjustRightInd/>
              <w:spacing w:beforeLines="0" w:afterLines="0" w:line="240" w:lineRule="auto"/>
              <w:rPr>
                <w:rFonts w:ascii="Times New Roman" w:hAnsi="Times New Roman" w:eastAsia="宋体" w:cs="宋体"/>
                <w:bCs/>
                <w:color w:val="auto"/>
                <w:kern w:val="2"/>
                <w:sz w:val="21"/>
                <w:szCs w:val="21"/>
                <w:highlight w:val="none"/>
                <w:lang w:val="en-US" w:eastAsia="zh-CN" w:bidi="ar-SA"/>
              </w:rPr>
            </w:pPr>
            <w:r>
              <w:rPr>
                <w:rFonts w:hint="eastAsia" w:ascii="Times New Roman" w:hAnsi="Times New Roman" w:eastAsia="宋体" w:cs="宋体"/>
                <w:snapToGrid w:val="0"/>
                <w:color w:val="auto"/>
                <w:kern w:val="21"/>
                <w:sz w:val="21"/>
                <w:szCs w:val="21"/>
                <w:highlight w:val="none"/>
                <w:lang w:val="en-US" w:eastAsia="zh-CN" w:bidi="ar-SA"/>
              </w:rPr>
              <w:t>0.00576</w:t>
            </w:r>
          </w:p>
        </w:tc>
        <w:tc>
          <w:tcPr>
            <w:tcW w:w="1286" w:type="dxa"/>
            <w:vAlign w:val="center"/>
          </w:tcPr>
          <w:p w14:paraId="1684CB49">
            <w:pPr>
              <w:snapToGrid w:val="0"/>
              <w:jc w:val="center"/>
              <w:textAlignment w:val="center"/>
              <w:rPr>
                <w:rFonts w:hint="eastAsia" w:ascii="Times New Roman" w:hAnsi="Times New Roman" w:eastAsia="宋体" w:cs="宋体"/>
                <w:bCs/>
                <w:color w:val="auto"/>
                <w:kern w:val="2"/>
                <w:sz w:val="21"/>
                <w:szCs w:val="21"/>
                <w:highlight w:val="none"/>
                <w:lang w:val="en-US" w:eastAsia="zh-CN" w:bidi="ar-SA"/>
              </w:rPr>
            </w:pPr>
            <w:r>
              <w:rPr>
                <w:rFonts w:hint="eastAsia" w:cs="宋体"/>
                <w:color w:val="auto"/>
                <w:szCs w:val="21"/>
                <w:highlight w:val="none"/>
                <w:lang w:val="en-US" w:eastAsia="zh-CN"/>
              </w:rPr>
              <w:t>0</w:t>
            </w:r>
          </w:p>
        </w:tc>
      </w:tr>
      <w:tr w14:paraId="78DD7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712" w:type="dxa"/>
            <w:vMerge w:val="continue"/>
            <w:vAlign w:val="center"/>
          </w:tcPr>
          <w:p w14:paraId="1C87ECBF">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876" w:type="dxa"/>
            <w:vMerge w:val="continue"/>
            <w:vAlign w:val="center"/>
          </w:tcPr>
          <w:p w14:paraId="525E6461">
            <w:pPr>
              <w:pStyle w:val="37"/>
              <w:adjustRightInd/>
              <w:spacing w:beforeLines="0" w:afterLines="0" w:line="240" w:lineRule="auto"/>
              <w:rPr>
                <w:rFonts w:ascii="Times New Roman" w:hAnsi="Times New Roman" w:eastAsia="宋体" w:cs="宋体"/>
                <w:snapToGrid w:val="0"/>
                <w:color w:val="auto"/>
                <w:kern w:val="21"/>
                <w:szCs w:val="21"/>
                <w:highlight w:val="none"/>
              </w:rPr>
            </w:pPr>
          </w:p>
        </w:tc>
        <w:tc>
          <w:tcPr>
            <w:tcW w:w="1559" w:type="dxa"/>
            <w:vAlign w:val="center"/>
          </w:tcPr>
          <w:p w14:paraId="323A1790">
            <w:pPr>
              <w:snapToGrid w:val="0"/>
              <w:jc w:val="center"/>
              <w:rPr>
                <w:rFonts w:ascii="Times New Roman" w:hAnsi="Times New Roman" w:eastAsia="宋体" w:cs="宋体"/>
                <w:color w:val="auto"/>
                <w:szCs w:val="21"/>
                <w:highlight w:val="none"/>
              </w:rPr>
            </w:pPr>
            <w:r>
              <w:rPr>
                <w:rFonts w:hint="eastAsia" w:ascii="Times New Roman" w:hAnsi="Times New Roman" w:eastAsia="宋体" w:cs="宋体"/>
                <w:color w:val="auto"/>
                <w:szCs w:val="21"/>
                <w:highlight w:val="none"/>
                <w:lang w:val="en-US" w:eastAsia="zh-CN"/>
              </w:rPr>
              <w:t>总氮</w:t>
            </w:r>
          </w:p>
        </w:tc>
        <w:tc>
          <w:tcPr>
            <w:tcW w:w="1559" w:type="dxa"/>
            <w:vAlign w:val="center"/>
          </w:tcPr>
          <w:p w14:paraId="269A7CCC">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0.0576</w:t>
            </w:r>
          </w:p>
        </w:tc>
        <w:tc>
          <w:tcPr>
            <w:tcW w:w="1276" w:type="dxa"/>
            <w:vAlign w:val="center"/>
          </w:tcPr>
          <w:p w14:paraId="241DF308">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0.0576</w:t>
            </w:r>
          </w:p>
        </w:tc>
        <w:tc>
          <w:tcPr>
            <w:tcW w:w="1701" w:type="dxa"/>
            <w:vAlign w:val="center"/>
          </w:tcPr>
          <w:p w14:paraId="5A1B5DA3">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33F7B1C6">
            <w:pPr>
              <w:pStyle w:val="37"/>
              <w:adjustRightInd/>
              <w:spacing w:beforeLines="0" w:afterLines="0" w:line="240" w:lineRule="auto"/>
              <w:rPr>
                <w:rFonts w:ascii="Times New Roman" w:hAnsi="Times New Roman" w:eastAsia="宋体" w:cs="宋体"/>
                <w:bCs/>
                <w:color w:val="auto"/>
                <w:szCs w:val="21"/>
                <w:highlight w:val="none"/>
              </w:rPr>
            </w:pPr>
            <w:r>
              <w:rPr>
                <w:rFonts w:hint="eastAsia" w:ascii="Times New Roman" w:hAnsi="Times New Roman" w:eastAsia="宋体" w:cs="宋体"/>
                <w:snapToGrid w:val="0"/>
                <w:color w:val="auto"/>
                <w:kern w:val="21"/>
                <w:szCs w:val="21"/>
                <w:highlight w:val="none"/>
              </w:rPr>
              <w:t>0</w:t>
            </w:r>
          </w:p>
        </w:tc>
        <w:tc>
          <w:tcPr>
            <w:tcW w:w="1761" w:type="dxa"/>
            <w:vAlign w:val="center"/>
          </w:tcPr>
          <w:p w14:paraId="7FA92736">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499" w:type="dxa"/>
            <w:vAlign w:val="center"/>
          </w:tcPr>
          <w:p w14:paraId="1B7B849E">
            <w:pPr>
              <w:pStyle w:val="37"/>
              <w:adjustRightInd/>
              <w:spacing w:beforeLines="0" w:afterLines="0" w:line="240" w:lineRule="auto"/>
              <w:rPr>
                <w:rFonts w:ascii="Times New Roman" w:hAnsi="Times New Roman" w:eastAsia="宋体" w:cs="宋体"/>
                <w:bCs/>
                <w:color w:val="auto"/>
                <w:kern w:val="2"/>
                <w:sz w:val="21"/>
                <w:szCs w:val="21"/>
                <w:highlight w:val="none"/>
                <w:lang w:val="en-US" w:eastAsia="zh-CN" w:bidi="ar-SA"/>
              </w:rPr>
            </w:pPr>
            <w:r>
              <w:rPr>
                <w:rFonts w:hint="eastAsia" w:ascii="Times New Roman" w:cs="宋体"/>
                <w:snapToGrid w:val="0"/>
                <w:color w:val="auto"/>
                <w:kern w:val="21"/>
                <w:szCs w:val="21"/>
                <w:highlight w:val="none"/>
                <w:lang w:val="en-US" w:eastAsia="zh-CN"/>
              </w:rPr>
              <w:t>0.0576</w:t>
            </w:r>
          </w:p>
        </w:tc>
        <w:tc>
          <w:tcPr>
            <w:tcW w:w="1286" w:type="dxa"/>
            <w:vAlign w:val="center"/>
          </w:tcPr>
          <w:p w14:paraId="31CB01AA">
            <w:pPr>
              <w:snapToGrid w:val="0"/>
              <w:jc w:val="center"/>
              <w:textAlignment w:val="center"/>
              <w:rPr>
                <w:rFonts w:hint="eastAsia" w:ascii="Times New Roman" w:hAnsi="Times New Roman" w:eastAsia="宋体" w:cs="宋体"/>
                <w:bCs/>
                <w:color w:val="auto"/>
                <w:kern w:val="2"/>
                <w:sz w:val="21"/>
                <w:szCs w:val="21"/>
                <w:highlight w:val="none"/>
                <w:lang w:val="en-US" w:eastAsia="zh-CN" w:bidi="ar-SA"/>
              </w:rPr>
            </w:pPr>
            <w:r>
              <w:rPr>
                <w:rFonts w:hint="eastAsia" w:cs="宋体"/>
                <w:color w:val="auto"/>
                <w:szCs w:val="21"/>
                <w:highlight w:val="none"/>
                <w:lang w:val="en-US" w:eastAsia="zh-CN"/>
              </w:rPr>
              <w:t>0</w:t>
            </w:r>
          </w:p>
        </w:tc>
      </w:tr>
      <w:tr w14:paraId="45952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147" w:type="dxa"/>
            <w:gridSpan w:val="3"/>
            <w:vAlign w:val="center"/>
          </w:tcPr>
          <w:p w14:paraId="59D4F2D1">
            <w:pPr>
              <w:pStyle w:val="37"/>
              <w:adjustRightInd/>
              <w:spacing w:beforeLines="0" w:afterLines="0" w:line="240" w:lineRule="auto"/>
              <w:rPr>
                <w:rFonts w:ascii="Times New Roman" w:hAnsi="Times New Roman" w:eastAsia="宋体" w:cs="宋体"/>
                <w:color w:val="auto"/>
                <w:szCs w:val="21"/>
                <w:highlight w:val="none"/>
              </w:rPr>
            </w:pPr>
            <w:r>
              <w:rPr>
                <w:rFonts w:hint="eastAsia" w:ascii="Times New Roman" w:hAnsi="Times New Roman" w:eastAsia="宋体" w:cs="宋体"/>
                <w:snapToGrid w:val="0"/>
                <w:color w:val="auto"/>
                <w:kern w:val="21"/>
                <w:szCs w:val="21"/>
                <w:highlight w:val="none"/>
              </w:rPr>
              <w:t>一般工业固体废物</w:t>
            </w:r>
          </w:p>
        </w:tc>
        <w:tc>
          <w:tcPr>
            <w:tcW w:w="1559" w:type="dxa"/>
            <w:vAlign w:val="center"/>
          </w:tcPr>
          <w:p w14:paraId="480A2C33">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cs="宋体"/>
                <w:snapToGrid w:val="0"/>
                <w:color w:val="auto"/>
                <w:kern w:val="21"/>
                <w:szCs w:val="21"/>
                <w:highlight w:val="none"/>
                <w:lang w:val="en-US" w:eastAsia="zh-CN"/>
              </w:rPr>
              <w:t>17.05</w:t>
            </w:r>
          </w:p>
        </w:tc>
        <w:tc>
          <w:tcPr>
            <w:tcW w:w="1276" w:type="dxa"/>
            <w:vAlign w:val="center"/>
          </w:tcPr>
          <w:p w14:paraId="52E45236">
            <w:pPr>
              <w:pStyle w:val="37"/>
              <w:adjustRightInd/>
              <w:spacing w:beforeLines="0" w:afterLines="0" w:line="240" w:lineRule="auto"/>
              <w:rPr>
                <w:rFonts w:ascii="Times New Roman" w:hAnsi="Times New Roman" w:eastAsia="宋体" w:cs="宋体"/>
                <w:snapToGrid w:val="0"/>
                <w:color w:val="auto"/>
                <w:kern w:val="21"/>
                <w:szCs w:val="21"/>
                <w:highlight w:val="none"/>
              </w:rPr>
            </w:pPr>
            <w:r>
              <w:rPr>
                <w:rFonts w:hint="eastAsia" w:ascii="Times New Roman" w:cs="宋体"/>
                <w:snapToGrid w:val="0"/>
                <w:color w:val="auto"/>
                <w:kern w:val="21"/>
                <w:szCs w:val="21"/>
                <w:highlight w:val="none"/>
                <w:lang w:val="en-US" w:eastAsia="zh-CN"/>
              </w:rPr>
              <w:t>17.05</w:t>
            </w:r>
          </w:p>
        </w:tc>
        <w:tc>
          <w:tcPr>
            <w:tcW w:w="1701" w:type="dxa"/>
            <w:vAlign w:val="center"/>
          </w:tcPr>
          <w:p w14:paraId="16CE1A40">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01A6CEF3">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Cs w:val="21"/>
                <w:highlight w:val="none"/>
                <w:lang w:val="en-US" w:eastAsia="zh-CN"/>
              </w:rPr>
              <w:t>44.187</w:t>
            </w:r>
          </w:p>
        </w:tc>
        <w:tc>
          <w:tcPr>
            <w:tcW w:w="1761" w:type="dxa"/>
            <w:vAlign w:val="center"/>
          </w:tcPr>
          <w:p w14:paraId="4B7B1A25">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cs="宋体"/>
                <w:snapToGrid w:val="0"/>
                <w:color w:val="auto"/>
                <w:kern w:val="21"/>
                <w:szCs w:val="21"/>
                <w:highlight w:val="none"/>
                <w:lang w:val="en-US" w:eastAsia="zh-CN"/>
              </w:rPr>
              <w:t>12.0</w:t>
            </w:r>
          </w:p>
        </w:tc>
        <w:tc>
          <w:tcPr>
            <w:tcW w:w="1499" w:type="dxa"/>
            <w:shd w:val="clear" w:color="auto" w:fill="auto"/>
            <w:vAlign w:val="center"/>
          </w:tcPr>
          <w:p w14:paraId="4EC3A011">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49.237</w:t>
            </w:r>
          </w:p>
        </w:tc>
        <w:tc>
          <w:tcPr>
            <w:tcW w:w="1286" w:type="dxa"/>
            <w:shd w:val="clear" w:color="auto" w:fill="auto"/>
            <w:vAlign w:val="center"/>
          </w:tcPr>
          <w:p w14:paraId="44A6274E">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hAnsi="Times New Roman" w:eastAsia="宋体" w:cs="宋体"/>
                <w:snapToGrid w:val="0"/>
                <w:color w:val="auto"/>
                <w:kern w:val="21"/>
                <w:szCs w:val="21"/>
                <w:highlight w:val="none"/>
                <w:lang w:val="en-US" w:eastAsia="zh-CN"/>
              </w:rPr>
              <w:t>+33.187</w:t>
            </w:r>
          </w:p>
        </w:tc>
      </w:tr>
      <w:tr w14:paraId="050DD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3147" w:type="dxa"/>
            <w:gridSpan w:val="3"/>
            <w:vAlign w:val="center"/>
          </w:tcPr>
          <w:p w14:paraId="1336DC99">
            <w:pPr>
              <w:pStyle w:val="37"/>
              <w:adjustRightInd/>
              <w:spacing w:beforeLines="0" w:afterLines="0" w:line="240" w:lineRule="auto"/>
              <w:rPr>
                <w:rFonts w:ascii="Times New Roman" w:hAnsi="Times New Roman" w:eastAsia="宋体" w:cs="宋体"/>
                <w:color w:val="auto"/>
                <w:kern w:val="2"/>
                <w:szCs w:val="21"/>
                <w:highlight w:val="none"/>
              </w:rPr>
            </w:pPr>
            <w:r>
              <w:rPr>
                <w:rFonts w:hint="eastAsia" w:ascii="Times New Roman" w:hAnsi="Times New Roman" w:eastAsia="宋体" w:cs="宋体"/>
                <w:snapToGrid w:val="0"/>
                <w:color w:val="auto"/>
                <w:kern w:val="21"/>
                <w:szCs w:val="21"/>
                <w:highlight w:val="none"/>
              </w:rPr>
              <w:t>危险废物</w:t>
            </w:r>
          </w:p>
        </w:tc>
        <w:tc>
          <w:tcPr>
            <w:tcW w:w="1559" w:type="dxa"/>
            <w:vAlign w:val="center"/>
          </w:tcPr>
          <w:p w14:paraId="06E390B4">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cs="宋体"/>
                <w:snapToGrid w:val="0"/>
                <w:color w:val="auto"/>
                <w:kern w:val="21"/>
                <w:szCs w:val="21"/>
                <w:highlight w:val="none"/>
                <w:lang w:val="en-US" w:eastAsia="zh-CN"/>
              </w:rPr>
              <w:t>28.95</w:t>
            </w:r>
          </w:p>
        </w:tc>
        <w:tc>
          <w:tcPr>
            <w:tcW w:w="1276" w:type="dxa"/>
            <w:vAlign w:val="center"/>
          </w:tcPr>
          <w:p w14:paraId="046F045E">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rPr>
            </w:pPr>
            <w:r>
              <w:rPr>
                <w:rFonts w:hint="eastAsia" w:ascii="Times New Roman" w:cs="宋体"/>
                <w:snapToGrid w:val="0"/>
                <w:color w:val="auto"/>
                <w:kern w:val="21"/>
                <w:szCs w:val="21"/>
                <w:highlight w:val="none"/>
                <w:lang w:val="en-US" w:eastAsia="zh-CN"/>
              </w:rPr>
              <w:t>28.95</w:t>
            </w:r>
          </w:p>
        </w:tc>
        <w:tc>
          <w:tcPr>
            <w:tcW w:w="1701" w:type="dxa"/>
            <w:vAlign w:val="center"/>
          </w:tcPr>
          <w:p w14:paraId="3C1A02CD">
            <w:pPr>
              <w:pStyle w:val="37"/>
              <w:adjustRightInd/>
              <w:spacing w:beforeLines="0" w:afterLines="0" w:line="240" w:lineRule="auto"/>
              <w:rPr>
                <w:rFonts w:ascii="Times New Roman" w:hAnsi="Times New Roman" w:eastAsia="宋体" w:cs="宋体"/>
                <w:snapToGrid w:val="0"/>
                <w:color w:val="auto"/>
                <w:kern w:val="21"/>
                <w:sz w:val="21"/>
                <w:szCs w:val="21"/>
                <w:highlight w:val="none"/>
                <w:lang w:val="en-US" w:eastAsia="zh-CN" w:bidi="ar-SA"/>
              </w:rPr>
            </w:pPr>
            <w:r>
              <w:rPr>
                <w:rFonts w:hint="eastAsia" w:ascii="Times New Roman" w:hAnsi="Times New Roman" w:eastAsia="宋体" w:cs="宋体"/>
                <w:snapToGrid w:val="0"/>
                <w:color w:val="auto"/>
                <w:kern w:val="21"/>
                <w:szCs w:val="21"/>
                <w:highlight w:val="none"/>
              </w:rPr>
              <w:t>0</w:t>
            </w:r>
          </w:p>
        </w:tc>
        <w:tc>
          <w:tcPr>
            <w:tcW w:w="1559" w:type="dxa"/>
            <w:vAlign w:val="center"/>
          </w:tcPr>
          <w:p w14:paraId="4C93EC31">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49.971</w:t>
            </w:r>
          </w:p>
        </w:tc>
        <w:tc>
          <w:tcPr>
            <w:tcW w:w="1761" w:type="dxa"/>
            <w:vAlign w:val="center"/>
          </w:tcPr>
          <w:p w14:paraId="1ECDDAEE">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cs="宋体"/>
                <w:snapToGrid w:val="0"/>
                <w:color w:val="auto"/>
                <w:kern w:val="21"/>
                <w:szCs w:val="21"/>
                <w:highlight w:val="none"/>
                <w:lang w:val="en-US" w:eastAsia="zh-CN"/>
              </w:rPr>
              <w:t>28.95</w:t>
            </w:r>
          </w:p>
        </w:tc>
        <w:tc>
          <w:tcPr>
            <w:tcW w:w="1499" w:type="dxa"/>
            <w:shd w:val="clear" w:color="auto" w:fill="auto"/>
            <w:vAlign w:val="center"/>
          </w:tcPr>
          <w:p w14:paraId="3EB2D9B0">
            <w:pPr>
              <w:pStyle w:val="37"/>
              <w:adjustRightInd/>
              <w:spacing w:beforeLines="0" w:afterLines="0" w:line="240" w:lineRule="auto"/>
              <w:rPr>
                <w:rFonts w:hint="default" w:ascii="Times New Roman" w:hAnsi="Times New Roman" w:eastAsia="宋体" w:cs="宋体"/>
                <w:snapToGrid w:val="0"/>
                <w:color w:val="auto"/>
                <w:kern w:val="21"/>
                <w:sz w:val="21"/>
                <w:szCs w:val="21"/>
                <w:highlight w:val="none"/>
                <w:lang w:val="en-US" w:eastAsia="zh-CN" w:bidi="ar-SA"/>
              </w:rPr>
            </w:pPr>
            <w:r>
              <w:rPr>
                <w:rFonts w:hint="eastAsia" w:ascii="Times New Roman" w:cs="宋体"/>
                <w:snapToGrid w:val="0"/>
                <w:color w:val="auto"/>
                <w:kern w:val="21"/>
                <w:sz w:val="21"/>
                <w:szCs w:val="21"/>
                <w:highlight w:val="none"/>
                <w:lang w:val="en-US" w:eastAsia="zh-CN" w:bidi="ar-SA"/>
              </w:rPr>
              <w:t>49.971</w:t>
            </w:r>
          </w:p>
        </w:tc>
        <w:tc>
          <w:tcPr>
            <w:tcW w:w="1286" w:type="dxa"/>
            <w:shd w:val="clear" w:color="auto" w:fill="auto"/>
            <w:vAlign w:val="center"/>
          </w:tcPr>
          <w:p w14:paraId="7BFE608E">
            <w:pPr>
              <w:pStyle w:val="37"/>
              <w:adjustRightInd/>
              <w:spacing w:beforeLines="0" w:afterLines="0" w:line="240" w:lineRule="auto"/>
              <w:rPr>
                <w:rFonts w:hint="default" w:ascii="Times New Roman" w:hAnsi="Times New Roman" w:eastAsia="宋体" w:cs="宋体"/>
                <w:snapToGrid w:val="0"/>
                <w:color w:val="auto"/>
                <w:kern w:val="21"/>
                <w:szCs w:val="21"/>
                <w:highlight w:val="none"/>
                <w:lang w:val="en-US" w:eastAsia="zh-CN"/>
              </w:rPr>
            </w:pPr>
            <w:r>
              <w:rPr>
                <w:rFonts w:hint="eastAsia" w:ascii="Times New Roman" w:hAnsi="Times New Roman" w:eastAsia="宋体" w:cs="宋体"/>
                <w:snapToGrid w:val="0"/>
                <w:color w:val="auto"/>
                <w:kern w:val="21"/>
                <w:szCs w:val="21"/>
                <w:highlight w:val="none"/>
                <w:lang w:val="en-US" w:eastAsia="zh-CN"/>
              </w:rPr>
              <w:t>+</w:t>
            </w:r>
            <w:r>
              <w:rPr>
                <w:rFonts w:hint="eastAsia" w:ascii="Times New Roman" w:cs="宋体"/>
                <w:snapToGrid w:val="0"/>
                <w:color w:val="auto"/>
                <w:kern w:val="21"/>
                <w:szCs w:val="21"/>
                <w:highlight w:val="none"/>
                <w:lang w:val="en-US" w:eastAsia="zh-CN"/>
              </w:rPr>
              <w:t>21.021</w:t>
            </w:r>
          </w:p>
        </w:tc>
      </w:tr>
    </w:tbl>
    <w:p w14:paraId="640A333A">
      <w:pPr>
        <w:pStyle w:val="37"/>
        <w:keepNext w:val="0"/>
        <w:keepLines w:val="0"/>
        <w:pageBreakBefore w:val="0"/>
        <w:widowControl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宋体"/>
          <w:color w:val="auto"/>
          <w:highlight w:val="none"/>
          <w:lang w:val="en-US" w:eastAsia="zh-CN"/>
        </w:rPr>
      </w:pPr>
      <w:r>
        <w:rPr>
          <w:rFonts w:ascii="Times New Roman" w:hAnsi="Times New Roman" w:eastAsia="宋体" w:cs="宋体"/>
          <w:snapToGrid w:val="0"/>
          <w:color w:val="auto"/>
          <w:kern w:val="21"/>
          <w:szCs w:val="21"/>
          <w:highlight w:val="none"/>
        </w:rPr>
        <w:t>注：</w:t>
      </w:r>
      <w:r>
        <w:rPr>
          <w:rFonts w:ascii="Times New Roman" w:hAnsi="Times New Roman" w:eastAsia="宋体" w:cs="宋体"/>
          <w:snapToGrid w:val="0"/>
          <w:color w:val="auto"/>
          <w:spacing w:val="-16"/>
          <w:kern w:val="21"/>
          <w:szCs w:val="21"/>
          <w:highlight w:val="none"/>
        </w:rPr>
        <w:fldChar w:fldCharType="begin"/>
      </w:r>
      <w:r>
        <w:rPr>
          <w:rFonts w:ascii="Times New Roman" w:hAnsi="Times New Roman" w:eastAsia="宋体" w:cs="宋体"/>
          <w:snapToGrid w:val="0"/>
          <w:color w:val="auto"/>
          <w:spacing w:val="-16"/>
          <w:kern w:val="21"/>
          <w:szCs w:val="21"/>
          <w:highlight w:val="none"/>
        </w:rPr>
        <w:instrText xml:space="preserve"> = 6 \* GB3 \* MERGEFORMAT </w:instrText>
      </w:r>
      <w:r>
        <w:rPr>
          <w:rFonts w:ascii="Times New Roman" w:hAnsi="Times New Roman" w:eastAsia="宋体" w:cs="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⑥</w:t>
      </w:r>
      <w:r>
        <w:rPr>
          <w:rFonts w:ascii="Times New Roman" w:hAnsi="Times New Roman" w:eastAsia="宋体" w:cs="宋体"/>
          <w:snapToGrid w:val="0"/>
          <w:color w:val="auto"/>
          <w:spacing w:val="-16"/>
          <w:kern w:val="21"/>
          <w:szCs w:val="21"/>
          <w:highlight w:val="none"/>
        </w:rPr>
        <w:fldChar w:fldCharType="end"/>
      </w:r>
      <w:r>
        <w:rPr>
          <w:rFonts w:ascii="Times New Roman" w:hAnsi="Times New Roman" w:eastAsia="宋体" w:cs="宋体"/>
          <w:snapToGrid w:val="0"/>
          <w:color w:val="auto"/>
          <w:spacing w:val="-16"/>
          <w:kern w:val="21"/>
          <w:szCs w:val="21"/>
          <w:highlight w:val="none"/>
        </w:rPr>
        <w:t>=</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1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①</w:t>
      </w:r>
      <w:r>
        <w:rPr>
          <w:rFonts w:ascii="Times New Roman" w:hAnsi="Times New Roman" w:eastAsia="宋体" w:cs="宋体"/>
          <w:snapToGrid w:val="0"/>
          <w:color w:val="auto"/>
          <w:spacing w:val="-6"/>
          <w:kern w:val="21"/>
          <w:szCs w:val="21"/>
          <w:highlight w:val="none"/>
        </w:rPr>
        <w:fldChar w:fldCharType="end"/>
      </w:r>
      <w:r>
        <w:rPr>
          <w:rFonts w:ascii="Times New Roman" w:hAnsi="Times New Roman" w:eastAsia="宋体" w:cs="宋体"/>
          <w:snapToGrid w:val="0"/>
          <w:color w:val="auto"/>
          <w:spacing w:val="-6"/>
          <w:kern w:val="21"/>
          <w:szCs w:val="21"/>
          <w:highlight w:val="none"/>
        </w:rPr>
        <w:t>+</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3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③</w:t>
      </w:r>
      <w:r>
        <w:rPr>
          <w:rFonts w:ascii="Times New Roman" w:hAnsi="Times New Roman" w:eastAsia="宋体" w:cs="宋体"/>
          <w:snapToGrid w:val="0"/>
          <w:color w:val="auto"/>
          <w:spacing w:val="-6"/>
          <w:kern w:val="21"/>
          <w:szCs w:val="21"/>
          <w:highlight w:val="none"/>
        </w:rPr>
        <w:fldChar w:fldCharType="end"/>
      </w:r>
      <w:r>
        <w:rPr>
          <w:rFonts w:ascii="Times New Roman" w:hAnsi="Times New Roman" w:eastAsia="宋体" w:cs="宋体"/>
          <w:snapToGrid w:val="0"/>
          <w:color w:val="auto"/>
          <w:spacing w:val="-6"/>
          <w:kern w:val="21"/>
          <w:szCs w:val="21"/>
          <w:highlight w:val="none"/>
        </w:rPr>
        <w:t>+</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4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④</w:t>
      </w:r>
      <w:r>
        <w:rPr>
          <w:rFonts w:ascii="Times New Roman" w:hAnsi="Times New Roman" w:eastAsia="宋体" w:cs="宋体"/>
          <w:snapToGrid w:val="0"/>
          <w:color w:val="auto"/>
          <w:spacing w:val="-6"/>
          <w:kern w:val="21"/>
          <w:szCs w:val="21"/>
          <w:highlight w:val="none"/>
        </w:rPr>
        <w:fldChar w:fldCharType="end"/>
      </w:r>
      <w:r>
        <w:rPr>
          <w:rFonts w:ascii="Times New Roman" w:hAnsi="Times New Roman" w:eastAsia="宋体" w:cs="宋体"/>
          <w:snapToGrid w:val="0"/>
          <w:color w:val="auto"/>
          <w:spacing w:val="-6"/>
          <w:kern w:val="21"/>
          <w:szCs w:val="21"/>
          <w:highlight w:val="none"/>
        </w:rPr>
        <w:t>-</w:t>
      </w:r>
      <w:r>
        <w:rPr>
          <w:rFonts w:ascii="Times New Roman" w:hAnsi="Times New Roman" w:eastAsia="宋体" w:cs="宋体"/>
          <w:snapToGrid w:val="0"/>
          <w:color w:val="auto"/>
          <w:spacing w:val="-16"/>
          <w:kern w:val="21"/>
          <w:szCs w:val="21"/>
          <w:highlight w:val="none"/>
        </w:rPr>
        <w:fldChar w:fldCharType="begin"/>
      </w:r>
      <w:r>
        <w:rPr>
          <w:rFonts w:ascii="Times New Roman" w:hAnsi="Times New Roman" w:eastAsia="宋体" w:cs="宋体"/>
          <w:snapToGrid w:val="0"/>
          <w:color w:val="auto"/>
          <w:spacing w:val="-16"/>
          <w:kern w:val="21"/>
          <w:szCs w:val="21"/>
          <w:highlight w:val="none"/>
        </w:rPr>
        <w:instrText xml:space="preserve"> = 5 \* GB3 \* MERGEFORMAT </w:instrText>
      </w:r>
      <w:r>
        <w:rPr>
          <w:rFonts w:ascii="Times New Roman" w:hAnsi="Times New Roman" w:eastAsia="宋体" w:cs="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⑤</w:t>
      </w:r>
      <w:r>
        <w:rPr>
          <w:rFonts w:ascii="Times New Roman" w:hAnsi="Times New Roman" w:eastAsia="宋体" w:cs="宋体"/>
          <w:snapToGrid w:val="0"/>
          <w:color w:val="auto"/>
          <w:spacing w:val="-16"/>
          <w:kern w:val="21"/>
          <w:szCs w:val="21"/>
          <w:highlight w:val="none"/>
        </w:rPr>
        <w:fldChar w:fldCharType="end"/>
      </w:r>
      <w:r>
        <w:rPr>
          <w:rFonts w:ascii="Times New Roman" w:hAnsi="Times New Roman" w:eastAsia="宋体" w:cs="宋体"/>
          <w:snapToGrid w:val="0"/>
          <w:color w:val="auto"/>
          <w:spacing w:val="-16"/>
          <w:kern w:val="21"/>
          <w:szCs w:val="21"/>
          <w:highlight w:val="none"/>
        </w:rPr>
        <w:t>；</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7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⑦</w:t>
      </w:r>
      <w:r>
        <w:rPr>
          <w:rFonts w:ascii="Times New Roman" w:hAnsi="Times New Roman" w:eastAsia="宋体" w:cs="宋体"/>
          <w:snapToGrid w:val="0"/>
          <w:color w:val="auto"/>
          <w:spacing w:val="-6"/>
          <w:kern w:val="21"/>
          <w:szCs w:val="21"/>
          <w:highlight w:val="none"/>
        </w:rPr>
        <w:fldChar w:fldCharType="end"/>
      </w:r>
      <w:r>
        <w:rPr>
          <w:rFonts w:ascii="Times New Roman" w:hAnsi="Times New Roman" w:eastAsia="宋体" w:cs="宋体"/>
          <w:snapToGrid w:val="0"/>
          <w:color w:val="auto"/>
          <w:spacing w:val="-6"/>
          <w:kern w:val="21"/>
          <w:szCs w:val="21"/>
          <w:highlight w:val="none"/>
        </w:rPr>
        <w:t>=</w:t>
      </w:r>
      <w:r>
        <w:rPr>
          <w:rFonts w:ascii="Times New Roman" w:hAnsi="Times New Roman" w:eastAsia="宋体" w:cs="宋体"/>
          <w:snapToGrid w:val="0"/>
          <w:color w:val="auto"/>
          <w:spacing w:val="-16"/>
          <w:kern w:val="21"/>
          <w:szCs w:val="21"/>
          <w:highlight w:val="none"/>
        </w:rPr>
        <w:fldChar w:fldCharType="begin"/>
      </w:r>
      <w:r>
        <w:rPr>
          <w:rFonts w:ascii="Times New Roman" w:hAnsi="Times New Roman" w:eastAsia="宋体" w:cs="宋体"/>
          <w:snapToGrid w:val="0"/>
          <w:color w:val="auto"/>
          <w:spacing w:val="-16"/>
          <w:kern w:val="21"/>
          <w:szCs w:val="21"/>
          <w:highlight w:val="none"/>
        </w:rPr>
        <w:instrText xml:space="preserve"> = 6 \* GB3 \* MERGEFORMAT </w:instrText>
      </w:r>
      <w:r>
        <w:rPr>
          <w:rFonts w:ascii="Times New Roman" w:hAnsi="Times New Roman" w:eastAsia="宋体" w:cs="宋体"/>
          <w:snapToGrid w:val="0"/>
          <w:color w:val="auto"/>
          <w:spacing w:val="-16"/>
          <w:kern w:val="21"/>
          <w:szCs w:val="21"/>
          <w:highlight w:val="none"/>
        </w:rPr>
        <w:fldChar w:fldCharType="separate"/>
      </w:r>
      <w:r>
        <w:rPr>
          <w:rFonts w:hint="eastAsia" w:ascii="Times New Roman" w:hAnsi="Times New Roman" w:eastAsia="宋体" w:cs="宋体"/>
          <w:color w:val="auto"/>
          <w:szCs w:val="21"/>
          <w:highlight w:val="none"/>
        </w:rPr>
        <w:t>⑥</w:t>
      </w:r>
      <w:r>
        <w:rPr>
          <w:rFonts w:ascii="Times New Roman" w:hAnsi="Times New Roman" w:eastAsia="宋体" w:cs="宋体"/>
          <w:snapToGrid w:val="0"/>
          <w:color w:val="auto"/>
          <w:spacing w:val="-16"/>
          <w:kern w:val="21"/>
          <w:szCs w:val="21"/>
          <w:highlight w:val="none"/>
        </w:rPr>
        <w:fldChar w:fldCharType="end"/>
      </w:r>
      <w:r>
        <w:rPr>
          <w:rFonts w:ascii="Times New Roman" w:hAnsi="Times New Roman" w:eastAsia="宋体" w:cs="宋体"/>
          <w:snapToGrid w:val="0"/>
          <w:color w:val="auto"/>
          <w:spacing w:val="-16"/>
          <w:kern w:val="21"/>
          <w:szCs w:val="21"/>
          <w:highlight w:val="none"/>
        </w:rPr>
        <w:t>-</w:t>
      </w:r>
      <w:r>
        <w:rPr>
          <w:rFonts w:ascii="Times New Roman" w:hAnsi="Times New Roman" w:eastAsia="宋体" w:cs="宋体"/>
          <w:snapToGrid w:val="0"/>
          <w:color w:val="auto"/>
          <w:spacing w:val="-6"/>
          <w:kern w:val="21"/>
          <w:szCs w:val="21"/>
          <w:highlight w:val="none"/>
        </w:rPr>
        <w:fldChar w:fldCharType="begin"/>
      </w:r>
      <w:r>
        <w:rPr>
          <w:rFonts w:ascii="Times New Roman" w:hAnsi="Times New Roman" w:eastAsia="宋体" w:cs="宋体"/>
          <w:snapToGrid w:val="0"/>
          <w:color w:val="auto"/>
          <w:spacing w:val="-6"/>
          <w:kern w:val="21"/>
          <w:szCs w:val="21"/>
          <w:highlight w:val="none"/>
        </w:rPr>
        <w:instrText xml:space="preserve"> = 1 \* GB3 \* MERGEFORMAT </w:instrText>
      </w:r>
      <w:r>
        <w:rPr>
          <w:rFonts w:ascii="Times New Roman" w:hAnsi="Times New Roman" w:eastAsia="宋体" w:cs="宋体"/>
          <w:snapToGrid w:val="0"/>
          <w:color w:val="auto"/>
          <w:spacing w:val="-6"/>
          <w:kern w:val="21"/>
          <w:szCs w:val="21"/>
          <w:highlight w:val="none"/>
        </w:rPr>
        <w:fldChar w:fldCharType="separate"/>
      </w:r>
      <w:r>
        <w:rPr>
          <w:rFonts w:hint="eastAsia" w:ascii="Times New Roman" w:hAnsi="Times New Roman" w:eastAsia="宋体" w:cs="宋体"/>
          <w:color w:val="auto"/>
          <w:szCs w:val="21"/>
          <w:highlight w:val="none"/>
        </w:rPr>
        <w:t>①</w:t>
      </w:r>
      <w:r>
        <w:rPr>
          <w:rFonts w:ascii="Times New Roman" w:hAnsi="Times New Roman" w:eastAsia="宋体" w:cs="宋体"/>
          <w:snapToGrid w:val="0"/>
          <w:color w:val="auto"/>
          <w:spacing w:val="-6"/>
          <w:kern w:val="21"/>
          <w:szCs w:val="21"/>
          <w:highlight w:val="none"/>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锐正黑_GBK 中">
    <w:altName w:val="黑体"/>
    <w:panose1 w:val="02010600010101010101"/>
    <w:charset w:val="86"/>
    <w:family w:val="auto"/>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DEC8">
    <w:pPr>
      <w:pStyle w:val="15"/>
      <w:framePr w:wrap="around" w:vAnchor="text" w:hAnchor="margin" w:xAlign="center" w:y="1"/>
      <w:rPr>
        <w:rStyle w:val="25"/>
      </w:rPr>
    </w:pPr>
    <w:r>
      <w:fldChar w:fldCharType="begin"/>
    </w:r>
    <w:r>
      <w:rPr>
        <w:rStyle w:val="25"/>
      </w:rPr>
      <w:instrText xml:space="preserve">PAGE  </w:instrText>
    </w:r>
    <w:r>
      <w:fldChar w:fldCharType="end"/>
    </w:r>
  </w:p>
  <w:p w14:paraId="04C5FE21">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D93F3">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23DF8">
    <w:pPr>
      <w:pStyle w:val="15"/>
      <w:framePr w:wrap="around" w:vAnchor="text" w:hAnchor="margin" w:xAlign="center" w:y="1"/>
      <w:rPr>
        <w:rStyle w:val="25"/>
      </w:rPr>
    </w:pPr>
    <w:r>
      <w:fldChar w:fldCharType="begin"/>
    </w:r>
    <w:r>
      <w:rPr>
        <w:rStyle w:val="25"/>
      </w:rPr>
      <w:instrText xml:space="preserve">PAGE  </w:instrText>
    </w:r>
    <w:r>
      <w:fldChar w:fldCharType="end"/>
    </w:r>
  </w:p>
  <w:p w14:paraId="540530CF">
    <w:pPr>
      <w:pStyle w:val="1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F4CF3">
    <w:pPr>
      <w:pStyle w:val="15"/>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BF5E0">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default" w:ascii="Times New Roman" w:hAnsi="Times New Roman" w:cs="Times New Roman"/>
        <w:sz w:val="26"/>
        <w:szCs w:val="26"/>
      </w:rPr>
      <w:fldChar w:fldCharType="begin"/>
    </w:r>
    <w:r>
      <w:rPr>
        <w:rStyle w:val="25"/>
        <w:rFonts w:hint="default" w:ascii="Times New Roman" w:hAnsi="Times New Roman" w:cs="Times New Roman"/>
        <w:sz w:val="26"/>
        <w:szCs w:val="26"/>
      </w:rPr>
      <w:instrText xml:space="preserve">PAGE  </w:instrText>
    </w:r>
    <w:r>
      <w:rPr>
        <w:rStyle w:val="25"/>
        <w:rFonts w:hint="default" w:ascii="Times New Roman" w:hAnsi="Times New Roman" w:cs="Times New Roman"/>
        <w:sz w:val="26"/>
        <w:szCs w:val="26"/>
      </w:rPr>
      <w:fldChar w:fldCharType="separate"/>
    </w:r>
    <w:r>
      <w:rPr>
        <w:rStyle w:val="25"/>
        <w:rFonts w:hint="default" w:ascii="Times New Roman" w:hAnsi="Times New Roman" w:cs="Times New Roman"/>
        <w:sz w:val="26"/>
        <w:szCs w:val="26"/>
      </w:rPr>
      <w:t>1</w:t>
    </w:r>
    <w:r>
      <w:rPr>
        <w:rStyle w:val="25"/>
        <w:rFonts w:hint="default" w:ascii="Times New Roman" w:hAnsi="Times New Roman" w:cs="Times New Roman"/>
        <w:sz w:val="26"/>
        <w:szCs w:val="26"/>
      </w:rPr>
      <w:fldChar w:fldCharType="end"/>
    </w:r>
    <w:r>
      <w:rPr>
        <w:rStyle w:val="25"/>
        <w:rFonts w:hint="default" w:ascii="Times New Roman" w:hAnsi="Times New Roman" w:cs="Times New Roman"/>
        <w:sz w:val="28"/>
        <w:szCs w:val="28"/>
      </w:rPr>
      <w:t>—</w:t>
    </w:r>
  </w:p>
  <w:p w14:paraId="023C84BF">
    <w:pPr>
      <w:pStyle w:val="1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F5972">
    <w:pPr>
      <w:pStyle w:val="15"/>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ascii="宋体" w:hAnsi="宋体"/>
        <w:sz w:val="26"/>
        <w:szCs w:val="26"/>
      </w:rPr>
      <w:fldChar w:fldCharType="begin"/>
    </w:r>
    <w:r>
      <w:rPr>
        <w:rStyle w:val="25"/>
        <w:rFonts w:ascii="宋体" w:hAnsi="宋体"/>
        <w:sz w:val="26"/>
        <w:szCs w:val="26"/>
      </w:rPr>
      <w:instrText xml:space="preserve">PAGE  </w:instrText>
    </w:r>
    <w:r>
      <w:rPr>
        <w:rStyle w:val="25"/>
        <w:rFonts w:ascii="宋体" w:hAnsi="宋体"/>
        <w:sz w:val="26"/>
        <w:szCs w:val="26"/>
      </w:rPr>
      <w:fldChar w:fldCharType="separate"/>
    </w:r>
    <w:r>
      <w:rPr>
        <w:rStyle w:val="25"/>
        <w:rFonts w:ascii="宋体" w:hAnsi="宋体"/>
        <w:sz w:val="26"/>
        <w:szCs w:val="26"/>
      </w:rPr>
      <w:t>81</w:t>
    </w:r>
    <w:r>
      <w:rPr>
        <w:rStyle w:val="25"/>
        <w:rFonts w:ascii="宋体" w:hAnsi="宋体"/>
        <w:sz w:val="26"/>
        <w:szCs w:val="26"/>
      </w:rPr>
      <w:fldChar w:fldCharType="end"/>
    </w:r>
    <w:r>
      <w:rPr>
        <w:rStyle w:val="25"/>
        <w:rFonts w:hint="eastAsia" w:ascii="宋体" w:hAnsi="宋体"/>
        <w:sz w:val="28"/>
        <w:szCs w:val="28"/>
      </w:rPr>
      <w:t>—</w:t>
    </w:r>
  </w:p>
  <w:p w14:paraId="1C40A91F">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9D8DEC"/>
    <w:multiLevelType w:val="singleLevel"/>
    <w:tmpl w:val="D59D8DEC"/>
    <w:lvl w:ilvl="0" w:tentative="0">
      <w:start w:val="2"/>
      <w:numFmt w:val="decimal"/>
      <w:suff w:val="nothing"/>
      <w:lvlText w:val="（%1）"/>
      <w:lvlJc w:val="left"/>
    </w:lvl>
  </w:abstractNum>
  <w:abstractNum w:abstractNumId="1">
    <w:nsid w:val="5A1C8AED"/>
    <w:multiLevelType w:val="singleLevel"/>
    <w:tmpl w:val="5A1C8AED"/>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2">
    <w:nsid w:val="6624EE3F"/>
    <w:multiLevelType w:val="singleLevel"/>
    <w:tmpl w:val="6624EE3F"/>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MjhhOWUyNGU4Yzk0ZTdmZmE2MzM3OGE0MzYyOTIifQ=="/>
  </w:docVars>
  <w:rsids>
    <w:rsidRoot w:val="00172A27"/>
    <w:rsid w:val="00000152"/>
    <w:rsid w:val="0000065B"/>
    <w:rsid w:val="00000BE8"/>
    <w:rsid w:val="00004A38"/>
    <w:rsid w:val="000060B3"/>
    <w:rsid w:val="000147C7"/>
    <w:rsid w:val="00014AFB"/>
    <w:rsid w:val="00015351"/>
    <w:rsid w:val="00015BF2"/>
    <w:rsid w:val="00017A21"/>
    <w:rsid w:val="000204AA"/>
    <w:rsid w:val="00020979"/>
    <w:rsid w:val="00020D80"/>
    <w:rsid w:val="00023338"/>
    <w:rsid w:val="000255C6"/>
    <w:rsid w:val="00025665"/>
    <w:rsid w:val="0004364B"/>
    <w:rsid w:val="00043EFE"/>
    <w:rsid w:val="00044564"/>
    <w:rsid w:val="000454CC"/>
    <w:rsid w:val="000460DF"/>
    <w:rsid w:val="00046924"/>
    <w:rsid w:val="00047F4E"/>
    <w:rsid w:val="00052281"/>
    <w:rsid w:val="00061B1F"/>
    <w:rsid w:val="00063528"/>
    <w:rsid w:val="00063AD7"/>
    <w:rsid w:val="00063DC0"/>
    <w:rsid w:val="000724C9"/>
    <w:rsid w:val="000733C4"/>
    <w:rsid w:val="0007446F"/>
    <w:rsid w:val="00074783"/>
    <w:rsid w:val="00075E19"/>
    <w:rsid w:val="00077D20"/>
    <w:rsid w:val="0008070B"/>
    <w:rsid w:val="000810AC"/>
    <w:rsid w:val="00081458"/>
    <w:rsid w:val="00081A02"/>
    <w:rsid w:val="00082231"/>
    <w:rsid w:val="000829CA"/>
    <w:rsid w:val="00082C38"/>
    <w:rsid w:val="00084002"/>
    <w:rsid w:val="0008792B"/>
    <w:rsid w:val="00091DA6"/>
    <w:rsid w:val="00092264"/>
    <w:rsid w:val="00092D38"/>
    <w:rsid w:val="0009377B"/>
    <w:rsid w:val="00095850"/>
    <w:rsid w:val="00096F66"/>
    <w:rsid w:val="000976BD"/>
    <w:rsid w:val="00097848"/>
    <w:rsid w:val="00097F01"/>
    <w:rsid w:val="000A12DC"/>
    <w:rsid w:val="000A20C9"/>
    <w:rsid w:val="000A2663"/>
    <w:rsid w:val="000A308A"/>
    <w:rsid w:val="000A415B"/>
    <w:rsid w:val="000A6BD9"/>
    <w:rsid w:val="000B058F"/>
    <w:rsid w:val="000B4467"/>
    <w:rsid w:val="000B4DB9"/>
    <w:rsid w:val="000B5BA2"/>
    <w:rsid w:val="000B75F9"/>
    <w:rsid w:val="000C09AC"/>
    <w:rsid w:val="000C383C"/>
    <w:rsid w:val="000C7252"/>
    <w:rsid w:val="000C767F"/>
    <w:rsid w:val="000D2333"/>
    <w:rsid w:val="000D2531"/>
    <w:rsid w:val="000D2C0B"/>
    <w:rsid w:val="000D2EF1"/>
    <w:rsid w:val="000D3E80"/>
    <w:rsid w:val="000D4DB6"/>
    <w:rsid w:val="000D55F0"/>
    <w:rsid w:val="000D5A44"/>
    <w:rsid w:val="000D72D4"/>
    <w:rsid w:val="000D7D27"/>
    <w:rsid w:val="000E31FA"/>
    <w:rsid w:val="000E3ED2"/>
    <w:rsid w:val="000E5FC6"/>
    <w:rsid w:val="000E6056"/>
    <w:rsid w:val="000F145D"/>
    <w:rsid w:val="000F1F87"/>
    <w:rsid w:val="000F2B9B"/>
    <w:rsid w:val="000F3ADB"/>
    <w:rsid w:val="000F4486"/>
    <w:rsid w:val="000F79DA"/>
    <w:rsid w:val="00101973"/>
    <w:rsid w:val="00102888"/>
    <w:rsid w:val="00102A00"/>
    <w:rsid w:val="00104CFA"/>
    <w:rsid w:val="00110B66"/>
    <w:rsid w:val="00113B5E"/>
    <w:rsid w:val="00113D50"/>
    <w:rsid w:val="00114791"/>
    <w:rsid w:val="00116EBD"/>
    <w:rsid w:val="001215F2"/>
    <w:rsid w:val="00121FEA"/>
    <w:rsid w:val="00125359"/>
    <w:rsid w:val="00126A33"/>
    <w:rsid w:val="00130C7E"/>
    <w:rsid w:val="00130E6C"/>
    <w:rsid w:val="00131F42"/>
    <w:rsid w:val="001328F2"/>
    <w:rsid w:val="00133B49"/>
    <w:rsid w:val="001357F1"/>
    <w:rsid w:val="00136114"/>
    <w:rsid w:val="00137116"/>
    <w:rsid w:val="00137921"/>
    <w:rsid w:val="00137E7F"/>
    <w:rsid w:val="00140D5B"/>
    <w:rsid w:val="00140FA8"/>
    <w:rsid w:val="00142FEB"/>
    <w:rsid w:val="0014304E"/>
    <w:rsid w:val="001432B5"/>
    <w:rsid w:val="0014382F"/>
    <w:rsid w:val="00143A2D"/>
    <w:rsid w:val="00145A41"/>
    <w:rsid w:val="00146139"/>
    <w:rsid w:val="0015070A"/>
    <w:rsid w:val="00150B59"/>
    <w:rsid w:val="00151675"/>
    <w:rsid w:val="00151F6C"/>
    <w:rsid w:val="0015409F"/>
    <w:rsid w:val="0015596E"/>
    <w:rsid w:val="001571E9"/>
    <w:rsid w:val="00157435"/>
    <w:rsid w:val="00161973"/>
    <w:rsid w:val="001625D5"/>
    <w:rsid w:val="0016416A"/>
    <w:rsid w:val="001647A4"/>
    <w:rsid w:val="00164E38"/>
    <w:rsid w:val="001654CF"/>
    <w:rsid w:val="00170D91"/>
    <w:rsid w:val="0017114E"/>
    <w:rsid w:val="0017194A"/>
    <w:rsid w:val="00172E50"/>
    <w:rsid w:val="0017504D"/>
    <w:rsid w:val="00175DA4"/>
    <w:rsid w:val="0017671A"/>
    <w:rsid w:val="00177422"/>
    <w:rsid w:val="00184590"/>
    <w:rsid w:val="00184DBC"/>
    <w:rsid w:val="001870D1"/>
    <w:rsid w:val="0018781E"/>
    <w:rsid w:val="00187B27"/>
    <w:rsid w:val="001911A6"/>
    <w:rsid w:val="00192513"/>
    <w:rsid w:val="0019262D"/>
    <w:rsid w:val="001941BE"/>
    <w:rsid w:val="001959BF"/>
    <w:rsid w:val="001968AF"/>
    <w:rsid w:val="001A17D7"/>
    <w:rsid w:val="001A1B35"/>
    <w:rsid w:val="001A29DB"/>
    <w:rsid w:val="001A3368"/>
    <w:rsid w:val="001A4236"/>
    <w:rsid w:val="001A48A2"/>
    <w:rsid w:val="001A6F61"/>
    <w:rsid w:val="001A7093"/>
    <w:rsid w:val="001A7B19"/>
    <w:rsid w:val="001B0931"/>
    <w:rsid w:val="001B0E8A"/>
    <w:rsid w:val="001B4E13"/>
    <w:rsid w:val="001B6F05"/>
    <w:rsid w:val="001B72B8"/>
    <w:rsid w:val="001B7B3D"/>
    <w:rsid w:val="001C1907"/>
    <w:rsid w:val="001C3152"/>
    <w:rsid w:val="001C3414"/>
    <w:rsid w:val="001C3D65"/>
    <w:rsid w:val="001C69B3"/>
    <w:rsid w:val="001D02D6"/>
    <w:rsid w:val="001D12C3"/>
    <w:rsid w:val="001D1FC5"/>
    <w:rsid w:val="001D5595"/>
    <w:rsid w:val="001D62B8"/>
    <w:rsid w:val="001D7874"/>
    <w:rsid w:val="001D7F22"/>
    <w:rsid w:val="001F0AAF"/>
    <w:rsid w:val="001F0F17"/>
    <w:rsid w:val="001F1252"/>
    <w:rsid w:val="001F1F00"/>
    <w:rsid w:val="001F2056"/>
    <w:rsid w:val="001F3347"/>
    <w:rsid w:val="001F69E4"/>
    <w:rsid w:val="001F6B90"/>
    <w:rsid w:val="00211275"/>
    <w:rsid w:val="002116F4"/>
    <w:rsid w:val="002125B4"/>
    <w:rsid w:val="00214912"/>
    <w:rsid w:val="002155B8"/>
    <w:rsid w:val="00216CFD"/>
    <w:rsid w:val="00220AEA"/>
    <w:rsid w:val="00222D26"/>
    <w:rsid w:val="00224839"/>
    <w:rsid w:val="002249B2"/>
    <w:rsid w:val="00226574"/>
    <w:rsid w:val="00227807"/>
    <w:rsid w:val="002278EC"/>
    <w:rsid w:val="002279FE"/>
    <w:rsid w:val="002311C0"/>
    <w:rsid w:val="00232693"/>
    <w:rsid w:val="0023280E"/>
    <w:rsid w:val="00235541"/>
    <w:rsid w:val="002355AE"/>
    <w:rsid w:val="002377D1"/>
    <w:rsid w:val="00243829"/>
    <w:rsid w:val="00244DC7"/>
    <w:rsid w:val="0024544A"/>
    <w:rsid w:val="0024560C"/>
    <w:rsid w:val="00246899"/>
    <w:rsid w:val="002506BC"/>
    <w:rsid w:val="00254345"/>
    <w:rsid w:val="002545C4"/>
    <w:rsid w:val="0025752A"/>
    <w:rsid w:val="00264557"/>
    <w:rsid w:val="002701C8"/>
    <w:rsid w:val="0027350B"/>
    <w:rsid w:val="00275025"/>
    <w:rsid w:val="00277B0C"/>
    <w:rsid w:val="002805AB"/>
    <w:rsid w:val="00281D3F"/>
    <w:rsid w:val="00284204"/>
    <w:rsid w:val="00284B8E"/>
    <w:rsid w:val="00286DB4"/>
    <w:rsid w:val="0028701E"/>
    <w:rsid w:val="00287772"/>
    <w:rsid w:val="00291773"/>
    <w:rsid w:val="002926B5"/>
    <w:rsid w:val="002A10E5"/>
    <w:rsid w:val="002A168C"/>
    <w:rsid w:val="002A250A"/>
    <w:rsid w:val="002A3DC7"/>
    <w:rsid w:val="002A6364"/>
    <w:rsid w:val="002A6D3F"/>
    <w:rsid w:val="002A6F3B"/>
    <w:rsid w:val="002B0176"/>
    <w:rsid w:val="002B091E"/>
    <w:rsid w:val="002B10F6"/>
    <w:rsid w:val="002B223D"/>
    <w:rsid w:val="002B260D"/>
    <w:rsid w:val="002B49E2"/>
    <w:rsid w:val="002B4DD7"/>
    <w:rsid w:val="002B5A90"/>
    <w:rsid w:val="002B6547"/>
    <w:rsid w:val="002B7675"/>
    <w:rsid w:val="002B7B00"/>
    <w:rsid w:val="002B7C44"/>
    <w:rsid w:val="002C13C9"/>
    <w:rsid w:val="002C2725"/>
    <w:rsid w:val="002C2B17"/>
    <w:rsid w:val="002C612D"/>
    <w:rsid w:val="002C67F9"/>
    <w:rsid w:val="002D02E6"/>
    <w:rsid w:val="002D0D58"/>
    <w:rsid w:val="002D3705"/>
    <w:rsid w:val="002D3DD0"/>
    <w:rsid w:val="002D5E9A"/>
    <w:rsid w:val="002E1F3A"/>
    <w:rsid w:val="002E298A"/>
    <w:rsid w:val="002E2FEA"/>
    <w:rsid w:val="002E31E6"/>
    <w:rsid w:val="002E355D"/>
    <w:rsid w:val="002E7CFD"/>
    <w:rsid w:val="002F4097"/>
    <w:rsid w:val="002F7394"/>
    <w:rsid w:val="00301978"/>
    <w:rsid w:val="0030332C"/>
    <w:rsid w:val="0030407B"/>
    <w:rsid w:val="003051C2"/>
    <w:rsid w:val="00312296"/>
    <w:rsid w:val="00314768"/>
    <w:rsid w:val="00314F0E"/>
    <w:rsid w:val="00316EDA"/>
    <w:rsid w:val="00317D86"/>
    <w:rsid w:val="00320352"/>
    <w:rsid w:val="00320716"/>
    <w:rsid w:val="00321108"/>
    <w:rsid w:val="00321989"/>
    <w:rsid w:val="00321D8E"/>
    <w:rsid w:val="003223EB"/>
    <w:rsid w:val="0032272D"/>
    <w:rsid w:val="00324761"/>
    <w:rsid w:val="00325928"/>
    <w:rsid w:val="00330946"/>
    <w:rsid w:val="00330BFB"/>
    <w:rsid w:val="00331EA3"/>
    <w:rsid w:val="00332863"/>
    <w:rsid w:val="0033684D"/>
    <w:rsid w:val="00337B42"/>
    <w:rsid w:val="003415C3"/>
    <w:rsid w:val="00341B42"/>
    <w:rsid w:val="00342887"/>
    <w:rsid w:val="0034348F"/>
    <w:rsid w:val="00347D51"/>
    <w:rsid w:val="00347FFE"/>
    <w:rsid w:val="00355D90"/>
    <w:rsid w:val="00356653"/>
    <w:rsid w:val="0035743F"/>
    <w:rsid w:val="003578E6"/>
    <w:rsid w:val="00357BE2"/>
    <w:rsid w:val="00360F9E"/>
    <w:rsid w:val="0036170C"/>
    <w:rsid w:val="00363680"/>
    <w:rsid w:val="00364B9F"/>
    <w:rsid w:val="00365F48"/>
    <w:rsid w:val="00366E0F"/>
    <w:rsid w:val="00370386"/>
    <w:rsid w:val="00370A53"/>
    <w:rsid w:val="003741B4"/>
    <w:rsid w:val="00374A9F"/>
    <w:rsid w:val="00375BD0"/>
    <w:rsid w:val="00376751"/>
    <w:rsid w:val="003800BC"/>
    <w:rsid w:val="00381A72"/>
    <w:rsid w:val="00384676"/>
    <w:rsid w:val="0038575D"/>
    <w:rsid w:val="00385E59"/>
    <w:rsid w:val="0038754E"/>
    <w:rsid w:val="00387D2E"/>
    <w:rsid w:val="00390857"/>
    <w:rsid w:val="00394090"/>
    <w:rsid w:val="00394B60"/>
    <w:rsid w:val="00395FE0"/>
    <w:rsid w:val="0039630F"/>
    <w:rsid w:val="00397A32"/>
    <w:rsid w:val="003A08BB"/>
    <w:rsid w:val="003A4580"/>
    <w:rsid w:val="003A4BF3"/>
    <w:rsid w:val="003B420D"/>
    <w:rsid w:val="003B7EE2"/>
    <w:rsid w:val="003C11C9"/>
    <w:rsid w:val="003C171F"/>
    <w:rsid w:val="003C31D9"/>
    <w:rsid w:val="003C3356"/>
    <w:rsid w:val="003C3871"/>
    <w:rsid w:val="003C4E23"/>
    <w:rsid w:val="003C5035"/>
    <w:rsid w:val="003C5D92"/>
    <w:rsid w:val="003C5E8E"/>
    <w:rsid w:val="003C6C16"/>
    <w:rsid w:val="003C7602"/>
    <w:rsid w:val="003D00D0"/>
    <w:rsid w:val="003D1D4B"/>
    <w:rsid w:val="003D51FC"/>
    <w:rsid w:val="003D6E66"/>
    <w:rsid w:val="003D794D"/>
    <w:rsid w:val="003D7E99"/>
    <w:rsid w:val="003D7F05"/>
    <w:rsid w:val="003E0202"/>
    <w:rsid w:val="003E0ED1"/>
    <w:rsid w:val="003E3058"/>
    <w:rsid w:val="003E31CF"/>
    <w:rsid w:val="003E76A9"/>
    <w:rsid w:val="003F0809"/>
    <w:rsid w:val="003F205F"/>
    <w:rsid w:val="003F4BCF"/>
    <w:rsid w:val="003F6A2C"/>
    <w:rsid w:val="003F6A8C"/>
    <w:rsid w:val="003F755C"/>
    <w:rsid w:val="0040018A"/>
    <w:rsid w:val="00401F19"/>
    <w:rsid w:val="00402240"/>
    <w:rsid w:val="004037CA"/>
    <w:rsid w:val="00403B9F"/>
    <w:rsid w:val="00404E1A"/>
    <w:rsid w:val="00405079"/>
    <w:rsid w:val="00406975"/>
    <w:rsid w:val="00406C5A"/>
    <w:rsid w:val="00406F01"/>
    <w:rsid w:val="00411CFC"/>
    <w:rsid w:val="0041479C"/>
    <w:rsid w:val="00416D50"/>
    <w:rsid w:val="00416FD5"/>
    <w:rsid w:val="00417772"/>
    <w:rsid w:val="00420C66"/>
    <w:rsid w:val="00420E6A"/>
    <w:rsid w:val="004212BB"/>
    <w:rsid w:val="004219EC"/>
    <w:rsid w:val="004232FC"/>
    <w:rsid w:val="00425A9E"/>
    <w:rsid w:val="00426A79"/>
    <w:rsid w:val="00426D6B"/>
    <w:rsid w:val="0042701E"/>
    <w:rsid w:val="004276C7"/>
    <w:rsid w:val="00431E6C"/>
    <w:rsid w:val="004336F9"/>
    <w:rsid w:val="00433CE7"/>
    <w:rsid w:val="0043460D"/>
    <w:rsid w:val="0043632F"/>
    <w:rsid w:val="0044153A"/>
    <w:rsid w:val="00444B31"/>
    <w:rsid w:val="00450FB7"/>
    <w:rsid w:val="0045213D"/>
    <w:rsid w:val="00452738"/>
    <w:rsid w:val="0045327E"/>
    <w:rsid w:val="0045399E"/>
    <w:rsid w:val="00456091"/>
    <w:rsid w:val="00465522"/>
    <w:rsid w:val="004662CD"/>
    <w:rsid w:val="00466321"/>
    <w:rsid w:val="00470188"/>
    <w:rsid w:val="00470E28"/>
    <w:rsid w:val="00473B19"/>
    <w:rsid w:val="004804AC"/>
    <w:rsid w:val="00481A2D"/>
    <w:rsid w:val="0048297C"/>
    <w:rsid w:val="00484604"/>
    <w:rsid w:val="00484B9B"/>
    <w:rsid w:val="004855F6"/>
    <w:rsid w:val="0048661E"/>
    <w:rsid w:val="00487749"/>
    <w:rsid w:val="00493478"/>
    <w:rsid w:val="00494670"/>
    <w:rsid w:val="00497A85"/>
    <w:rsid w:val="004A1576"/>
    <w:rsid w:val="004A28E6"/>
    <w:rsid w:val="004A3823"/>
    <w:rsid w:val="004A6EB7"/>
    <w:rsid w:val="004B3AD6"/>
    <w:rsid w:val="004B6A3E"/>
    <w:rsid w:val="004C05E5"/>
    <w:rsid w:val="004C182D"/>
    <w:rsid w:val="004C26A9"/>
    <w:rsid w:val="004C2BD4"/>
    <w:rsid w:val="004C37FE"/>
    <w:rsid w:val="004C3842"/>
    <w:rsid w:val="004C3955"/>
    <w:rsid w:val="004C6968"/>
    <w:rsid w:val="004C7033"/>
    <w:rsid w:val="004C7984"/>
    <w:rsid w:val="004D242F"/>
    <w:rsid w:val="004D3A3E"/>
    <w:rsid w:val="004D610A"/>
    <w:rsid w:val="004D795B"/>
    <w:rsid w:val="004D7BE6"/>
    <w:rsid w:val="004E12CC"/>
    <w:rsid w:val="004E184F"/>
    <w:rsid w:val="004E31CA"/>
    <w:rsid w:val="004E3C0F"/>
    <w:rsid w:val="004E66E8"/>
    <w:rsid w:val="004E6946"/>
    <w:rsid w:val="004F0DAD"/>
    <w:rsid w:val="004F1AD8"/>
    <w:rsid w:val="005039CB"/>
    <w:rsid w:val="0050558F"/>
    <w:rsid w:val="00506286"/>
    <w:rsid w:val="00510813"/>
    <w:rsid w:val="00511207"/>
    <w:rsid w:val="00511990"/>
    <w:rsid w:val="00511DE0"/>
    <w:rsid w:val="0051216F"/>
    <w:rsid w:val="00512F7F"/>
    <w:rsid w:val="00514870"/>
    <w:rsid w:val="00514B9B"/>
    <w:rsid w:val="0051524D"/>
    <w:rsid w:val="00517F02"/>
    <w:rsid w:val="00520BE7"/>
    <w:rsid w:val="0052120C"/>
    <w:rsid w:val="00524303"/>
    <w:rsid w:val="0052471D"/>
    <w:rsid w:val="005258A2"/>
    <w:rsid w:val="00527362"/>
    <w:rsid w:val="00527EB2"/>
    <w:rsid w:val="005300FC"/>
    <w:rsid w:val="00533C8D"/>
    <w:rsid w:val="005401AE"/>
    <w:rsid w:val="00542E07"/>
    <w:rsid w:val="00545424"/>
    <w:rsid w:val="005457C9"/>
    <w:rsid w:val="0054780F"/>
    <w:rsid w:val="00551F10"/>
    <w:rsid w:val="00554A7B"/>
    <w:rsid w:val="0055572C"/>
    <w:rsid w:val="00560CD5"/>
    <w:rsid w:val="0056106A"/>
    <w:rsid w:val="005616E2"/>
    <w:rsid w:val="00561BC2"/>
    <w:rsid w:val="00561BD0"/>
    <w:rsid w:val="00566226"/>
    <w:rsid w:val="00566FCB"/>
    <w:rsid w:val="00567041"/>
    <w:rsid w:val="0057060C"/>
    <w:rsid w:val="005720AE"/>
    <w:rsid w:val="005778B2"/>
    <w:rsid w:val="00582744"/>
    <w:rsid w:val="00584857"/>
    <w:rsid w:val="00585228"/>
    <w:rsid w:val="00585EA2"/>
    <w:rsid w:val="00586EB9"/>
    <w:rsid w:val="00594D77"/>
    <w:rsid w:val="005969E4"/>
    <w:rsid w:val="00596A55"/>
    <w:rsid w:val="005A06B7"/>
    <w:rsid w:val="005A0FA8"/>
    <w:rsid w:val="005A1759"/>
    <w:rsid w:val="005A2B94"/>
    <w:rsid w:val="005A374E"/>
    <w:rsid w:val="005A4ADB"/>
    <w:rsid w:val="005A5C81"/>
    <w:rsid w:val="005A68A7"/>
    <w:rsid w:val="005A7B37"/>
    <w:rsid w:val="005B1625"/>
    <w:rsid w:val="005B29BA"/>
    <w:rsid w:val="005B5B41"/>
    <w:rsid w:val="005B6160"/>
    <w:rsid w:val="005B7D61"/>
    <w:rsid w:val="005C4AD8"/>
    <w:rsid w:val="005C5F34"/>
    <w:rsid w:val="005D36AB"/>
    <w:rsid w:val="005E1BE4"/>
    <w:rsid w:val="005E5558"/>
    <w:rsid w:val="005E606F"/>
    <w:rsid w:val="005E7A9C"/>
    <w:rsid w:val="005F288F"/>
    <w:rsid w:val="005F7DF9"/>
    <w:rsid w:val="006017F1"/>
    <w:rsid w:val="00607579"/>
    <w:rsid w:val="006114D2"/>
    <w:rsid w:val="00615F8F"/>
    <w:rsid w:val="00617CC3"/>
    <w:rsid w:val="00623563"/>
    <w:rsid w:val="006251F0"/>
    <w:rsid w:val="006258FD"/>
    <w:rsid w:val="0062725B"/>
    <w:rsid w:val="00627807"/>
    <w:rsid w:val="0062786A"/>
    <w:rsid w:val="006301B2"/>
    <w:rsid w:val="00631134"/>
    <w:rsid w:val="006313B9"/>
    <w:rsid w:val="0063262B"/>
    <w:rsid w:val="00633DA3"/>
    <w:rsid w:val="00634DE6"/>
    <w:rsid w:val="00635A37"/>
    <w:rsid w:val="006364A3"/>
    <w:rsid w:val="006369EA"/>
    <w:rsid w:val="006377A6"/>
    <w:rsid w:val="00637A3D"/>
    <w:rsid w:val="006409B4"/>
    <w:rsid w:val="006411EF"/>
    <w:rsid w:val="00642DAB"/>
    <w:rsid w:val="006462AC"/>
    <w:rsid w:val="006462F3"/>
    <w:rsid w:val="00657755"/>
    <w:rsid w:val="006616B2"/>
    <w:rsid w:val="0066529F"/>
    <w:rsid w:val="006661E4"/>
    <w:rsid w:val="00667E99"/>
    <w:rsid w:val="0067107D"/>
    <w:rsid w:val="00673B8E"/>
    <w:rsid w:val="006748B8"/>
    <w:rsid w:val="006749F8"/>
    <w:rsid w:val="00674C28"/>
    <w:rsid w:val="006775C3"/>
    <w:rsid w:val="006807EF"/>
    <w:rsid w:val="00680918"/>
    <w:rsid w:val="00681796"/>
    <w:rsid w:val="006850C0"/>
    <w:rsid w:val="00686A2F"/>
    <w:rsid w:val="00691FE3"/>
    <w:rsid w:val="0069290A"/>
    <w:rsid w:val="0069775A"/>
    <w:rsid w:val="00697813"/>
    <w:rsid w:val="006A3EE8"/>
    <w:rsid w:val="006A6E27"/>
    <w:rsid w:val="006A72BF"/>
    <w:rsid w:val="006B03F2"/>
    <w:rsid w:val="006B1269"/>
    <w:rsid w:val="006B37DC"/>
    <w:rsid w:val="006B4F68"/>
    <w:rsid w:val="006B65DF"/>
    <w:rsid w:val="006C0592"/>
    <w:rsid w:val="006C0921"/>
    <w:rsid w:val="006C272E"/>
    <w:rsid w:val="006C3EC0"/>
    <w:rsid w:val="006C5479"/>
    <w:rsid w:val="006C6471"/>
    <w:rsid w:val="006C64D5"/>
    <w:rsid w:val="006C6D3D"/>
    <w:rsid w:val="006D01D6"/>
    <w:rsid w:val="006D13B5"/>
    <w:rsid w:val="006D32DD"/>
    <w:rsid w:val="006D36AD"/>
    <w:rsid w:val="006D4243"/>
    <w:rsid w:val="006E00E1"/>
    <w:rsid w:val="006E12FF"/>
    <w:rsid w:val="006E18BB"/>
    <w:rsid w:val="006E421F"/>
    <w:rsid w:val="006E607E"/>
    <w:rsid w:val="006F1509"/>
    <w:rsid w:val="006F3758"/>
    <w:rsid w:val="006F4CB9"/>
    <w:rsid w:val="007013AF"/>
    <w:rsid w:val="00701C93"/>
    <w:rsid w:val="00702212"/>
    <w:rsid w:val="0070600D"/>
    <w:rsid w:val="00706BAB"/>
    <w:rsid w:val="00706C5D"/>
    <w:rsid w:val="00707293"/>
    <w:rsid w:val="00711646"/>
    <w:rsid w:val="00712478"/>
    <w:rsid w:val="00715E44"/>
    <w:rsid w:val="00715E93"/>
    <w:rsid w:val="007162CA"/>
    <w:rsid w:val="00717E82"/>
    <w:rsid w:val="0072082E"/>
    <w:rsid w:val="00720AAD"/>
    <w:rsid w:val="00720C29"/>
    <w:rsid w:val="0072547A"/>
    <w:rsid w:val="007258E1"/>
    <w:rsid w:val="00725C3F"/>
    <w:rsid w:val="00726B8D"/>
    <w:rsid w:val="007271DB"/>
    <w:rsid w:val="00732922"/>
    <w:rsid w:val="0073690E"/>
    <w:rsid w:val="00737BFF"/>
    <w:rsid w:val="007403F1"/>
    <w:rsid w:val="0074087B"/>
    <w:rsid w:val="007444A5"/>
    <w:rsid w:val="00745320"/>
    <w:rsid w:val="00750B42"/>
    <w:rsid w:val="00751403"/>
    <w:rsid w:val="0075162E"/>
    <w:rsid w:val="00751C4D"/>
    <w:rsid w:val="00751CE3"/>
    <w:rsid w:val="00752BEE"/>
    <w:rsid w:val="00754034"/>
    <w:rsid w:val="00756556"/>
    <w:rsid w:val="007618C4"/>
    <w:rsid w:val="00764CF5"/>
    <w:rsid w:val="0076653D"/>
    <w:rsid w:val="00767093"/>
    <w:rsid w:val="00767980"/>
    <w:rsid w:val="00770B19"/>
    <w:rsid w:val="00772605"/>
    <w:rsid w:val="00773ED4"/>
    <w:rsid w:val="0077463F"/>
    <w:rsid w:val="00776E5C"/>
    <w:rsid w:val="0078069B"/>
    <w:rsid w:val="007836E6"/>
    <w:rsid w:val="007836EA"/>
    <w:rsid w:val="00783B32"/>
    <w:rsid w:val="007842D3"/>
    <w:rsid w:val="00784CDA"/>
    <w:rsid w:val="00785C46"/>
    <w:rsid w:val="007906C4"/>
    <w:rsid w:val="00792F90"/>
    <w:rsid w:val="007940EA"/>
    <w:rsid w:val="007950B8"/>
    <w:rsid w:val="007967E8"/>
    <w:rsid w:val="007A2170"/>
    <w:rsid w:val="007A22BF"/>
    <w:rsid w:val="007A2379"/>
    <w:rsid w:val="007A2858"/>
    <w:rsid w:val="007A32E3"/>
    <w:rsid w:val="007A3323"/>
    <w:rsid w:val="007A397C"/>
    <w:rsid w:val="007A4B76"/>
    <w:rsid w:val="007A635B"/>
    <w:rsid w:val="007B2648"/>
    <w:rsid w:val="007B2C2B"/>
    <w:rsid w:val="007B3BBF"/>
    <w:rsid w:val="007B444A"/>
    <w:rsid w:val="007B4A21"/>
    <w:rsid w:val="007B5569"/>
    <w:rsid w:val="007B6229"/>
    <w:rsid w:val="007B6AD5"/>
    <w:rsid w:val="007B6C30"/>
    <w:rsid w:val="007B72B8"/>
    <w:rsid w:val="007B7A58"/>
    <w:rsid w:val="007C034F"/>
    <w:rsid w:val="007C21B5"/>
    <w:rsid w:val="007C2DE3"/>
    <w:rsid w:val="007C5B31"/>
    <w:rsid w:val="007C6631"/>
    <w:rsid w:val="007C799E"/>
    <w:rsid w:val="007D20FE"/>
    <w:rsid w:val="007D4386"/>
    <w:rsid w:val="007D63FF"/>
    <w:rsid w:val="007E4BD2"/>
    <w:rsid w:val="007E629E"/>
    <w:rsid w:val="007E6A71"/>
    <w:rsid w:val="007F51A7"/>
    <w:rsid w:val="007F5DA2"/>
    <w:rsid w:val="00801325"/>
    <w:rsid w:val="00801393"/>
    <w:rsid w:val="00802557"/>
    <w:rsid w:val="00802F88"/>
    <w:rsid w:val="00803F7B"/>
    <w:rsid w:val="0080425E"/>
    <w:rsid w:val="00806FE2"/>
    <w:rsid w:val="00811246"/>
    <w:rsid w:val="0081293E"/>
    <w:rsid w:val="00815465"/>
    <w:rsid w:val="00815650"/>
    <w:rsid w:val="00817E9A"/>
    <w:rsid w:val="008208BC"/>
    <w:rsid w:val="008228DE"/>
    <w:rsid w:val="008306BD"/>
    <w:rsid w:val="00830A38"/>
    <w:rsid w:val="00831A80"/>
    <w:rsid w:val="00833743"/>
    <w:rsid w:val="008340A4"/>
    <w:rsid w:val="00836458"/>
    <w:rsid w:val="00837DD6"/>
    <w:rsid w:val="00846777"/>
    <w:rsid w:val="00847918"/>
    <w:rsid w:val="00847CA9"/>
    <w:rsid w:val="008552FA"/>
    <w:rsid w:val="00856095"/>
    <w:rsid w:val="00862A64"/>
    <w:rsid w:val="00863E07"/>
    <w:rsid w:val="0086481A"/>
    <w:rsid w:val="00866A9E"/>
    <w:rsid w:val="00870A32"/>
    <w:rsid w:val="00870AAC"/>
    <w:rsid w:val="0087135F"/>
    <w:rsid w:val="00872D94"/>
    <w:rsid w:val="00873B57"/>
    <w:rsid w:val="008762A5"/>
    <w:rsid w:val="00880364"/>
    <w:rsid w:val="008822E5"/>
    <w:rsid w:val="008847B5"/>
    <w:rsid w:val="00885193"/>
    <w:rsid w:val="00887ADD"/>
    <w:rsid w:val="00890A89"/>
    <w:rsid w:val="00890FB9"/>
    <w:rsid w:val="008914F1"/>
    <w:rsid w:val="00891592"/>
    <w:rsid w:val="00891E9E"/>
    <w:rsid w:val="008A2179"/>
    <w:rsid w:val="008A2C4C"/>
    <w:rsid w:val="008A2F68"/>
    <w:rsid w:val="008A34E3"/>
    <w:rsid w:val="008A3D33"/>
    <w:rsid w:val="008B3A6B"/>
    <w:rsid w:val="008B4FA6"/>
    <w:rsid w:val="008B519C"/>
    <w:rsid w:val="008B51A4"/>
    <w:rsid w:val="008B5282"/>
    <w:rsid w:val="008B6033"/>
    <w:rsid w:val="008B7C17"/>
    <w:rsid w:val="008C0684"/>
    <w:rsid w:val="008C13D2"/>
    <w:rsid w:val="008C2D01"/>
    <w:rsid w:val="008C40E6"/>
    <w:rsid w:val="008C6454"/>
    <w:rsid w:val="008C73DB"/>
    <w:rsid w:val="008D0F7A"/>
    <w:rsid w:val="008D1067"/>
    <w:rsid w:val="008D2687"/>
    <w:rsid w:val="008D404A"/>
    <w:rsid w:val="008D4DEC"/>
    <w:rsid w:val="008D4E61"/>
    <w:rsid w:val="008D68E4"/>
    <w:rsid w:val="008E0506"/>
    <w:rsid w:val="008E0CFF"/>
    <w:rsid w:val="008E132D"/>
    <w:rsid w:val="008E2575"/>
    <w:rsid w:val="008E2F47"/>
    <w:rsid w:val="008E4A25"/>
    <w:rsid w:val="008E5D6B"/>
    <w:rsid w:val="008E6243"/>
    <w:rsid w:val="008E76F0"/>
    <w:rsid w:val="008F0A87"/>
    <w:rsid w:val="008F15FE"/>
    <w:rsid w:val="008F2D29"/>
    <w:rsid w:val="008F3A2B"/>
    <w:rsid w:val="008F5187"/>
    <w:rsid w:val="008F60D8"/>
    <w:rsid w:val="008F63CC"/>
    <w:rsid w:val="00901DA8"/>
    <w:rsid w:val="0090249C"/>
    <w:rsid w:val="00902727"/>
    <w:rsid w:val="0090312B"/>
    <w:rsid w:val="00904317"/>
    <w:rsid w:val="00905F1C"/>
    <w:rsid w:val="00907564"/>
    <w:rsid w:val="00907A31"/>
    <w:rsid w:val="00910017"/>
    <w:rsid w:val="00910FDB"/>
    <w:rsid w:val="0091107A"/>
    <w:rsid w:val="009131C2"/>
    <w:rsid w:val="009135C3"/>
    <w:rsid w:val="009166CA"/>
    <w:rsid w:val="0091736D"/>
    <w:rsid w:val="00922EBC"/>
    <w:rsid w:val="00927260"/>
    <w:rsid w:val="0093037A"/>
    <w:rsid w:val="00934C21"/>
    <w:rsid w:val="00935DE3"/>
    <w:rsid w:val="0094154D"/>
    <w:rsid w:val="00944C70"/>
    <w:rsid w:val="00950AAE"/>
    <w:rsid w:val="00950B3F"/>
    <w:rsid w:val="00950F3B"/>
    <w:rsid w:val="0095155F"/>
    <w:rsid w:val="00954429"/>
    <w:rsid w:val="009563CE"/>
    <w:rsid w:val="009634AE"/>
    <w:rsid w:val="00966C6F"/>
    <w:rsid w:val="009677CD"/>
    <w:rsid w:val="00967907"/>
    <w:rsid w:val="00972181"/>
    <w:rsid w:val="00973D1F"/>
    <w:rsid w:val="009748B6"/>
    <w:rsid w:val="00974C21"/>
    <w:rsid w:val="00974E34"/>
    <w:rsid w:val="00976328"/>
    <w:rsid w:val="0097680D"/>
    <w:rsid w:val="00982438"/>
    <w:rsid w:val="00982AF1"/>
    <w:rsid w:val="0098404C"/>
    <w:rsid w:val="00984C1E"/>
    <w:rsid w:val="00985283"/>
    <w:rsid w:val="00985986"/>
    <w:rsid w:val="009859F5"/>
    <w:rsid w:val="00987284"/>
    <w:rsid w:val="009876E7"/>
    <w:rsid w:val="00990AD9"/>
    <w:rsid w:val="009930A5"/>
    <w:rsid w:val="00995624"/>
    <w:rsid w:val="00995992"/>
    <w:rsid w:val="009A03E5"/>
    <w:rsid w:val="009A04F9"/>
    <w:rsid w:val="009A0F3B"/>
    <w:rsid w:val="009A1BB4"/>
    <w:rsid w:val="009A261A"/>
    <w:rsid w:val="009A2628"/>
    <w:rsid w:val="009A3200"/>
    <w:rsid w:val="009A5931"/>
    <w:rsid w:val="009A5B59"/>
    <w:rsid w:val="009B0897"/>
    <w:rsid w:val="009B5901"/>
    <w:rsid w:val="009B6181"/>
    <w:rsid w:val="009B6216"/>
    <w:rsid w:val="009B669E"/>
    <w:rsid w:val="009B7BD9"/>
    <w:rsid w:val="009C05D7"/>
    <w:rsid w:val="009C2D93"/>
    <w:rsid w:val="009C3048"/>
    <w:rsid w:val="009C3E49"/>
    <w:rsid w:val="009C51AE"/>
    <w:rsid w:val="009C7C7E"/>
    <w:rsid w:val="009C7DD5"/>
    <w:rsid w:val="009D4839"/>
    <w:rsid w:val="009D56F9"/>
    <w:rsid w:val="009D71A6"/>
    <w:rsid w:val="009E227D"/>
    <w:rsid w:val="009E271E"/>
    <w:rsid w:val="009E5019"/>
    <w:rsid w:val="009E56A0"/>
    <w:rsid w:val="009E7EDA"/>
    <w:rsid w:val="009F040B"/>
    <w:rsid w:val="009F6163"/>
    <w:rsid w:val="009F7ABC"/>
    <w:rsid w:val="00A0122D"/>
    <w:rsid w:val="00A0388A"/>
    <w:rsid w:val="00A043C4"/>
    <w:rsid w:val="00A04F1B"/>
    <w:rsid w:val="00A0501B"/>
    <w:rsid w:val="00A06D6C"/>
    <w:rsid w:val="00A07F1F"/>
    <w:rsid w:val="00A1081C"/>
    <w:rsid w:val="00A11B99"/>
    <w:rsid w:val="00A12FD6"/>
    <w:rsid w:val="00A14374"/>
    <w:rsid w:val="00A14947"/>
    <w:rsid w:val="00A1598D"/>
    <w:rsid w:val="00A24595"/>
    <w:rsid w:val="00A24A45"/>
    <w:rsid w:val="00A25D9C"/>
    <w:rsid w:val="00A32109"/>
    <w:rsid w:val="00A32A83"/>
    <w:rsid w:val="00A3684B"/>
    <w:rsid w:val="00A368DB"/>
    <w:rsid w:val="00A409CB"/>
    <w:rsid w:val="00A423AA"/>
    <w:rsid w:val="00A446FF"/>
    <w:rsid w:val="00A4685E"/>
    <w:rsid w:val="00A46E33"/>
    <w:rsid w:val="00A53EC6"/>
    <w:rsid w:val="00A558BA"/>
    <w:rsid w:val="00A55C0F"/>
    <w:rsid w:val="00A61B61"/>
    <w:rsid w:val="00A62300"/>
    <w:rsid w:val="00A643E4"/>
    <w:rsid w:val="00A64E96"/>
    <w:rsid w:val="00A72AB6"/>
    <w:rsid w:val="00A72B87"/>
    <w:rsid w:val="00A7579E"/>
    <w:rsid w:val="00A777FC"/>
    <w:rsid w:val="00A845D4"/>
    <w:rsid w:val="00A84BCA"/>
    <w:rsid w:val="00A86805"/>
    <w:rsid w:val="00A8713F"/>
    <w:rsid w:val="00A87534"/>
    <w:rsid w:val="00A8765E"/>
    <w:rsid w:val="00A90BA1"/>
    <w:rsid w:val="00A9128A"/>
    <w:rsid w:val="00A91B73"/>
    <w:rsid w:val="00A937FD"/>
    <w:rsid w:val="00A97A9A"/>
    <w:rsid w:val="00AA0671"/>
    <w:rsid w:val="00AA0A69"/>
    <w:rsid w:val="00AA0C09"/>
    <w:rsid w:val="00AA2531"/>
    <w:rsid w:val="00AA3D23"/>
    <w:rsid w:val="00AA4A5A"/>
    <w:rsid w:val="00AB1E09"/>
    <w:rsid w:val="00AB2001"/>
    <w:rsid w:val="00AB4CAE"/>
    <w:rsid w:val="00AB5330"/>
    <w:rsid w:val="00AB590B"/>
    <w:rsid w:val="00AB7747"/>
    <w:rsid w:val="00AC14CE"/>
    <w:rsid w:val="00AC280D"/>
    <w:rsid w:val="00AC2A56"/>
    <w:rsid w:val="00AC5982"/>
    <w:rsid w:val="00AC7F2E"/>
    <w:rsid w:val="00AD055E"/>
    <w:rsid w:val="00AD3507"/>
    <w:rsid w:val="00AD47A7"/>
    <w:rsid w:val="00AD6395"/>
    <w:rsid w:val="00AE1079"/>
    <w:rsid w:val="00AE2CD7"/>
    <w:rsid w:val="00AE3856"/>
    <w:rsid w:val="00AE7065"/>
    <w:rsid w:val="00AF0CBF"/>
    <w:rsid w:val="00AF0FC0"/>
    <w:rsid w:val="00AF257F"/>
    <w:rsid w:val="00AF33CF"/>
    <w:rsid w:val="00AF3A86"/>
    <w:rsid w:val="00AF4D50"/>
    <w:rsid w:val="00AF571E"/>
    <w:rsid w:val="00AF6179"/>
    <w:rsid w:val="00AF7BDB"/>
    <w:rsid w:val="00B00A4C"/>
    <w:rsid w:val="00B04F65"/>
    <w:rsid w:val="00B05385"/>
    <w:rsid w:val="00B0645F"/>
    <w:rsid w:val="00B079DA"/>
    <w:rsid w:val="00B1057E"/>
    <w:rsid w:val="00B115DE"/>
    <w:rsid w:val="00B11B8E"/>
    <w:rsid w:val="00B1295A"/>
    <w:rsid w:val="00B14A0E"/>
    <w:rsid w:val="00B150C3"/>
    <w:rsid w:val="00B20A45"/>
    <w:rsid w:val="00B212E1"/>
    <w:rsid w:val="00B22A9D"/>
    <w:rsid w:val="00B22C5C"/>
    <w:rsid w:val="00B23129"/>
    <w:rsid w:val="00B24F30"/>
    <w:rsid w:val="00B3195A"/>
    <w:rsid w:val="00B31ABF"/>
    <w:rsid w:val="00B33BE3"/>
    <w:rsid w:val="00B351EE"/>
    <w:rsid w:val="00B36427"/>
    <w:rsid w:val="00B442EF"/>
    <w:rsid w:val="00B44719"/>
    <w:rsid w:val="00B44F64"/>
    <w:rsid w:val="00B47643"/>
    <w:rsid w:val="00B53511"/>
    <w:rsid w:val="00B53B5D"/>
    <w:rsid w:val="00B5516A"/>
    <w:rsid w:val="00B5627C"/>
    <w:rsid w:val="00B6055E"/>
    <w:rsid w:val="00B6317D"/>
    <w:rsid w:val="00B65F30"/>
    <w:rsid w:val="00B66D8B"/>
    <w:rsid w:val="00B67D66"/>
    <w:rsid w:val="00B72EFB"/>
    <w:rsid w:val="00B73A38"/>
    <w:rsid w:val="00B75783"/>
    <w:rsid w:val="00B75C74"/>
    <w:rsid w:val="00B7723F"/>
    <w:rsid w:val="00B7754B"/>
    <w:rsid w:val="00B777CB"/>
    <w:rsid w:val="00B80534"/>
    <w:rsid w:val="00B823AE"/>
    <w:rsid w:val="00B8433C"/>
    <w:rsid w:val="00B864C2"/>
    <w:rsid w:val="00B87491"/>
    <w:rsid w:val="00B948F7"/>
    <w:rsid w:val="00B94EE3"/>
    <w:rsid w:val="00B97DA4"/>
    <w:rsid w:val="00BA0D7C"/>
    <w:rsid w:val="00BA10CF"/>
    <w:rsid w:val="00BA29E9"/>
    <w:rsid w:val="00BA3782"/>
    <w:rsid w:val="00BA3D98"/>
    <w:rsid w:val="00BA7142"/>
    <w:rsid w:val="00BB0106"/>
    <w:rsid w:val="00BB0B99"/>
    <w:rsid w:val="00BB237C"/>
    <w:rsid w:val="00BB2AB4"/>
    <w:rsid w:val="00BB380C"/>
    <w:rsid w:val="00BB41A3"/>
    <w:rsid w:val="00BC1238"/>
    <w:rsid w:val="00BC1432"/>
    <w:rsid w:val="00BC2258"/>
    <w:rsid w:val="00BC32DC"/>
    <w:rsid w:val="00BC35B6"/>
    <w:rsid w:val="00BC5777"/>
    <w:rsid w:val="00BC6531"/>
    <w:rsid w:val="00BC7C18"/>
    <w:rsid w:val="00BD0C17"/>
    <w:rsid w:val="00BD1B51"/>
    <w:rsid w:val="00BD33C0"/>
    <w:rsid w:val="00BD3484"/>
    <w:rsid w:val="00BD348E"/>
    <w:rsid w:val="00BD3808"/>
    <w:rsid w:val="00BD4596"/>
    <w:rsid w:val="00BD4C63"/>
    <w:rsid w:val="00BD6E67"/>
    <w:rsid w:val="00BD7920"/>
    <w:rsid w:val="00BE053C"/>
    <w:rsid w:val="00BE0ADA"/>
    <w:rsid w:val="00BE1405"/>
    <w:rsid w:val="00BE312D"/>
    <w:rsid w:val="00BE3597"/>
    <w:rsid w:val="00BE35C3"/>
    <w:rsid w:val="00BE3CA5"/>
    <w:rsid w:val="00BE4DC5"/>
    <w:rsid w:val="00BE7305"/>
    <w:rsid w:val="00BF19C9"/>
    <w:rsid w:val="00BF1C20"/>
    <w:rsid w:val="00BF2523"/>
    <w:rsid w:val="00BF34B2"/>
    <w:rsid w:val="00BF35CA"/>
    <w:rsid w:val="00BF4FA3"/>
    <w:rsid w:val="00C01CEF"/>
    <w:rsid w:val="00C04114"/>
    <w:rsid w:val="00C05337"/>
    <w:rsid w:val="00C06452"/>
    <w:rsid w:val="00C06D9B"/>
    <w:rsid w:val="00C06EA1"/>
    <w:rsid w:val="00C0720D"/>
    <w:rsid w:val="00C10578"/>
    <w:rsid w:val="00C121FE"/>
    <w:rsid w:val="00C12D09"/>
    <w:rsid w:val="00C135BC"/>
    <w:rsid w:val="00C15C95"/>
    <w:rsid w:val="00C2059E"/>
    <w:rsid w:val="00C205E6"/>
    <w:rsid w:val="00C22614"/>
    <w:rsid w:val="00C2596A"/>
    <w:rsid w:val="00C27537"/>
    <w:rsid w:val="00C27BDF"/>
    <w:rsid w:val="00C328FE"/>
    <w:rsid w:val="00C33507"/>
    <w:rsid w:val="00C34B83"/>
    <w:rsid w:val="00C40E97"/>
    <w:rsid w:val="00C4189A"/>
    <w:rsid w:val="00C41F27"/>
    <w:rsid w:val="00C426CB"/>
    <w:rsid w:val="00C42726"/>
    <w:rsid w:val="00C42D24"/>
    <w:rsid w:val="00C4409D"/>
    <w:rsid w:val="00C44E72"/>
    <w:rsid w:val="00C45A06"/>
    <w:rsid w:val="00C47E5B"/>
    <w:rsid w:val="00C508A1"/>
    <w:rsid w:val="00C50BC2"/>
    <w:rsid w:val="00C531A9"/>
    <w:rsid w:val="00C600F9"/>
    <w:rsid w:val="00C61E4B"/>
    <w:rsid w:val="00C63425"/>
    <w:rsid w:val="00C64BFF"/>
    <w:rsid w:val="00C704E9"/>
    <w:rsid w:val="00C7189E"/>
    <w:rsid w:val="00C718A5"/>
    <w:rsid w:val="00C73437"/>
    <w:rsid w:val="00C75B64"/>
    <w:rsid w:val="00C75FFB"/>
    <w:rsid w:val="00C763C9"/>
    <w:rsid w:val="00C76854"/>
    <w:rsid w:val="00C77E22"/>
    <w:rsid w:val="00C80057"/>
    <w:rsid w:val="00C82232"/>
    <w:rsid w:val="00C82913"/>
    <w:rsid w:val="00C82E62"/>
    <w:rsid w:val="00C847C8"/>
    <w:rsid w:val="00C862FE"/>
    <w:rsid w:val="00C91427"/>
    <w:rsid w:val="00C96558"/>
    <w:rsid w:val="00C968ED"/>
    <w:rsid w:val="00C96FCA"/>
    <w:rsid w:val="00C972B1"/>
    <w:rsid w:val="00CA2CCE"/>
    <w:rsid w:val="00CA346C"/>
    <w:rsid w:val="00CA43FD"/>
    <w:rsid w:val="00CA7EF8"/>
    <w:rsid w:val="00CB0DDE"/>
    <w:rsid w:val="00CB10F1"/>
    <w:rsid w:val="00CB2530"/>
    <w:rsid w:val="00CB2D96"/>
    <w:rsid w:val="00CB3C6B"/>
    <w:rsid w:val="00CB4A14"/>
    <w:rsid w:val="00CB7383"/>
    <w:rsid w:val="00CC0B9C"/>
    <w:rsid w:val="00CC489B"/>
    <w:rsid w:val="00CC5629"/>
    <w:rsid w:val="00CC71D2"/>
    <w:rsid w:val="00CD05D6"/>
    <w:rsid w:val="00CD2BCD"/>
    <w:rsid w:val="00CD3A4C"/>
    <w:rsid w:val="00CD4B22"/>
    <w:rsid w:val="00CE10E9"/>
    <w:rsid w:val="00CE2910"/>
    <w:rsid w:val="00CE3CA8"/>
    <w:rsid w:val="00CE5393"/>
    <w:rsid w:val="00CF0258"/>
    <w:rsid w:val="00CF0DCF"/>
    <w:rsid w:val="00CF36BE"/>
    <w:rsid w:val="00CF3FF4"/>
    <w:rsid w:val="00CF6000"/>
    <w:rsid w:val="00CF6028"/>
    <w:rsid w:val="00D00308"/>
    <w:rsid w:val="00D003F3"/>
    <w:rsid w:val="00D0364F"/>
    <w:rsid w:val="00D040C2"/>
    <w:rsid w:val="00D05078"/>
    <w:rsid w:val="00D05C3D"/>
    <w:rsid w:val="00D06834"/>
    <w:rsid w:val="00D10E0D"/>
    <w:rsid w:val="00D12A30"/>
    <w:rsid w:val="00D172A1"/>
    <w:rsid w:val="00D247E4"/>
    <w:rsid w:val="00D308ED"/>
    <w:rsid w:val="00D32EF5"/>
    <w:rsid w:val="00D36D86"/>
    <w:rsid w:val="00D37C6C"/>
    <w:rsid w:val="00D37CC8"/>
    <w:rsid w:val="00D42624"/>
    <w:rsid w:val="00D428AA"/>
    <w:rsid w:val="00D429A9"/>
    <w:rsid w:val="00D4439B"/>
    <w:rsid w:val="00D446C9"/>
    <w:rsid w:val="00D46511"/>
    <w:rsid w:val="00D46931"/>
    <w:rsid w:val="00D50A34"/>
    <w:rsid w:val="00D53EFA"/>
    <w:rsid w:val="00D57071"/>
    <w:rsid w:val="00D60E22"/>
    <w:rsid w:val="00D61FC1"/>
    <w:rsid w:val="00D62724"/>
    <w:rsid w:val="00D6363D"/>
    <w:rsid w:val="00D6579B"/>
    <w:rsid w:val="00D65A01"/>
    <w:rsid w:val="00D65EC9"/>
    <w:rsid w:val="00D66191"/>
    <w:rsid w:val="00D70F2A"/>
    <w:rsid w:val="00D720DC"/>
    <w:rsid w:val="00D720E3"/>
    <w:rsid w:val="00D72684"/>
    <w:rsid w:val="00D74F58"/>
    <w:rsid w:val="00D76D7A"/>
    <w:rsid w:val="00D94A7C"/>
    <w:rsid w:val="00D95896"/>
    <w:rsid w:val="00D96A1F"/>
    <w:rsid w:val="00D973C6"/>
    <w:rsid w:val="00DA0859"/>
    <w:rsid w:val="00DA0B72"/>
    <w:rsid w:val="00DA1630"/>
    <w:rsid w:val="00DA2AF4"/>
    <w:rsid w:val="00DA38C6"/>
    <w:rsid w:val="00DA555A"/>
    <w:rsid w:val="00DA63CD"/>
    <w:rsid w:val="00DA7A4B"/>
    <w:rsid w:val="00DB2983"/>
    <w:rsid w:val="00DB4EAD"/>
    <w:rsid w:val="00DC1257"/>
    <w:rsid w:val="00DC3DC0"/>
    <w:rsid w:val="00DC3F26"/>
    <w:rsid w:val="00DC5902"/>
    <w:rsid w:val="00DC5B2B"/>
    <w:rsid w:val="00DD318D"/>
    <w:rsid w:val="00DE2D34"/>
    <w:rsid w:val="00DE649E"/>
    <w:rsid w:val="00DE7509"/>
    <w:rsid w:val="00DF0495"/>
    <w:rsid w:val="00DF1D77"/>
    <w:rsid w:val="00DF2085"/>
    <w:rsid w:val="00DF2D8B"/>
    <w:rsid w:val="00DF2E12"/>
    <w:rsid w:val="00DF514A"/>
    <w:rsid w:val="00DF6690"/>
    <w:rsid w:val="00DF6804"/>
    <w:rsid w:val="00DF6C2F"/>
    <w:rsid w:val="00E0358D"/>
    <w:rsid w:val="00E04323"/>
    <w:rsid w:val="00E070A2"/>
    <w:rsid w:val="00E11096"/>
    <w:rsid w:val="00E13B5C"/>
    <w:rsid w:val="00E16290"/>
    <w:rsid w:val="00E162FA"/>
    <w:rsid w:val="00E20B48"/>
    <w:rsid w:val="00E231AD"/>
    <w:rsid w:val="00E24B34"/>
    <w:rsid w:val="00E2656A"/>
    <w:rsid w:val="00E3125B"/>
    <w:rsid w:val="00E35CC6"/>
    <w:rsid w:val="00E35D30"/>
    <w:rsid w:val="00E40D19"/>
    <w:rsid w:val="00E412D0"/>
    <w:rsid w:val="00E42BAC"/>
    <w:rsid w:val="00E448E6"/>
    <w:rsid w:val="00E47E1B"/>
    <w:rsid w:val="00E52A83"/>
    <w:rsid w:val="00E530D4"/>
    <w:rsid w:val="00E56322"/>
    <w:rsid w:val="00E56C64"/>
    <w:rsid w:val="00E576C1"/>
    <w:rsid w:val="00E60982"/>
    <w:rsid w:val="00E62C62"/>
    <w:rsid w:val="00E63BE2"/>
    <w:rsid w:val="00E654C1"/>
    <w:rsid w:val="00E657B3"/>
    <w:rsid w:val="00E65D97"/>
    <w:rsid w:val="00E70B41"/>
    <w:rsid w:val="00E7282D"/>
    <w:rsid w:val="00E72A5A"/>
    <w:rsid w:val="00E73354"/>
    <w:rsid w:val="00E75707"/>
    <w:rsid w:val="00E757EF"/>
    <w:rsid w:val="00E80180"/>
    <w:rsid w:val="00E856BC"/>
    <w:rsid w:val="00E86F48"/>
    <w:rsid w:val="00E9158F"/>
    <w:rsid w:val="00E9242D"/>
    <w:rsid w:val="00E92873"/>
    <w:rsid w:val="00E967AB"/>
    <w:rsid w:val="00EB073E"/>
    <w:rsid w:val="00EB5255"/>
    <w:rsid w:val="00EB58B7"/>
    <w:rsid w:val="00EB5C47"/>
    <w:rsid w:val="00EC28BF"/>
    <w:rsid w:val="00ED0639"/>
    <w:rsid w:val="00ED14B4"/>
    <w:rsid w:val="00ED5421"/>
    <w:rsid w:val="00EE3AAD"/>
    <w:rsid w:val="00EE3E38"/>
    <w:rsid w:val="00EF1DA1"/>
    <w:rsid w:val="00EF4755"/>
    <w:rsid w:val="00EF57C0"/>
    <w:rsid w:val="00EF7135"/>
    <w:rsid w:val="00F01E0A"/>
    <w:rsid w:val="00F027DB"/>
    <w:rsid w:val="00F04110"/>
    <w:rsid w:val="00F04909"/>
    <w:rsid w:val="00F078DE"/>
    <w:rsid w:val="00F07FBF"/>
    <w:rsid w:val="00F11BBB"/>
    <w:rsid w:val="00F14A7A"/>
    <w:rsid w:val="00F151E2"/>
    <w:rsid w:val="00F15FDB"/>
    <w:rsid w:val="00F16BAD"/>
    <w:rsid w:val="00F17B97"/>
    <w:rsid w:val="00F22985"/>
    <w:rsid w:val="00F24526"/>
    <w:rsid w:val="00F25A9D"/>
    <w:rsid w:val="00F25BA6"/>
    <w:rsid w:val="00F275EB"/>
    <w:rsid w:val="00F328B6"/>
    <w:rsid w:val="00F3383E"/>
    <w:rsid w:val="00F35C51"/>
    <w:rsid w:val="00F36CC5"/>
    <w:rsid w:val="00F36FB2"/>
    <w:rsid w:val="00F4484F"/>
    <w:rsid w:val="00F465A7"/>
    <w:rsid w:val="00F509F7"/>
    <w:rsid w:val="00F50B7C"/>
    <w:rsid w:val="00F54872"/>
    <w:rsid w:val="00F54998"/>
    <w:rsid w:val="00F550E6"/>
    <w:rsid w:val="00F60B9A"/>
    <w:rsid w:val="00F61E87"/>
    <w:rsid w:val="00F63907"/>
    <w:rsid w:val="00F65997"/>
    <w:rsid w:val="00F65AEF"/>
    <w:rsid w:val="00F66055"/>
    <w:rsid w:val="00F66948"/>
    <w:rsid w:val="00F705AF"/>
    <w:rsid w:val="00F725BC"/>
    <w:rsid w:val="00F74345"/>
    <w:rsid w:val="00F75D9E"/>
    <w:rsid w:val="00F765EC"/>
    <w:rsid w:val="00F7665D"/>
    <w:rsid w:val="00F76697"/>
    <w:rsid w:val="00F80A0A"/>
    <w:rsid w:val="00F82B19"/>
    <w:rsid w:val="00F838CC"/>
    <w:rsid w:val="00F83A5E"/>
    <w:rsid w:val="00F8485C"/>
    <w:rsid w:val="00F8572C"/>
    <w:rsid w:val="00F85F1F"/>
    <w:rsid w:val="00F86A9B"/>
    <w:rsid w:val="00F91680"/>
    <w:rsid w:val="00F91882"/>
    <w:rsid w:val="00F91B10"/>
    <w:rsid w:val="00F9212D"/>
    <w:rsid w:val="00F965DA"/>
    <w:rsid w:val="00FA406A"/>
    <w:rsid w:val="00FB0089"/>
    <w:rsid w:val="00FB0928"/>
    <w:rsid w:val="00FB1519"/>
    <w:rsid w:val="00FB503A"/>
    <w:rsid w:val="00FB516C"/>
    <w:rsid w:val="00FB5F38"/>
    <w:rsid w:val="00FB6B1E"/>
    <w:rsid w:val="00FB6E46"/>
    <w:rsid w:val="00FB6E4F"/>
    <w:rsid w:val="00FC0A79"/>
    <w:rsid w:val="00FC0AAE"/>
    <w:rsid w:val="00FC44C6"/>
    <w:rsid w:val="00FC5AA1"/>
    <w:rsid w:val="00FC79FC"/>
    <w:rsid w:val="00FD0236"/>
    <w:rsid w:val="00FD18F4"/>
    <w:rsid w:val="00FD4D3F"/>
    <w:rsid w:val="00FD54DB"/>
    <w:rsid w:val="00FD619F"/>
    <w:rsid w:val="00FD662A"/>
    <w:rsid w:val="00FE3D36"/>
    <w:rsid w:val="00FE4B0D"/>
    <w:rsid w:val="00FF078D"/>
    <w:rsid w:val="00FF2AF5"/>
    <w:rsid w:val="00FF31E4"/>
    <w:rsid w:val="00FF6C1C"/>
    <w:rsid w:val="00FF7EF6"/>
    <w:rsid w:val="01290F7E"/>
    <w:rsid w:val="015D1E09"/>
    <w:rsid w:val="01C805FB"/>
    <w:rsid w:val="01DB6607"/>
    <w:rsid w:val="01EB6573"/>
    <w:rsid w:val="023212B4"/>
    <w:rsid w:val="02380BE4"/>
    <w:rsid w:val="02697903"/>
    <w:rsid w:val="029B72EA"/>
    <w:rsid w:val="02BA0C83"/>
    <w:rsid w:val="02F96569"/>
    <w:rsid w:val="036F7D2F"/>
    <w:rsid w:val="039A1984"/>
    <w:rsid w:val="03DD1CE2"/>
    <w:rsid w:val="03EA7B21"/>
    <w:rsid w:val="043D12BD"/>
    <w:rsid w:val="046B0251"/>
    <w:rsid w:val="057565DB"/>
    <w:rsid w:val="05D11814"/>
    <w:rsid w:val="05F83EAE"/>
    <w:rsid w:val="061F0937"/>
    <w:rsid w:val="063E7D85"/>
    <w:rsid w:val="064712E3"/>
    <w:rsid w:val="065501BC"/>
    <w:rsid w:val="066C559F"/>
    <w:rsid w:val="06A06FF3"/>
    <w:rsid w:val="06C42C37"/>
    <w:rsid w:val="06DA6C92"/>
    <w:rsid w:val="07293586"/>
    <w:rsid w:val="07295285"/>
    <w:rsid w:val="07636392"/>
    <w:rsid w:val="076B1CFB"/>
    <w:rsid w:val="076F271C"/>
    <w:rsid w:val="07770C56"/>
    <w:rsid w:val="07B15F67"/>
    <w:rsid w:val="08123F9D"/>
    <w:rsid w:val="081873C6"/>
    <w:rsid w:val="082C2510"/>
    <w:rsid w:val="085B30EF"/>
    <w:rsid w:val="087B1AC8"/>
    <w:rsid w:val="08AB7092"/>
    <w:rsid w:val="08CF4BFD"/>
    <w:rsid w:val="092217DD"/>
    <w:rsid w:val="093A7294"/>
    <w:rsid w:val="093C56FD"/>
    <w:rsid w:val="0A1D667A"/>
    <w:rsid w:val="0A263993"/>
    <w:rsid w:val="0A2D3AC2"/>
    <w:rsid w:val="0A5C4766"/>
    <w:rsid w:val="0AA755DF"/>
    <w:rsid w:val="0AA84F3F"/>
    <w:rsid w:val="0B120D44"/>
    <w:rsid w:val="0B554854"/>
    <w:rsid w:val="0B667832"/>
    <w:rsid w:val="0BA3509F"/>
    <w:rsid w:val="0BD27BF6"/>
    <w:rsid w:val="0BE82811"/>
    <w:rsid w:val="0C154558"/>
    <w:rsid w:val="0C3B3C7D"/>
    <w:rsid w:val="0CAB2EAE"/>
    <w:rsid w:val="0D3026E0"/>
    <w:rsid w:val="0D621C7D"/>
    <w:rsid w:val="0E4D7679"/>
    <w:rsid w:val="0E73034D"/>
    <w:rsid w:val="0EB2285C"/>
    <w:rsid w:val="0ECC2402"/>
    <w:rsid w:val="0EE401B7"/>
    <w:rsid w:val="0F0C7317"/>
    <w:rsid w:val="0F13775A"/>
    <w:rsid w:val="0F3C6657"/>
    <w:rsid w:val="0F44549B"/>
    <w:rsid w:val="0F4E7F5C"/>
    <w:rsid w:val="0F5F45FE"/>
    <w:rsid w:val="0F9A112B"/>
    <w:rsid w:val="0FA30FAA"/>
    <w:rsid w:val="0FC51A92"/>
    <w:rsid w:val="0FD76747"/>
    <w:rsid w:val="0FDC42FE"/>
    <w:rsid w:val="10691302"/>
    <w:rsid w:val="106D2F64"/>
    <w:rsid w:val="107A12F2"/>
    <w:rsid w:val="10B63710"/>
    <w:rsid w:val="10B93AD7"/>
    <w:rsid w:val="10F10820"/>
    <w:rsid w:val="1115232A"/>
    <w:rsid w:val="111C2F7A"/>
    <w:rsid w:val="11665CA1"/>
    <w:rsid w:val="11A5000B"/>
    <w:rsid w:val="129D6933"/>
    <w:rsid w:val="13816902"/>
    <w:rsid w:val="13951726"/>
    <w:rsid w:val="13FC1F6C"/>
    <w:rsid w:val="140427B0"/>
    <w:rsid w:val="140E497C"/>
    <w:rsid w:val="14396509"/>
    <w:rsid w:val="14620AF7"/>
    <w:rsid w:val="149257D2"/>
    <w:rsid w:val="14AD27DE"/>
    <w:rsid w:val="14DD2C3C"/>
    <w:rsid w:val="14EF5D19"/>
    <w:rsid w:val="155333DF"/>
    <w:rsid w:val="15616CE3"/>
    <w:rsid w:val="156C4FE3"/>
    <w:rsid w:val="157349C9"/>
    <w:rsid w:val="157824C9"/>
    <w:rsid w:val="16087E1D"/>
    <w:rsid w:val="1646581A"/>
    <w:rsid w:val="1706734A"/>
    <w:rsid w:val="17701D14"/>
    <w:rsid w:val="17735226"/>
    <w:rsid w:val="17A6590B"/>
    <w:rsid w:val="17B0322D"/>
    <w:rsid w:val="17E86837"/>
    <w:rsid w:val="181C386D"/>
    <w:rsid w:val="18542205"/>
    <w:rsid w:val="187160C8"/>
    <w:rsid w:val="189F624C"/>
    <w:rsid w:val="18BD1023"/>
    <w:rsid w:val="18DF6C30"/>
    <w:rsid w:val="19096E40"/>
    <w:rsid w:val="192A0951"/>
    <w:rsid w:val="193C6B05"/>
    <w:rsid w:val="193D7446"/>
    <w:rsid w:val="195E3236"/>
    <w:rsid w:val="198657A4"/>
    <w:rsid w:val="19B575F9"/>
    <w:rsid w:val="19F01C5D"/>
    <w:rsid w:val="1A1C66C0"/>
    <w:rsid w:val="1A217C36"/>
    <w:rsid w:val="1A42393B"/>
    <w:rsid w:val="1AAD45DE"/>
    <w:rsid w:val="1AB315F1"/>
    <w:rsid w:val="1AD66850"/>
    <w:rsid w:val="1B046F80"/>
    <w:rsid w:val="1B0D4AA2"/>
    <w:rsid w:val="1B281F85"/>
    <w:rsid w:val="1B3267B5"/>
    <w:rsid w:val="1B40161D"/>
    <w:rsid w:val="1B441859"/>
    <w:rsid w:val="1B6606B1"/>
    <w:rsid w:val="1B6966FD"/>
    <w:rsid w:val="1BEC018E"/>
    <w:rsid w:val="1C186589"/>
    <w:rsid w:val="1C4E0504"/>
    <w:rsid w:val="1C5E7925"/>
    <w:rsid w:val="1C641E54"/>
    <w:rsid w:val="1C8F6853"/>
    <w:rsid w:val="1CFD070F"/>
    <w:rsid w:val="1D5F6196"/>
    <w:rsid w:val="1D6132A5"/>
    <w:rsid w:val="1D8E56D5"/>
    <w:rsid w:val="1DB23AFE"/>
    <w:rsid w:val="1DDB6DDF"/>
    <w:rsid w:val="1E625D9B"/>
    <w:rsid w:val="1E7A43DA"/>
    <w:rsid w:val="1EFC5513"/>
    <w:rsid w:val="1F3832F9"/>
    <w:rsid w:val="1F422EEA"/>
    <w:rsid w:val="1F7E4D84"/>
    <w:rsid w:val="1FA37884"/>
    <w:rsid w:val="1FE10954"/>
    <w:rsid w:val="1FE7539E"/>
    <w:rsid w:val="20671BE0"/>
    <w:rsid w:val="20963CB8"/>
    <w:rsid w:val="20A81A1B"/>
    <w:rsid w:val="20B07FB6"/>
    <w:rsid w:val="20B646FB"/>
    <w:rsid w:val="20F26E6E"/>
    <w:rsid w:val="2125037A"/>
    <w:rsid w:val="213B74B1"/>
    <w:rsid w:val="213D0497"/>
    <w:rsid w:val="215A2310"/>
    <w:rsid w:val="2190727D"/>
    <w:rsid w:val="21B817DA"/>
    <w:rsid w:val="21BF58B1"/>
    <w:rsid w:val="21DE318A"/>
    <w:rsid w:val="21EF5B80"/>
    <w:rsid w:val="22576990"/>
    <w:rsid w:val="227F6294"/>
    <w:rsid w:val="228A1020"/>
    <w:rsid w:val="22F47480"/>
    <w:rsid w:val="2315031F"/>
    <w:rsid w:val="236813D5"/>
    <w:rsid w:val="23A17121"/>
    <w:rsid w:val="23D9668D"/>
    <w:rsid w:val="23DE1C48"/>
    <w:rsid w:val="23DF5214"/>
    <w:rsid w:val="240210CD"/>
    <w:rsid w:val="240F5A90"/>
    <w:rsid w:val="243063B0"/>
    <w:rsid w:val="24BE77F4"/>
    <w:rsid w:val="24BF09F7"/>
    <w:rsid w:val="24CC1BD3"/>
    <w:rsid w:val="24FE1895"/>
    <w:rsid w:val="251C6060"/>
    <w:rsid w:val="252D53FE"/>
    <w:rsid w:val="25317ED6"/>
    <w:rsid w:val="25BF1C4E"/>
    <w:rsid w:val="25EC2D81"/>
    <w:rsid w:val="25F72EDB"/>
    <w:rsid w:val="26084DDF"/>
    <w:rsid w:val="260B52B7"/>
    <w:rsid w:val="26146599"/>
    <w:rsid w:val="26155E67"/>
    <w:rsid w:val="265B5AC3"/>
    <w:rsid w:val="269027B0"/>
    <w:rsid w:val="269F3DCF"/>
    <w:rsid w:val="277057A2"/>
    <w:rsid w:val="27962802"/>
    <w:rsid w:val="27FB5913"/>
    <w:rsid w:val="28054A96"/>
    <w:rsid w:val="284A6334"/>
    <w:rsid w:val="285108C6"/>
    <w:rsid w:val="28780CFF"/>
    <w:rsid w:val="28D35304"/>
    <w:rsid w:val="28E44026"/>
    <w:rsid w:val="29015BC3"/>
    <w:rsid w:val="29206EB8"/>
    <w:rsid w:val="293F2D27"/>
    <w:rsid w:val="29595666"/>
    <w:rsid w:val="29874881"/>
    <w:rsid w:val="29E325E0"/>
    <w:rsid w:val="2A057A12"/>
    <w:rsid w:val="2A452503"/>
    <w:rsid w:val="2A6E211E"/>
    <w:rsid w:val="2A9533B1"/>
    <w:rsid w:val="2AEF7015"/>
    <w:rsid w:val="2B850242"/>
    <w:rsid w:val="2BA936A8"/>
    <w:rsid w:val="2C0003B4"/>
    <w:rsid w:val="2C315A5A"/>
    <w:rsid w:val="2C4B1C25"/>
    <w:rsid w:val="2D1071EE"/>
    <w:rsid w:val="2D9E56F5"/>
    <w:rsid w:val="2D9E5D98"/>
    <w:rsid w:val="2DAE1630"/>
    <w:rsid w:val="2E064746"/>
    <w:rsid w:val="2E241F45"/>
    <w:rsid w:val="2E667F96"/>
    <w:rsid w:val="2E8226AB"/>
    <w:rsid w:val="2F694A2D"/>
    <w:rsid w:val="2FD065E6"/>
    <w:rsid w:val="2FD96870"/>
    <w:rsid w:val="30040A74"/>
    <w:rsid w:val="30580BC9"/>
    <w:rsid w:val="306B4D61"/>
    <w:rsid w:val="30A42B2B"/>
    <w:rsid w:val="311E2ED7"/>
    <w:rsid w:val="313C59EB"/>
    <w:rsid w:val="315619EE"/>
    <w:rsid w:val="315C449C"/>
    <w:rsid w:val="31B82709"/>
    <w:rsid w:val="31BA644D"/>
    <w:rsid w:val="31D05482"/>
    <w:rsid w:val="322C734B"/>
    <w:rsid w:val="32400B34"/>
    <w:rsid w:val="327E3E65"/>
    <w:rsid w:val="329E6876"/>
    <w:rsid w:val="32AC6BA0"/>
    <w:rsid w:val="333015F2"/>
    <w:rsid w:val="334B6320"/>
    <w:rsid w:val="33D934D4"/>
    <w:rsid w:val="33FE2F6A"/>
    <w:rsid w:val="340E07E5"/>
    <w:rsid w:val="34214F71"/>
    <w:rsid w:val="342221A3"/>
    <w:rsid w:val="34235BF7"/>
    <w:rsid w:val="348F2BB4"/>
    <w:rsid w:val="358C5FA8"/>
    <w:rsid w:val="35C15DF1"/>
    <w:rsid w:val="36074A7F"/>
    <w:rsid w:val="36923549"/>
    <w:rsid w:val="36B75FBF"/>
    <w:rsid w:val="36BD0C45"/>
    <w:rsid w:val="37920AE0"/>
    <w:rsid w:val="37DC7873"/>
    <w:rsid w:val="37E00298"/>
    <w:rsid w:val="387147B7"/>
    <w:rsid w:val="38AE7748"/>
    <w:rsid w:val="38B302F9"/>
    <w:rsid w:val="38C96F61"/>
    <w:rsid w:val="38E7521C"/>
    <w:rsid w:val="38ED0E97"/>
    <w:rsid w:val="38F12CD3"/>
    <w:rsid w:val="38F94775"/>
    <w:rsid w:val="392971ED"/>
    <w:rsid w:val="39325651"/>
    <w:rsid w:val="39F81B74"/>
    <w:rsid w:val="3A0E4161"/>
    <w:rsid w:val="3A1D6565"/>
    <w:rsid w:val="3A872856"/>
    <w:rsid w:val="3A9A5AE1"/>
    <w:rsid w:val="3AE15633"/>
    <w:rsid w:val="3B3763D1"/>
    <w:rsid w:val="3B3A024B"/>
    <w:rsid w:val="3B9A0A32"/>
    <w:rsid w:val="3BAC7C11"/>
    <w:rsid w:val="3BB14580"/>
    <w:rsid w:val="3C1263A8"/>
    <w:rsid w:val="3C2A63BA"/>
    <w:rsid w:val="3C2F6E1E"/>
    <w:rsid w:val="3C4F64BA"/>
    <w:rsid w:val="3CC66AB0"/>
    <w:rsid w:val="3CDA245A"/>
    <w:rsid w:val="3D1E06B7"/>
    <w:rsid w:val="3DA43CA0"/>
    <w:rsid w:val="3DAE6844"/>
    <w:rsid w:val="3DDA2813"/>
    <w:rsid w:val="3DE97E94"/>
    <w:rsid w:val="3E6F29CC"/>
    <w:rsid w:val="3EBF3097"/>
    <w:rsid w:val="3EDA0523"/>
    <w:rsid w:val="3F0F2A68"/>
    <w:rsid w:val="3F9566B3"/>
    <w:rsid w:val="40310EF8"/>
    <w:rsid w:val="406C1809"/>
    <w:rsid w:val="407A6407"/>
    <w:rsid w:val="40C269AC"/>
    <w:rsid w:val="40DD050C"/>
    <w:rsid w:val="40EE1D27"/>
    <w:rsid w:val="411832AA"/>
    <w:rsid w:val="414C7204"/>
    <w:rsid w:val="41B4239C"/>
    <w:rsid w:val="41D47C37"/>
    <w:rsid w:val="41E171E2"/>
    <w:rsid w:val="4200449D"/>
    <w:rsid w:val="422500C3"/>
    <w:rsid w:val="423A3BCC"/>
    <w:rsid w:val="424E57D2"/>
    <w:rsid w:val="42991E00"/>
    <w:rsid w:val="42A8493D"/>
    <w:rsid w:val="42B26C49"/>
    <w:rsid w:val="433A6FE6"/>
    <w:rsid w:val="43480868"/>
    <w:rsid w:val="4350713C"/>
    <w:rsid w:val="436653E0"/>
    <w:rsid w:val="43724E80"/>
    <w:rsid w:val="43B21943"/>
    <w:rsid w:val="43BF5F29"/>
    <w:rsid w:val="43C4431A"/>
    <w:rsid w:val="442717D6"/>
    <w:rsid w:val="444775BF"/>
    <w:rsid w:val="44B07389"/>
    <w:rsid w:val="44B951CC"/>
    <w:rsid w:val="44CD14E0"/>
    <w:rsid w:val="44F20B0B"/>
    <w:rsid w:val="44F40C52"/>
    <w:rsid w:val="45184464"/>
    <w:rsid w:val="452E5F4C"/>
    <w:rsid w:val="45612018"/>
    <w:rsid w:val="458301F7"/>
    <w:rsid w:val="458946E9"/>
    <w:rsid w:val="45A47C0E"/>
    <w:rsid w:val="45BA11A7"/>
    <w:rsid w:val="45DC72B4"/>
    <w:rsid w:val="464E1FF0"/>
    <w:rsid w:val="464E6206"/>
    <w:rsid w:val="46577FD6"/>
    <w:rsid w:val="466A79C1"/>
    <w:rsid w:val="466D0601"/>
    <w:rsid w:val="467E3E39"/>
    <w:rsid w:val="46D955A7"/>
    <w:rsid w:val="46E808CE"/>
    <w:rsid w:val="47133957"/>
    <w:rsid w:val="47A07E0C"/>
    <w:rsid w:val="47DA56B5"/>
    <w:rsid w:val="48211A01"/>
    <w:rsid w:val="48284345"/>
    <w:rsid w:val="484C0E78"/>
    <w:rsid w:val="4870272E"/>
    <w:rsid w:val="48B616C0"/>
    <w:rsid w:val="492C413F"/>
    <w:rsid w:val="495B457E"/>
    <w:rsid w:val="49701BFB"/>
    <w:rsid w:val="49DC7715"/>
    <w:rsid w:val="4A023139"/>
    <w:rsid w:val="4A1D1B52"/>
    <w:rsid w:val="4A7B2700"/>
    <w:rsid w:val="4A7B576F"/>
    <w:rsid w:val="4AE71630"/>
    <w:rsid w:val="4AF561A9"/>
    <w:rsid w:val="4BB9615E"/>
    <w:rsid w:val="4BDD6C8D"/>
    <w:rsid w:val="4BF123EB"/>
    <w:rsid w:val="4BFC4551"/>
    <w:rsid w:val="4C197B01"/>
    <w:rsid w:val="4C40062D"/>
    <w:rsid w:val="4C4A0649"/>
    <w:rsid w:val="4C7458E4"/>
    <w:rsid w:val="4C7E5ECA"/>
    <w:rsid w:val="4C876AA5"/>
    <w:rsid w:val="4D0E00FB"/>
    <w:rsid w:val="4D176606"/>
    <w:rsid w:val="4D6D21FE"/>
    <w:rsid w:val="4D707923"/>
    <w:rsid w:val="4DEC4FB0"/>
    <w:rsid w:val="4DED6593"/>
    <w:rsid w:val="4DFC67D6"/>
    <w:rsid w:val="4E075D8A"/>
    <w:rsid w:val="4EAB4B9D"/>
    <w:rsid w:val="4EC00FAD"/>
    <w:rsid w:val="4ED9366C"/>
    <w:rsid w:val="4EE21ECA"/>
    <w:rsid w:val="4F2E637B"/>
    <w:rsid w:val="4F344D9D"/>
    <w:rsid w:val="4F9843DC"/>
    <w:rsid w:val="4FA41030"/>
    <w:rsid w:val="4FC62A8C"/>
    <w:rsid w:val="4FE20F0D"/>
    <w:rsid w:val="4FE51552"/>
    <w:rsid w:val="50504C4B"/>
    <w:rsid w:val="507449D3"/>
    <w:rsid w:val="509949FD"/>
    <w:rsid w:val="509C6E7C"/>
    <w:rsid w:val="50BF7A7A"/>
    <w:rsid w:val="50CA5DEA"/>
    <w:rsid w:val="50DD342B"/>
    <w:rsid w:val="50DE6D1A"/>
    <w:rsid w:val="5162104E"/>
    <w:rsid w:val="518054B0"/>
    <w:rsid w:val="51BD5D03"/>
    <w:rsid w:val="51DE668D"/>
    <w:rsid w:val="534A6FA4"/>
    <w:rsid w:val="5358625C"/>
    <w:rsid w:val="53A039CC"/>
    <w:rsid w:val="53A1505A"/>
    <w:rsid w:val="53AC5D0B"/>
    <w:rsid w:val="53C6487E"/>
    <w:rsid w:val="53D0279F"/>
    <w:rsid w:val="54063E08"/>
    <w:rsid w:val="543437E8"/>
    <w:rsid w:val="545729B8"/>
    <w:rsid w:val="54815C87"/>
    <w:rsid w:val="54930F14"/>
    <w:rsid w:val="54A85CA5"/>
    <w:rsid w:val="54F73313"/>
    <w:rsid w:val="54F80955"/>
    <w:rsid w:val="54FF12D2"/>
    <w:rsid w:val="55496C8E"/>
    <w:rsid w:val="555170A7"/>
    <w:rsid w:val="555C21C0"/>
    <w:rsid w:val="5587536D"/>
    <w:rsid w:val="559B174B"/>
    <w:rsid w:val="55CE0CF4"/>
    <w:rsid w:val="560A7D65"/>
    <w:rsid w:val="5647080A"/>
    <w:rsid w:val="568A3A50"/>
    <w:rsid w:val="56925F29"/>
    <w:rsid w:val="56B22A9C"/>
    <w:rsid w:val="576C6E7C"/>
    <w:rsid w:val="57990C47"/>
    <w:rsid w:val="57B72A76"/>
    <w:rsid w:val="57C3426C"/>
    <w:rsid w:val="57CE1F93"/>
    <w:rsid w:val="583D0CD3"/>
    <w:rsid w:val="588743D1"/>
    <w:rsid w:val="5887701A"/>
    <w:rsid w:val="58DD7CCA"/>
    <w:rsid w:val="58DE293A"/>
    <w:rsid w:val="58E94B31"/>
    <w:rsid w:val="58F76517"/>
    <w:rsid w:val="59320BAA"/>
    <w:rsid w:val="59A73F4E"/>
    <w:rsid w:val="59AF533B"/>
    <w:rsid w:val="59C0439F"/>
    <w:rsid w:val="59C80F8B"/>
    <w:rsid w:val="59D15848"/>
    <w:rsid w:val="5A691B01"/>
    <w:rsid w:val="5AA25D51"/>
    <w:rsid w:val="5ABE2233"/>
    <w:rsid w:val="5AFC43ED"/>
    <w:rsid w:val="5BB34426"/>
    <w:rsid w:val="5BD41AA1"/>
    <w:rsid w:val="5BDF5D95"/>
    <w:rsid w:val="5BE8230B"/>
    <w:rsid w:val="5BFE7528"/>
    <w:rsid w:val="5C675762"/>
    <w:rsid w:val="5D3D68F3"/>
    <w:rsid w:val="5DB44CC9"/>
    <w:rsid w:val="5E152060"/>
    <w:rsid w:val="5E2467F1"/>
    <w:rsid w:val="5E332C8F"/>
    <w:rsid w:val="5E4E48FE"/>
    <w:rsid w:val="5E58028E"/>
    <w:rsid w:val="5E5A09FE"/>
    <w:rsid w:val="5E737800"/>
    <w:rsid w:val="5E8E099A"/>
    <w:rsid w:val="5F1A2B43"/>
    <w:rsid w:val="5FB837BB"/>
    <w:rsid w:val="60203BD9"/>
    <w:rsid w:val="608F69BE"/>
    <w:rsid w:val="60CC405A"/>
    <w:rsid w:val="611D18F5"/>
    <w:rsid w:val="61872AAC"/>
    <w:rsid w:val="61B50D01"/>
    <w:rsid w:val="61D845BF"/>
    <w:rsid w:val="61E215D8"/>
    <w:rsid w:val="621B3775"/>
    <w:rsid w:val="62364782"/>
    <w:rsid w:val="623E089F"/>
    <w:rsid w:val="625322C6"/>
    <w:rsid w:val="62CF4FE9"/>
    <w:rsid w:val="62EF5DEA"/>
    <w:rsid w:val="635B593E"/>
    <w:rsid w:val="63617753"/>
    <w:rsid w:val="6394356A"/>
    <w:rsid w:val="639E2E74"/>
    <w:rsid w:val="63C61B2C"/>
    <w:rsid w:val="63D40BE9"/>
    <w:rsid w:val="64102431"/>
    <w:rsid w:val="64884F1E"/>
    <w:rsid w:val="64A5243A"/>
    <w:rsid w:val="64B02DAF"/>
    <w:rsid w:val="64DA2F8E"/>
    <w:rsid w:val="64F531DE"/>
    <w:rsid w:val="65373578"/>
    <w:rsid w:val="65D10C04"/>
    <w:rsid w:val="671F124A"/>
    <w:rsid w:val="674020CB"/>
    <w:rsid w:val="67562FA5"/>
    <w:rsid w:val="677A33C6"/>
    <w:rsid w:val="68077CEE"/>
    <w:rsid w:val="681F6961"/>
    <w:rsid w:val="68610A2F"/>
    <w:rsid w:val="68805514"/>
    <w:rsid w:val="689B2B5B"/>
    <w:rsid w:val="68A056C2"/>
    <w:rsid w:val="69316E2F"/>
    <w:rsid w:val="694E2071"/>
    <w:rsid w:val="69766163"/>
    <w:rsid w:val="697A3B33"/>
    <w:rsid w:val="699A7177"/>
    <w:rsid w:val="69A14651"/>
    <w:rsid w:val="69D44760"/>
    <w:rsid w:val="6A1966AD"/>
    <w:rsid w:val="6A285A8B"/>
    <w:rsid w:val="6A520EC7"/>
    <w:rsid w:val="6A9F0949"/>
    <w:rsid w:val="6AF87E20"/>
    <w:rsid w:val="6AF917A8"/>
    <w:rsid w:val="6B322639"/>
    <w:rsid w:val="6BB34832"/>
    <w:rsid w:val="6BD57676"/>
    <w:rsid w:val="6C057427"/>
    <w:rsid w:val="6C636C38"/>
    <w:rsid w:val="6C6A310A"/>
    <w:rsid w:val="6C7034FF"/>
    <w:rsid w:val="6D035033"/>
    <w:rsid w:val="6D1130A1"/>
    <w:rsid w:val="6D8F6F8C"/>
    <w:rsid w:val="6DB34098"/>
    <w:rsid w:val="6DB545B6"/>
    <w:rsid w:val="6DCA1358"/>
    <w:rsid w:val="6DD152D7"/>
    <w:rsid w:val="6DDE49AA"/>
    <w:rsid w:val="6DE02FB4"/>
    <w:rsid w:val="6DE170D3"/>
    <w:rsid w:val="6E2E63BC"/>
    <w:rsid w:val="6E514CED"/>
    <w:rsid w:val="6EAE7445"/>
    <w:rsid w:val="6EAF7543"/>
    <w:rsid w:val="6EB563D5"/>
    <w:rsid w:val="6ED92677"/>
    <w:rsid w:val="6F225983"/>
    <w:rsid w:val="6F2A3673"/>
    <w:rsid w:val="6F572DF1"/>
    <w:rsid w:val="6F7E4E45"/>
    <w:rsid w:val="6FC36D6A"/>
    <w:rsid w:val="6FE0644F"/>
    <w:rsid w:val="6FF01DE6"/>
    <w:rsid w:val="6FFC5590"/>
    <w:rsid w:val="704A0BFA"/>
    <w:rsid w:val="706D1DD0"/>
    <w:rsid w:val="70856B87"/>
    <w:rsid w:val="70CB37D6"/>
    <w:rsid w:val="70D527EE"/>
    <w:rsid w:val="712717C3"/>
    <w:rsid w:val="715B5300"/>
    <w:rsid w:val="71C00102"/>
    <w:rsid w:val="71D27F8A"/>
    <w:rsid w:val="71E15D8B"/>
    <w:rsid w:val="71E30C13"/>
    <w:rsid w:val="722A6089"/>
    <w:rsid w:val="723B5434"/>
    <w:rsid w:val="72553024"/>
    <w:rsid w:val="72A10970"/>
    <w:rsid w:val="72DC7202"/>
    <w:rsid w:val="72DC77F4"/>
    <w:rsid w:val="72ED6D70"/>
    <w:rsid w:val="73122968"/>
    <w:rsid w:val="731F5D5E"/>
    <w:rsid w:val="733E1E33"/>
    <w:rsid w:val="734343DB"/>
    <w:rsid w:val="73556DFC"/>
    <w:rsid w:val="7375655F"/>
    <w:rsid w:val="73C51AD5"/>
    <w:rsid w:val="73CE64F3"/>
    <w:rsid w:val="73F73278"/>
    <w:rsid w:val="740A0F64"/>
    <w:rsid w:val="741E793C"/>
    <w:rsid w:val="745E3944"/>
    <w:rsid w:val="74814513"/>
    <w:rsid w:val="749D0321"/>
    <w:rsid w:val="74D41773"/>
    <w:rsid w:val="74D776D1"/>
    <w:rsid w:val="7635099D"/>
    <w:rsid w:val="763E4932"/>
    <w:rsid w:val="767945B8"/>
    <w:rsid w:val="76AE2521"/>
    <w:rsid w:val="76E6249C"/>
    <w:rsid w:val="77393438"/>
    <w:rsid w:val="77571EA9"/>
    <w:rsid w:val="77736D23"/>
    <w:rsid w:val="77762421"/>
    <w:rsid w:val="77B35198"/>
    <w:rsid w:val="77B56B1F"/>
    <w:rsid w:val="780F09F4"/>
    <w:rsid w:val="78A90480"/>
    <w:rsid w:val="78EA5FA7"/>
    <w:rsid w:val="79006201"/>
    <w:rsid w:val="79174B03"/>
    <w:rsid w:val="7A364017"/>
    <w:rsid w:val="7A780332"/>
    <w:rsid w:val="7A8265E1"/>
    <w:rsid w:val="7B0F54EB"/>
    <w:rsid w:val="7B3034AD"/>
    <w:rsid w:val="7B524355"/>
    <w:rsid w:val="7B61652D"/>
    <w:rsid w:val="7B686D42"/>
    <w:rsid w:val="7B841746"/>
    <w:rsid w:val="7B9A36F9"/>
    <w:rsid w:val="7C311644"/>
    <w:rsid w:val="7C392BD6"/>
    <w:rsid w:val="7C4A128A"/>
    <w:rsid w:val="7C6C5AC7"/>
    <w:rsid w:val="7CA122FD"/>
    <w:rsid w:val="7CC6544B"/>
    <w:rsid w:val="7D0239FF"/>
    <w:rsid w:val="7D092E85"/>
    <w:rsid w:val="7D5E40CD"/>
    <w:rsid w:val="7D866B4A"/>
    <w:rsid w:val="7DCD56F2"/>
    <w:rsid w:val="7EAB7016"/>
    <w:rsid w:val="7EEF2370"/>
    <w:rsid w:val="7F001CE7"/>
    <w:rsid w:val="7F565E98"/>
    <w:rsid w:val="7F700A47"/>
    <w:rsid w:val="7F74591C"/>
    <w:rsid w:val="7F7C02FF"/>
    <w:rsid w:val="7FA31160"/>
    <w:rsid w:val="7FD16924"/>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qFormat/>
    <w:locked/>
    <w:uiPriority w:val="0"/>
    <w:pPr>
      <w:keepNext/>
      <w:keepLines/>
      <w:spacing w:before="260" w:after="260" w:line="416" w:lineRule="auto"/>
      <w:outlineLvl w:val="2"/>
    </w:pPr>
    <w:rPr>
      <w:b/>
      <w:bCs/>
      <w:sz w:val="32"/>
      <w:szCs w:val="32"/>
    </w:rPr>
  </w:style>
  <w:style w:type="paragraph" w:styleId="4">
    <w:name w:val="heading 4"/>
    <w:basedOn w:val="1"/>
    <w:next w:val="1"/>
    <w:autoRedefine/>
    <w:semiHidden/>
    <w:unhideWhenUsed/>
    <w:qFormat/>
    <w:locked/>
    <w:uiPriority w:val="0"/>
    <w:pPr>
      <w:spacing w:beforeAutospacing="1" w:afterAutospacing="1"/>
      <w:jc w:val="left"/>
      <w:outlineLvl w:val="3"/>
    </w:pPr>
    <w:rPr>
      <w:rFonts w:hint="eastAsia" w:ascii="宋体" w:hAnsi="宋体"/>
      <w:b/>
      <w:bCs/>
      <w:kern w:val="0"/>
      <w:sz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53"/>
    <w:autoRedefine/>
    <w:qFormat/>
    <w:locked/>
    <w:uiPriority w:val="0"/>
    <w:rPr>
      <w:rFonts w:ascii="宋体"/>
      <w:sz w:val="18"/>
      <w:szCs w:val="18"/>
    </w:rPr>
  </w:style>
  <w:style w:type="paragraph" w:styleId="6">
    <w:name w:val="annotation text"/>
    <w:basedOn w:val="1"/>
    <w:link w:val="35"/>
    <w:autoRedefine/>
    <w:semiHidden/>
    <w:qFormat/>
    <w:uiPriority w:val="0"/>
    <w:pPr>
      <w:jc w:val="left"/>
    </w:pPr>
    <w:rPr>
      <w:kern w:val="0"/>
      <w:sz w:val="24"/>
      <w:szCs w:val="20"/>
    </w:rPr>
  </w:style>
  <w:style w:type="paragraph" w:styleId="7">
    <w:name w:val="Body Text"/>
    <w:basedOn w:val="1"/>
    <w:next w:val="1"/>
    <w:link w:val="34"/>
    <w:autoRedefine/>
    <w:qFormat/>
    <w:uiPriority w:val="0"/>
    <w:pPr>
      <w:widowControl/>
      <w:snapToGrid w:val="0"/>
      <w:spacing w:before="60" w:after="160" w:line="259" w:lineRule="auto"/>
      <w:ind w:right="113"/>
    </w:pPr>
    <w:rPr>
      <w:kern w:val="0"/>
      <w:sz w:val="18"/>
      <w:szCs w:val="20"/>
    </w:rPr>
  </w:style>
  <w:style w:type="paragraph" w:styleId="8">
    <w:name w:val="Body Text Indent"/>
    <w:basedOn w:val="1"/>
    <w:next w:val="1"/>
    <w:link w:val="43"/>
    <w:autoRedefine/>
    <w:qFormat/>
    <w:uiPriority w:val="0"/>
    <w:pPr>
      <w:spacing w:after="120"/>
      <w:ind w:left="420" w:leftChars="200"/>
    </w:pPr>
    <w:rPr>
      <w:kern w:val="0"/>
      <w:sz w:val="24"/>
      <w:szCs w:val="20"/>
    </w:rPr>
  </w:style>
  <w:style w:type="paragraph" w:styleId="9">
    <w:name w:val="Block Text"/>
    <w:basedOn w:val="1"/>
    <w:autoRedefine/>
    <w:qFormat/>
    <w:locked/>
    <w:uiPriority w:val="0"/>
    <w:pPr>
      <w:spacing w:before="120"/>
      <w:ind w:left="113" w:right="113"/>
    </w:pPr>
    <w:rPr>
      <w:rFonts w:ascii="Arial" w:hAnsi="Arial"/>
      <w:kern w:val="24"/>
      <w:sz w:val="24"/>
    </w:rPr>
  </w:style>
  <w:style w:type="paragraph" w:styleId="10">
    <w:name w:val="Plain Text"/>
    <w:basedOn w:val="1"/>
    <w:link w:val="47"/>
    <w:autoRedefine/>
    <w:qFormat/>
    <w:locked/>
    <w:uiPriority w:val="0"/>
    <w:pPr>
      <w:autoSpaceDE w:val="0"/>
      <w:autoSpaceDN w:val="0"/>
      <w:adjustRightInd w:val="0"/>
      <w:spacing w:line="440" w:lineRule="atLeast"/>
      <w:ind w:firstLine="425"/>
    </w:pPr>
    <w:rPr>
      <w:rFonts w:ascii="宋体"/>
      <w:kern w:val="0"/>
      <w:sz w:val="28"/>
      <w:szCs w:val="20"/>
    </w:rPr>
  </w:style>
  <w:style w:type="paragraph" w:styleId="11">
    <w:name w:val="List Bullet 5"/>
    <w:basedOn w:val="1"/>
    <w:autoRedefine/>
    <w:qFormat/>
    <w:locked/>
    <w:uiPriority w:val="0"/>
    <w:pPr>
      <w:numPr>
        <w:ilvl w:val="0"/>
        <w:numId w:val="1"/>
      </w:numPr>
    </w:pPr>
  </w:style>
  <w:style w:type="paragraph" w:styleId="12">
    <w:name w:val="Date"/>
    <w:basedOn w:val="1"/>
    <w:next w:val="1"/>
    <w:link w:val="30"/>
    <w:autoRedefine/>
    <w:qFormat/>
    <w:uiPriority w:val="0"/>
    <w:pPr>
      <w:ind w:left="100" w:leftChars="2500"/>
    </w:pPr>
    <w:rPr>
      <w:kern w:val="0"/>
      <w:sz w:val="24"/>
      <w:szCs w:val="20"/>
    </w:rPr>
  </w:style>
  <w:style w:type="paragraph" w:styleId="13">
    <w:name w:val="Body Text Indent 2"/>
    <w:basedOn w:val="1"/>
    <w:autoRedefine/>
    <w:qFormat/>
    <w:locked/>
    <w:uiPriority w:val="0"/>
    <w:pPr>
      <w:spacing w:after="120" w:line="480" w:lineRule="auto"/>
      <w:ind w:left="420" w:leftChars="200"/>
    </w:pPr>
  </w:style>
  <w:style w:type="paragraph" w:styleId="14">
    <w:name w:val="Balloon Text"/>
    <w:basedOn w:val="1"/>
    <w:link w:val="39"/>
    <w:autoRedefine/>
    <w:semiHidden/>
    <w:qFormat/>
    <w:uiPriority w:val="0"/>
    <w:rPr>
      <w:kern w:val="0"/>
      <w:sz w:val="18"/>
      <w:szCs w:val="20"/>
    </w:rPr>
  </w:style>
  <w:style w:type="paragraph" w:styleId="15">
    <w:name w:val="footer"/>
    <w:basedOn w:val="1"/>
    <w:link w:val="29"/>
    <w:autoRedefine/>
    <w:qFormat/>
    <w:uiPriority w:val="99"/>
    <w:pPr>
      <w:tabs>
        <w:tab w:val="center" w:pos="4153"/>
        <w:tab w:val="right" w:pos="8306"/>
      </w:tabs>
      <w:snapToGrid w:val="0"/>
      <w:jc w:val="left"/>
    </w:pPr>
    <w:rPr>
      <w:kern w:val="0"/>
      <w:sz w:val="18"/>
      <w:szCs w:val="20"/>
    </w:rPr>
  </w:style>
  <w:style w:type="paragraph" w:styleId="16">
    <w:name w:val="header"/>
    <w:basedOn w:val="1"/>
    <w:link w:val="4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autoRedefine/>
    <w:qFormat/>
    <w:locked/>
    <w:uiPriority w:val="0"/>
  </w:style>
  <w:style w:type="paragraph" w:styleId="18">
    <w:name w:val="Body Text Indent 3"/>
    <w:basedOn w:val="1"/>
    <w:link w:val="58"/>
    <w:autoRedefine/>
    <w:qFormat/>
    <w:locked/>
    <w:uiPriority w:val="0"/>
    <w:pPr>
      <w:spacing w:after="120"/>
      <w:ind w:left="420" w:leftChars="200"/>
    </w:pPr>
    <w:rPr>
      <w:sz w:val="16"/>
      <w:szCs w:val="16"/>
    </w:rPr>
  </w:style>
  <w:style w:type="paragraph" w:styleId="19">
    <w:name w:val="Normal (Web)"/>
    <w:basedOn w:val="1"/>
    <w:link w:val="32"/>
    <w:autoRedefine/>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6"/>
    <w:next w:val="6"/>
    <w:link w:val="40"/>
    <w:autoRedefine/>
    <w:semiHidden/>
    <w:qFormat/>
    <w:uiPriority w:val="0"/>
    <w:rPr>
      <w:b/>
      <w:kern w:val="2"/>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locked/>
    <w:uiPriority w:val="0"/>
    <w:rPr>
      <w:b/>
    </w:rPr>
  </w:style>
  <w:style w:type="character" w:styleId="25">
    <w:name w:val="page number"/>
    <w:basedOn w:val="23"/>
    <w:autoRedefine/>
    <w:qFormat/>
    <w:locked/>
    <w:uiPriority w:val="0"/>
  </w:style>
  <w:style w:type="character" w:styleId="26">
    <w:name w:val="Hyperlink"/>
    <w:basedOn w:val="23"/>
    <w:autoRedefine/>
    <w:qFormat/>
    <w:locked/>
    <w:uiPriority w:val="0"/>
    <w:rPr>
      <w:color w:val="0000FF"/>
      <w:u w:val="single"/>
    </w:rPr>
  </w:style>
  <w:style w:type="character" w:styleId="27">
    <w:name w:val="annotation reference"/>
    <w:autoRedefine/>
    <w:qFormat/>
    <w:uiPriority w:val="0"/>
    <w:rPr>
      <w:sz w:val="21"/>
    </w:rPr>
  </w:style>
  <w:style w:type="paragraph" w:customStyle="1" w:styleId="28">
    <w:name w:val="本文正文"/>
    <w:basedOn w:val="1"/>
    <w:autoRedefine/>
    <w:qFormat/>
    <w:uiPriority w:val="99"/>
    <w:pPr>
      <w:ind w:firstLine="480" w:firstLineChars="200"/>
    </w:pPr>
  </w:style>
  <w:style w:type="character" w:customStyle="1" w:styleId="29">
    <w:name w:val="页脚 Char"/>
    <w:link w:val="15"/>
    <w:autoRedefine/>
    <w:qFormat/>
    <w:locked/>
    <w:uiPriority w:val="99"/>
    <w:rPr>
      <w:sz w:val="18"/>
    </w:rPr>
  </w:style>
  <w:style w:type="character" w:customStyle="1" w:styleId="30">
    <w:name w:val="日期 Char"/>
    <w:link w:val="12"/>
    <w:autoRedefine/>
    <w:qFormat/>
    <w:locked/>
    <w:uiPriority w:val="0"/>
    <w:rPr>
      <w:rFonts w:ascii="Times New Roman" w:hAnsi="Times New Roman" w:eastAsia="宋体"/>
      <w:sz w:val="24"/>
    </w:rPr>
  </w:style>
  <w:style w:type="character" w:customStyle="1" w:styleId="31">
    <w:name w:val="页脚 字符"/>
    <w:basedOn w:val="23"/>
    <w:autoRedefine/>
    <w:qFormat/>
    <w:uiPriority w:val="99"/>
  </w:style>
  <w:style w:type="character" w:customStyle="1" w:styleId="32">
    <w:name w:val="普通(网站) Char"/>
    <w:link w:val="19"/>
    <w:autoRedefine/>
    <w:qFormat/>
    <w:locked/>
    <w:uiPriority w:val="0"/>
    <w:rPr>
      <w:rFonts w:ascii="宋体" w:hAnsi="宋体" w:eastAsia="宋体"/>
      <w:sz w:val="24"/>
    </w:rPr>
  </w:style>
  <w:style w:type="character" w:customStyle="1" w:styleId="33">
    <w:name w:val="正文文本 字符1"/>
    <w:autoRedefine/>
    <w:semiHidden/>
    <w:qFormat/>
    <w:uiPriority w:val="0"/>
    <w:rPr>
      <w:rFonts w:ascii="Times New Roman" w:hAnsi="Times New Roman" w:eastAsia="宋体"/>
      <w:sz w:val="24"/>
    </w:rPr>
  </w:style>
  <w:style w:type="character" w:customStyle="1" w:styleId="34">
    <w:name w:val="正文文本 Char"/>
    <w:link w:val="7"/>
    <w:autoRedefine/>
    <w:qFormat/>
    <w:locked/>
    <w:uiPriority w:val="0"/>
    <w:rPr>
      <w:sz w:val="18"/>
    </w:rPr>
  </w:style>
  <w:style w:type="character" w:customStyle="1" w:styleId="35">
    <w:name w:val="批注文字 Char"/>
    <w:link w:val="6"/>
    <w:autoRedefine/>
    <w:qFormat/>
    <w:locked/>
    <w:uiPriority w:val="0"/>
    <w:rPr>
      <w:rFonts w:ascii="Times New Roman" w:hAnsi="Times New Roman" w:eastAsia="宋体"/>
      <w:sz w:val="24"/>
    </w:rPr>
  </w:style>
  <w:style w:type="character" w:customStyle="1" w:styleId="36">
    <w:name w:val="表格 Char"/>
    <w:link w:val="37"/>
    <w:autoRedefine/>
    <w:qFormat/>
    <w:locked/>
    <w:uiPriority w:val="0"/>
    <w:rPr>
      <w:rFonts w:ascii="宋体"/>
      <w:sz w:val="21"/>
    </w:rPr>
  </w:style>
  <w:style w:type="paragraph" w:customStyle="1" w:styleId="37">
    <w:name w:val="表格"/>
    <w:basedOn w:val="1"/>
    <w:next w:val="1"/>
    <w:link w:val="36"/>
    <w:autoRedefine/>
    <w:qFormat/>
    <w:uiPriority w:val="0"/>
    <w:pPr>
      <w:adjustRightInd w:val="0"/>
      <w:snapToGrid w:val="0"/>
      <w:spacing w:beforeLines="19" w:afterLines="19" w:line="259" w:lineRule="auto"/>
      <w:jc w:val="center"/>
    </w:pPr>
    <w:rPr>
      <w:rFonts w:ascii="宋体"/>
      <w:kern w:val="0"/>
      <w:szCs w:val="20"/>
    </w:rPr>
  </w:style>
  <w:style w:type="character" w:customStyle="1" w:styleId="38">
    <w:name w:val="日期 字符"/>
    <w:autoRedefine/>
    <w:semiHidden/>
    <w:qFormat/>
    <w:uiPriority w:val="0"/>
    <w:rPr>
      <w:rFonts w:ascii="Times New Roman" w:hAnsi="Times New Roman" w:eastAsia="宋体"/>
      <w:sz w:val="24"/>
    </w:rPr>
  </w:style>
  <w:style w:type="character" w:customStyle="1" w:styleId="39">
    <w:name w:val="批注框文本 Char"/>
    <w:link w:val="14"/>
    <w:autoRedefine/>
    <w:semiHidden/>
    <w:qFormat/>
    <w:locked/>
    <w:uiPriority w:val="0"/>
    <w:rPr>
      <w:rFonts w:ascii="Times New Roman" w:hAnsi="Times New Roman" w:eastAsia="宋体"/>
      <w:sz w:val="18"/>
    </w:rPr>
  </w:style>
  <w:style w:type="character" w:customStyle="1" w:styleId="40">
    <w:name w:val="批注主题 Char"/>
    <w:link w:val="20"/>
    <w:autoRedefine/>
    <w:semiHidden/>
    <w:qFormat/>
    <w:locked/>
    <w:uiPriority w:val="0"/>
    <w:rPr>
      <w:rFonts w:ascii="Times New Roman" w:hAnsi="Times New Roman" w:eastAsia="宋体"/>
      <w:b/>
      <w:kern w:val="2"/>
      <w:sz w:val="24"/>
    </w:rPr>
  </w:style>
  <w:style w:type="character" w:customStyle="1" w:styleId="41">
    <w:name w:val="页眉 Char"/>
    <w:link w:val="16"/>
    <w:autoRedefine/>
    <w:qFormat/>
    <w:locked/>
    <w:uiPriority w:val="0"/>
    <w:rPr>
      <w:sz w:val="18"/>
    </w:rPr>
  </w:style>
  <w:style w:type="character" w:customStyle="1" w:styleId="42">
    <w:name w:val="批注文字 字符1"/>
    <w:autoRedefine/>
    <w:semiHidden/>
    <w:qFormat/>
    <w:uiPriority w:val="0"/>
    <w:rPr>
      <w:rFonts w:ascii="Times New Roman" w:hAnsi="Times New Roman" w:eastAsia="宋体"/>
      <w:sz w:val="24"/>
    </w:rPr>
  </w:style>
  <w:style w:type="character" w:customStyle="1" w:styleId="43">
    <w:name w:val="正文文本缩进 Char"/>
    <w:link w:val="8"/>
    <w:autoRedefine/>
    <w:semiHidden/>
    <w:qFormat/>
    <w:locked/>
    <w:uiPriority w:val="0"/>
    <w:rPr>
      <w:rFonts w:ascii="Times New Roman" w:hAnsi="Times New Roman" w:eastAsia="宋体"/>
      <w:sz w:val="24"/>
    </w:rPr>
  </w:style>
  <w:style w:type="paragraph" w:customStyle="1" w:styleId="4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6">
    <w:name w:val="表前文字"/>
    <w:basedOn w:val="1"/>
    <w:autoRedefine/>
    <w:qFormat/>
    <w:uiPriority w:val="0"/>
    <w:pPr>
      <w:snapToGrid w:val="0"/>
    </w:pPr>
    <w:rPr>
      <w:rFonts w:hAnsi="宋体"/>
      <w:color w:val="FF0000"/>
      <w:kern w:val="28"/>
      <w:szCs w:val="20"/>
    </w:rPr>
  </w:style>
  <w:style w:type="character" w:customStyle="1" w:styleId="47">
    <w:name w:val="纯文本 Char"/>
    <w:link w:val="10"/>
    <w:autoRedefine/>
    <w:qFormat/>
    <w:uiPriority w:val="0"/>
    <w:rPr>
      <w:rFonts w:ascii="宋体" w:hAnsi="Times New Roman"/>
      <w:sz w:val="28"/>
    </w:rPr>
  </w:style>
  <w:style w:type="character" w:customStyle="1" w:styleId="48">
    <w:name w:val="纯文本 Char1"/>
    <w:basedOn w:val="23"/>
    <w:autoRedefine/>
    <w:qFormat/>
    <w:uiPriority w:val="0"/>
    <w:rPr>
      <w:rFonts w:ascii="宋体" w:hAnsi="Courier New" w:cs="Courier New"/>
      <w:kern w:val="2"/>
      <w:sz w:val="21"/>
      <w:szCs w:val="21"/>
    </w:rPr>
  </w:style>
  <w:style w:type="paragraph" w:customStyle="1" w:styleId="49">
    <w:name w:val="样式 自动设置"/>
    <w:basedOn w:val="1"/>
    <w:link w:val="50"/>
    <w:autoRedefine/>
    <w:qFormat/>
    <w:uiPriority w:val="0"/>
    <w:pPr>
      <w:autoSpaceDE w:val="0"/>
      <w:autoSpaceDN w:val="0"/>
      <w:adjustRightInd w:val="0"/>
      <w:snapToGrid w:val="0"/>
      <w:spacing w:beforeLines="50" w:line="288" w:lineRule="auto"/>
      <w:ind w:firstLine="200" w:firstLineChars="200"/>
    </w:pPr>
    <w:rPr>
      <w:rFonts w:ascii="Calibri" w:hAnsi="Calibri"/>
      <w:sz w:val="24"/>
    </w:rPr>
  </w:style>
  <w:style w:type="character" w:customStyle="1" w:styleId="50">
    <w:name w:val="样式 自动设置 Char"/>
    <w:link w:val="49"/>
    <w:autoRedefine/>
    <w:qFormat/>
    <w:uiPriority w:val="0"/>
    <w:rPr>
      <w:rFonts w:ascii="Calibri" w:hAnsi="Calibri"/>
      <w:kern w:val="2"/>
      <w:sz w:val="24"/>
      <w:szCs w:val="24"/>
    </w:rPr>
  </w:style>
  <w:style w:type="paragraph" w:customStyle="1" w:styleId="51">
    <w:name w:val="正文zy"/>
    <w:basedOn w:val="1"/>
    <w:autoRedefine/>
    <w:qFormat/>
    <w:uiPriority w:val="0"/>
    <w:pPr>
      <w:snapToGrid w:val="0"/>
      <w:spacing w:line="360" w:lineRule="auto"/>
      <w:ind w:firstLine="480" w:firstLineChars="200"/>
    </w:pPr>
    <w:rPr>
      <w:color w:val="000000"/>
      <w:sz w:val="24"/>
      <w:szCs w:val="22"/>
    </w:rPr>
  </w:style>
  <w:style w:type="character" w:customStyle="1" w:styleId="52">
    <w:name w:val="font11"/>
    <w:autoRedefine/>
    <w:qFormat/>
    <w:uiPriority w:val="0"/>
    <w:rPr>
      <w:sz w:val="18"/>
      <w:szCs w:val="18"/>
    </w:rPr>
  </w:style>
  <w:style w:type="character" w:customStyle="1" w:styleId="53">
    <w:name w:val="文档结构图 Char"/>
    <w:link w:val="5"/>
    <w:autoRedefine/>
    <w:qFormat/>
    <w:uiPriority w:val="0"/>
    <w:rPr>
      <w:rFonts w:ascii="宋体"/>
      <w:kern w:val="2"/>
      <w:sz w:val="18"/>
      <w:szCs w:val="18"/>
    </w:rPr>
  </w:style>
  <w:style w:type="character" w:customStyle="1" w:styleId="54">
    <w:name w:val="文档结构图 Char1"/>
    <w:basedOn w:val="23"/>
    <w:autoRedefine/>
    <w:qFormat/>
    <w:uiPriority w:val="0"/>
    <w:rPr>
      <w:rFonts w:ascii="宋体"/>
      <w:kern w:val="2"/>
      <w:sz w:val="18"/>
      <w:szCs w:val="18"/>
    </w:rPr>
  </w:style>
  <w:style w:type="paragraph" w:customStyle="1" w:styleId="55">
    <w:name w:val="样式 首行缩进:  2 字符1"/>
    <w:basedOn w:val="1"/>
    <w:autoRedefine/>
    <w:qFormat/>
    <w:uiPriority w:val="0"/>
    <w:pPr>
      <w:spacing w:line="420" w:lineRule="exact"/>
      <w:ind w:firstLine="200" w:firstLineChars="200"/>
    </w:pPr>
    <w:rPr>
      <w:rFonts w:ascii="Calibri" w:hAnsi="Calibri" w:cs="宋体"/>
      <w:sz w:val="24"/>
      <w:szCs w:val="20"/>
    </w:rPr>
  </w:style>
  <w:style w:type="paragraph" w:customStyle="1" w:styleId="56">
    <w:name w:val="标题正4"/>
    <w:basedOn w:val="1"/>
    <w:autoRedefine/>
    <w:qFormat/>
    <w:uiPriority w:val="0"/>
    <w:pPr>
      <w:spacing w:line="400" w:lineRule="exact"/>
      <w:jc w:val="center"/>
    </w:pPr>
    <w:rPr>
      <w:rFonts w:ascii="宋体" w:hAnsi="宋体"/>
      <w:color w:val="FF0000"/>
      <w:szCs w:val="21"/>
    </w:rPr>
  </w:style>
  <w:style w:type="paragraph" w:customStyle="1" w:styleId="57">
    <w:name w:val="Default"/>
    <w:autoRedefine/>
    <w:qFormat/>
    <w:uiPriority w:val="0"/>
    <w:pPr>
      <w:widowControl w:val="0"/>
      <w:autoSpaceDE w:val="0"/>
      <w:autoSpaceDN w:val="0"/>
      <w:adjustRightInd w:val="0"/>
    </w:pPr>
    <w:rPr>
      <w:rFonts w:ascii="方正锐正黑_GBK 中" w:hAnsi="Cambria" w:eastAsia="方正锐正黑_GBK 中" w:cs="方正锐正黑_GBK 中"/>
      <w:color w:val="000000"/>
      <w:sz w:val="24"/>
      <w:szCs w:val="24"/>
      <w:lang w:val="en-US" w:eastAsia="zh-CN" w:bidi="ar-SA"/>
    </w:rPr>
  </w:style>
  <w:style w:type="character" w:customStyle="1" w:styleId="58">
    <w:name w:val="正文文本缩进 3 Char"/>
    <w:basedOn w:val="23"/>
    <w:link w:val="18"/>
    <w:autoRedefine/>
    <w:qFormat/>
    <w:uiPriority w:val="0"/>
    <w:rPr>
      <w:kern w:val="2"/>
      <w:sz w:val="16"/>
      <w:szCs w:val="16"/>
    </w:rPr>
  </w:style>
  <w:style w:type="paragraph" w:customStyle="1" w:styleId="59">
    <w:name w:val="Table Paragraph"/>
    <w:basedOn w:val="1"/>
    <w:autoRedefine/>
    <w:qFormat/>
    <w:uiPriority w:val="1"/>
    <w:rPr>
      <w:rFonts w:ascii="宋体" w:hAnsi="宋体" w:cs="宋体"/>
      <w:szCs w:val="21"/>
    </w:rPr>
  </w:style>
  <w:style w:type="paragraph" w:customStyle="1" w:styleId="60">
    <w:name w:val="表格内容"/>
    <w:basedOn w:val="1"/>
    <w:next w:val="1"/>
    <w:autoRedefine/>
    <w:qFormat/>
    <w:uiPriority w:val="0"/>
    <w:pPr>
      <w:autoSpaceDE w:val="0"/>
      <w:autoSpaceDN w:val="0"/>
      <w:adjustRightInd w:val="0"/>
      <w:snapToGrid w:val="0"/>
      <w:jc w:val="center"/>
    </w:pPr>
    <w:rPr>
      <w:rFonts w:cs="宋体"/>
      <w:kern w:val="0"/>
      <w:szCs w:val="21"/>
    </w:rPr>
  </w:style>
  <w:style w:type="character" w:customStyle="1" w:styleId="61">
    <w:name w:val="font21"/>
    <w:basedOn w:val="23"/>
    <w:autoRedefine/>
    <w:qFormat/>
    <w:uiPriority w:val="0"/>
    <w:rPr>
      <w:rFonts w:hint="eastAsia" w:ascii="宋体" w:hAnsi="宋体" w:eastAsia="宋体" w:cs="宋体"/>
      <w:color w:val="000000"/>
      <w:sz w:val="20"/>
      <w:szCs w:val="20"/>
      <w:u w:val="none"/>
    </w:rPr>
  </w:style>
  <w:style w:type="character" w:customStyle="1" w:styleId="62">
    <w:name w:val="font31"/>
    <w:basedOn w:val="23"/>
    <w:autoRedefine/>
    <w:qFormat/>
    <w:uiPriority w:val="0"/>
    <w:rPr>
      <w:rFonts w:hint="eastAsia" w:ascii="宋体" w:hAnsi="宋体" w:eastAsia="宋体" w:cs="宋体"/>
      <w:color w:val="000000"/>
      <w:sz w:val="20"/>
      <w:szCs w:val="20"/>
      <w:u w:val="none"/>
    </w:rPr>
  </w:style>
  <w:style w:type="paragraph" w:customStyle="1" w:styleId="63">
    <w:name w:val="CM75"/>
    <w:basedOn w:val="1"/>
    <w:next w:val="1"/>
    <w:autoRedefine/>
    <w:qFormat/>
    <w:uiPriority w:val="99"/>
    <w:pPr>
      <w:autoSpaceDE w:val="0"/>
      <w:autoSpaceDN w:val="0"/>
      <w:adjustRightInd w:val="0"/>
      <w:spacing w:after="60"/>
      <w:jc w:val="left"/>
    </w:pPr>
    <w:rPr>
      <w:rFonts w:ascii="Arial Black" w:eastAsia="Times New Roman" w:cs="Arial Black"/>
      <w:kern w:val="0"/>
      <w:sz w:val="24"/>
    </w:rPr>
  </w:style>
  <w:style w:type="character" w:customStyle="1" w:styleId="64">
    <w:name w:val="t_tag"/>
    <w:autoRedefine/>
    <w:qFormat/>
    <w:uiPriority w:val="99"/>
    <w:rPr>
      <w:rFonts w:cs="Times New Roman"/>
    </w:rPr>
  </w:style>
  <w:style w:type="paragraph" w:customStyle="1" w:styleId="65">
    <w:name w:val="表格的文字"/>
    <w:basedOn w:val="1"/>
    <w:autoRedefine/>
    <w:qFormat/>
    <w:uiPriority w:val="0"/>
    <w:pPr>
      <w:spacing w:line="300" w:lineRule="exact"/>
      <w:jc w:val="center"/>
    </w:pPr>
    <w:rPr>
      <w:rFonts w:ascii="仿宋_GB2312" w:hAnsi="Calibri" w:eastAsia="仿宋_GB2312"/>
      <w:bCs/>
      <w:kern w:val="0"/>
      <w:sz w:val="20"/>
      <w:szCs w:val="20"/>
    </w:rPr>
  </w:style>
  <w:style w:type="paragraph" w:customStyle="1" w:styleId="66">
    <w:name w:val="标题1"/>
    <w:basedOn w:val="1"/>
    <w:next w:val="1"/>
    <w:autoRedefine/>
    <w:qFormat/>
    <w:uiPriority w:val="0"/>
    <w:pPr>
      <w:tabs>
        <w:tab w:val="left" w:pos="9193"/>
        <w:tab w:val="left" w:pos="9827"/>
      </w:tabs>
      <w:spacing w:line="640" w:lineRule="atLeast"/>
      <w:jc w:val="center"/>
    </w:pPr>
    <w:rPr>
      <w:rFonts w:eastAsia="方正小标宋_GBK"/>
      <w:sz w:val="44"/>
    </w:rPr>
  </w:style>
  <w:style w:type="paragraph" w:customStyle="1" w:styleId="67">
    <w:name w:val="表格内文字"/>
    <w:basedOn w:val="1"/>
    <w:autoRedefine/>
    <w:qFormat/>
    <w:uiPriority w:val="0"/>
    <w:pPr>
      <w:spacing w:before="100" w:after="100" w:line="320" w:lineRule="exact"/>
      <w:jc w:val="center"/>
    </w:pPr>
    <w:rPr>
      <w:rFonts w:ascii="Calibri" w:hAnsi="Calibri"/>
      <w:spacing w:val="10"/>
      <w:kern w:val="0"/>
      <w:sz w:val="24"/>
      <w:szCs w:val="20"/>
    </w:rPr>
  </w:style>
  <w:style w:type="paragraph" w:customStyle="1" w:styleId="68">
    <w:name w:val="j表头"/>
    <w:qFormat/>
    <w:uiPriority w:val="0"/>
    <w:pPr>
      <w:spacing w:line="360" w:lineRule="auto"/>
      <w:jc w:val="center"/>
    </w:pPr>
    <w:rPr>
      <w:rFonts w:ascii="Times New Roman" w:hAnsi="Times New Roman" w:eastAsia="仿宋_GB2312" w:cs="Times New Roman"/>
      <w:b/>
      <w:bCs/>
      <w:sz w:val="21"/>
      <w:szCs w:val="21"/>
      <w:lang w:val="en-US" w:eastAsia="zh-CN" w:bidi="ar-SA"/>
    </w:rPr>
  </w:style>
  <w:style w:type="paragraph" w:customStyle="1" w:styleId="69">
    <w:name w:val="样式1"/>
    <w:basedOn w:val="1"/>
    <w:qFormat/>
    <w:uiPriority w:val="0"/>
    <w:pPr>
      <w:spacing w:line="360" w:lineRule="auto"/>
      <w:ind w:firstLine="510"/>
    </w:pPr>
    <w:rPr>
      <w:sz w:val="24"/>
      <w:szCs w:val="20"/>
    </w:rPr>
  </w:style>
  <w:style w:type="paragraph" w:customStyle="1" w:styleId="70">
    <w:name w:val="表格5号"/>
    <w:basedOn w:val="1"/>
    <w:qFormat/>
    <w:uiPriority w:val="0"/>
    <w:pPr>
      <w:jc w:val="center"/>
    </w:pPr>
  </w:style>
  <w:style w:type="paragraph" w:customStyle="1" w:styleId="71">
    <w:name w:val="xl27"/>
    <w:basedOn w:val="1"/>
    <w:qFormat/>
    <w:uiPriority w:val="0"/>
    <w:pPr>
      <w:widowControl/>
      <w:pBdr>
        <w:bottom w:val="single" w:color="auto" w:sz="12" w:space="0"/>
      </w:pBdr>
      <w:spacing w:before="100" w:beforeLines="0" w:after="100" w:afterLines="0"/>
      <w:jc w:val="center"/>
    </w:pPr>
    <w:rPr>
      <w:rFonts w:ascii="宋体" w:hAnsi="宋体"/>
      <w:kern w:val="0"/>
    </w:rPr>
  </w:style>
  <w:style w:type="paragraph" w:customStyle="1" w:styleId="72">
    <w:name w:val="表蕊居中"/>
    <w:qFormat/>
    <w:uiPriority w:val="0"/>
    <w:pPr>
      <w:spacing w:line="320" w:lineRule="exact"/>
      <w:jc w:val="center"/>
    </w:pPr>
    <w:rPr>
      <w:rFonts w:ascii="Calibri" w:hAnsi="Calibri" w:eastAsia="宋体" w:cs="Times New Roman"/>
      <w:spacing w:val="8"/>
      <w:kern w:val="2"/>
      <w:sz w:val="21"/>
      <w:szCs w:val="28"/>
      <w:lang w:val="en-US" w:eastAsia="zh-CN" w:bidi="ar-SA"/>
    </w:rPr>
  </w:style>
  <w:style w:type="paragraph" w:customStyle="1" w:styleId="73">
    <w:name w:val="安表文字"/>
    <w:basedOn w:val="1"/>
    <w:next w:val="1"/>
    <w:autoRedefine/>
    <w:qFormat/>
    <w:uiPriority w:val="0"/>
    <w:pPr>
      <w:spacing w:line="360" w:lineRule="exact"/>
      <w:ind w:firstLine="0" w:firstLineChars="0"/>
      <w:jc w:val="center"/>
      <w:textAlignment w:val="center"/>
    </w:pPr>
    <w:rPr>
      <w:sz w:val="21"/>
      <w:szCs w:val="22"/>
    </w:rPr>
  </w:style>
  <w:style w:type="paragraph" w:customStyle="1" w:styleId="74">
    <w:name w:val="表格文字"/>
    <w:basedOn w:val="75"/>
    <w:next w:val="1"/>
    <w:autoRedefine/>
    <w:qFormat/>
    <w:uiPriority w:val="0"/>
    <w:pPr>
      <w:spacing w:line="360" w:lineRule="exact"/>
      <w:ind w:firstLine="0" w:firstLineChars="0"/>
      <w:jc w:val="center"/>
      <w:outlineLvl w:val="4"/>
    </w:pPr>
    <w:rPr>
      <w:rFonts w:ascii="Times New Roman" w:hAnsi="Times New Roman" w:eastAsia="宋体" w:cs="Times New Roman"/>
      <w:sz w:val="21"/>
      <w:szCs w:val="21"/>
    </w:rPr>
  </w:style>
  <w:style w:type="paragraph" w:customStyle="1" w:styleId="75">
    <w:name w:val="表格标题"/>
    <w:basedOn w:val="7"/>
    <w:next w:val="74"/>
    <w:autoRedefine/>
    <w:qFormat/>
    <w:uiPriority w:val="0"/>
    <w:pPr>
      <w:ind w:firstLine="0" w:firstLineChars="0"/>
      <w:jc w:val="center"/>
    </w:pPr>
    <w:rPr>
      <w:rFonts w:ascii="Times New Roman" w:hAnsi="Times New Roman"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45.png"/><Relationship Id="rId67" Type="http://schemas.openxmlformats.org/officeDocument/2006/relationships/image" Target="media/image44.wmf"/><Relationship Id="rId66" Type="http://schemas.openxmlformats.org/officeDocument/2006/relationships/image" Target="media/image43.wmf"/><Relationship Id="rId65" Type="http://schemas.openxmlformats.org/officeDocument/2006/relationships/image" Target="media/image42.wmf"/><Relationship Id="rId64" Type="http://schemas.openxmlformats.org/officeDocument/2006/relationships/image" Target="media/image41.wmf"/><Relationship Id="rId63" Type="http://schemas.openxmlformats.org/officeDocument/2006/relationships/image" Target="media/image40.wmf"/><Relationship Id="rId62" Type="http://schemas.openxmlformats.org/officeDocument/2006/relationships/image" Target="media/image39.wmf"/><Relationship Id="rId61" Type="http://schemas.openxmlformats.org/officeDocument/2006/relationships/image" Target="media/image38.wmf"/><Relationship Id="rId60" Type="http://schemas.openxmlformats.org/officeDocument/2006/relationships/image" Target="media/image37.wmf"/><Relationship Id="rId6" Type="http://schemas.openxmlformats.org/officeDocument/2006/relationships/footer" Target="footer4.xml"/><Relationship Id="rId59" Type="http://schemas.openxmlformats.org/officeDocument/2006/relationships/image" Target="media/image36.wmf"/><Relationship Id="rId58" Type="http://schemas.openxmlformats.org/officeDocument/2006/relationships/oleObject" Target="embeddings/oleObject14.bin"/><Relationship Id="rId57" Type="http://schemas.openxmlformats.org/officeDocument/2006/relationships/image" Target="media/image35.wmf"/><Relationship Id="rId56" Type="http://schemas.openxmlformats.org/officeDocument/2006/relationships/oleObject" Target="embeddings/oleObject13.bin"/><Relationship Id="rId55" Type="http://schemas.openxmlformats.org/officeDocument/2006/relationships/image" Target="media/image34.wmf"/><Relationship Id="rId54" Type="http://schemas.openxmlformats.org/officeDocument/2006/relationships/oleObject" Target="embeddings/oleObject12.bin"/><Relationship Id="rId53" Type="http://schemas.openxmlformats.org/officeDocument/2006/relationships/image" Target="media/image33.wmf"/><Relationship Id="rId52" Type="http://schemas.openxmlformats.org/officeDocument/2006/relationships/oleObject" Target="embeddings/oleObject11.bin"/><Relationship Id="rId51" Type="http://schemas.openxmlformats.org/officeDocument/2006/relationships/image" Target="media/image32.wmf"/><Relationship Id="rId50" Type="http://schemas.openxmlformats.org/officeDocument/2006/relationships/image" Target="media/image31.wmf"/><Relationship Id="rId5" Type="http://schemas.openxmlformats.org/officeDocument/2006/relationships/footer" Target="footer3.xml"/><Relationship Id="rId49" Type="http://schemas.openxmlformats.org/officeDocument/2006/relationships/image" Target="media/image30.png"/><Relationship Id="rId48" Type="http://schemas.openxmlformats.org/officeDocument/2006/relationships/image" Target="media/image29.wmf"/><Relationship Id="rId47" Type="http://schemas.openxmlformats.org/officeDocument/2006/relationships/image" Target="media/image28.wmf"/><Relationship Id="rId46" Type="http://schemas.openxmlformats.org/officeDocument/2006/relationships/image" Target="media/image27.wmf"/><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image" Target="media/image23.wmf"/><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6.wmf"/><Relationship Id="rId27" Type="http://schemas.openxmlformats.org/officeDocument/2006/relationships/oleObject" Target="embeddings/oleObject3.bin"/><Relationship Id="rId26" Type="http://schemas.openxmlformats.org/officeDocument/2006/relationships/image" Target="media/image15.wmf"/><Relationship Id="rId25" Type="http://schemas.openxmlformats.org/officeDocument/2006/relationships/oleObject" Target="embeddings/oleObject2.bin"/><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emf"/><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emf"/><Relationship Id="rId17" Type="http://schemas.openxmlformats.org/officeDocument/2006/relationships/image" Target="media/image8.png"/><Relationship Id="rId16" Type="http://schemas.openxmlformats.org/officeDocument/2006/relationships/image" Target="media/image7.emf"/><Relationship Id="rId15" Type="http://schemas.openxmlformats.org/officeDocument/2006/relationships/image" Target="media/image6.emf"/><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121</Pages>
  <Words>32037</Words>
  <Characters>33927</Characters>
  <Lines>491</Lines>
  <Paragraphs>138</Paragraphs>
  <TotalTime>11</TotalTime>
  <ScaleCrop>false</ScaleCrop>
  <LinksUpToDate>false</LinksUpToDate>
  <CharactersWithSpaces>34035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2024-07-03T02:55:00Z</dcterms:created>
  <dc:creator>lhj</dc:creator>
  <cp:lastModifiedBy>球球</cp:lastModifiedBy>
  <cp:lastPrinted>2025-06-03T01:36:00Z</cp:lastPrinted>
  <dcterms:modified xsi:type="dcterms:W3CDTF">2025-06-06T06:38:49Z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7EC5BFC247AD498CA4CFF7381401777B_13</vt:lpwstr>
  </property>
  <property fmtid="{D5CDD505-2E9C-101B-9397-08002B2CF9AE}" pid="4" name="KSOTemplateDocerSaveRecord">
    <vt:lpwstr>eyJoZGlkIjoiYWZhMzA0MTE2MGQ3ODcwOTgyMWY3NzY0ZDhkYzQxODciLCJ1c2VySWQiOiIzODk2NzQyOTcifQ==</vt:lpwstr>
  </property>
</Properties>
</file>