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42D8B">
      <w:pPr>
        <w:bidi w:val="0"/>
        <w:rPr>
          <w:rFonts w:hint="eastAsia" w:cs="Times New Roman"/>
          <w:color w:val="auto"/>
          <w:lang w:val="en-US" w:eastAsia="zh-CN"/>
        </w:rPr>
      </w:pPr>
    </w:p>
    <w:p w14:paraId="5586C77E">
      <w:pPr>
        <w:bidi w:val="0"/>
        <w:rPr>
          <w:rFonts w:hint="eastAsia" w:cs="Times New Roman"/>
          <w:color w:val="auto"/>
          <w:lang w:val="en-US" w:eastAsia="zh-CN"/>
        </w:rPr>
      </w:pPr>
      <w:bookmarkStart w:id="0" w:name="_Toc3112"/>
      <w:r>
        <w:rPr>
          <w:rFonts w:hint="eastAsia" w:cs="Times New Roman"/>
          <w:color w:val="auto"/>
          <w:lang w:val="en-US" w:eastAsia="zh-CN"/>
        </w:rPr>
        <w:drawing>
          <wp:inline distT="0" distB="0" distL="114300" distR="114300">
            <wp:extent cx="5611495" cy="7933055"/>
            <wp:effectExtent l="0" t="0" r="8255" b="10795"/>
            <wp:docPr id="7" name="图片 7" descr="jinlun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jinlun_00"/>
                    <pic:cNvPicPr>
                      <a:picLocks noChangeAspect="1"/>
                    </pic:cNvPicPr>
                  </pic:nvPicPr>
                  <pic:blipFill>
                    <a:blip r:embed="rId11"/>
                    <a:stretch>
                      <a:fillRect/>
                    </a:stretch>
                  </pic:blipFill>
                  <pic:spPr>
                    <a:xfrm>
                      <a:off x="0" y="0"/>
                      <a:ext cx="5611495" cy="7933055"/>
                    </a:xfrm>
                    <a:prstGeom prst="rect">
                      <a:avLst/>
                    </a:prstGeom>
                  </pic:spPr>
                </pic:pic>
              </a:graphicData>
            </a:graphic>
          </wp:inline>
        </w:drawing>
      </w:r>
    </w:p>
    <w:p w14:paraId="581D82EF">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rtlGutter w:val="0"/>
          <w:docGrid w:linePitch="312" w:charSpace="0"/>
        </w:sectPr>
      </w:pPr>
    </w:p>
    <w:p w14:paraId="7A6E8ED9">
      <w:pPr>
        <w:pStyle w:val="22"/>
        <w:jc w:val="center"/>
        <w:outlineLvl w:val="9"/>
        <w:rPr>
          <w:rFonts w:hint="eastAsia" w:ascii="Times New Roman" w:hAnsi="Times New Roman" w:eastAsia="黑体" w:cs="Times New Roman"/>
          <w:snapToGrid w:val="0"/>
          <w:color w:val="auto"/>
          <w:sz w:val="30"/>
          <w:szCs w:val="30"/>
          <w:lang w:eastAsia="zh-CN"/>
        </w:rPr>
        <w:sectPr>
          <w:footerReference r:id="rId5" w:type="default"/>
          <w:pgSz w:w="11906" w:h="16838"/>
          <w:pgMar w:top="1191" w:right="1400" w:bottom="1417" w:left="1088" w:header="851" w:footer="1077" w:gutter="0"/>
          <w:pgBorders>
            <w:top w:val="none" w:sz="0" w:space="0"/>
            <w:left w:val="none" w:sz="0" w:space="0"/>
            <w:bottom w:val="none" w:sz="0" w:space="0"/>
            <w:right w:val="none" w:sz="0" w:space="0"/>
          </w:pgBorders>
          <w:pgNumType w:fmt="decimal" w:start="1"/>
          <w:cols w:space="720" w:num="1"/>
          <w:rtlGutter w:val="0"/>
          <w:docGrid w:linePitch="312" w:charSpace="0"/>
        </w:sectPr>
      </w:pPr>
      <w:r>
        <w:rPr>
          <w:rFonts w:hint="eastAsia" w:ascii="Times New Roman" w:hAnsi="Times New Roman" w:eastAsia="黑体" w:cs="Times New Roman"/>
          <w:snapToGrid w:val="0"/>
          <w:color w:val="auto"/>
          <w:sz w:val="30"/>
          <w:szCs w:val="30"/>
          <w:lang w:eastAsia="zh-CN"/>
        </w:rPr>
        <w:drawing>
          <wp:inline distT="0" distB="0" distL="114300" distR="114300">
            <wp:extent cx="5611495" cy="7933055"/>
            <wp:effectExtent l="0" t="0" r="8255" b="10795"/>
            <wp:docPr id="8" name="图片 8" descr="jinlu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jinlun_01"/>
                    <pic:cNvPicPr>
                      <a:picLocks noChangeAspect="1"/>
                    </pic:cNvPicPr>
                  </pic:nvPicPr>
                  <pic:blipFill>
                    <a:blip r:embed="rId12"/>
                    <a:stretch>
                      <a:fillRect/>
                    </a:stretch>
                  </pic:blipFill>
                  <pic:spPr>
                    <a:xfrm>
                      <a:off x="0" y="0"/>
                      <a:ext cx="5611495" cy="7933055"/>
                    </a:xfrm>
                    <a:prstGeom prst="rect">
                      <a:avLst/>
                    </a:prstGeom>
                  </pic:spPr>
                </pic:pic>
              </a:graphicData>
            </a:graphic>
          </wp:inline>
        </w:drawing>
      </w:r>
    </w:p>
    <w:p w14:paraId="4FD2F5C8">
      <w:pPr>
        <w:spacing w:before="0" w:after="0" w:line="480" w:lineRule="auto"/>
        <w:ind w:left="0" w:leftChars="0" w:right="0" w:rightChars="0" w:firstLine="0" w:firstLineChars="0"/>
        <w:jc w:val="center"/>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目</w:t>
      </w:r>
      <w:r>
        <w:rPr>
          <w:rFonts w:hint="default" w:ascii="Times New Roman" w:hAnsi="Times New Roman" w:eastAsia="仿宋" w:cs="Times New Roman"/>
          <w:b/>
          <w:bCs/>
          <w:color w:val="auto"/>
          <w:sz w:val="28"/>
          <w:szCs w:val="28"/>
          <w:lang w:val="en-US" w:eastAsia="zh-CN"/>
        </w:rPr>
        <w:t xml:space="preserve">  </w:t>
      </w:r>
      <w:r>
        <w:rPr>
          <w:rFonts w:hint="default" w:ascii="Times New Roman" w:hAnsi="Times New Roman" w:eastAsia="仿宋" w:cs="Times New Roman"/>
          <w:b/>
          <w:bCs/>
          <w:color w:val="auto"/>
          <w:sz w:val="28"/>
          <w:szCs w:val="28"/>
        </w:rPr>
        <w:t>录</w:t>
      </w:r>
    </w:p>
    <w:p w14:paraId="015F837C">
      <w:pPr>
        <w:pStyle w:val="57"/>
        <w:tabs>
          <w:tab w:val="right" w:leader="dot" w:pos="9418"/>
        </w:tabs>
        <w:spacing w:line="360" w:lineRule="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snapToGrid w:val="0"/>
          <w:color w:val="auto"/>
          <w:sz w:val="28"/>
          <w:szCs w:val="28"/>
        </w:rPr>
        <w:fldChar w:fldCharType="begin"/>
      </w:r>
      <w:r>
        <w:rPr>
          <w:rFonts w:hint="default" w:ascii="Times New Roman" w:hAnsi="Times New Roman" w:eastAsia="仿宋" w:cs="Times New Roman"/>
          <w:b/>
          <w:bCs/>
          <w:snapToGrid w:val="0"/>
          <w:color w:val="auto"/>
          <w:sz w:val="28"/>
          <w:szCs w:val="28"/>
        </w:rPr>
        <w:instrText xml:space="preserve">TOC \o "1-1" \h \u </w:instrText>
      </w:r>
      <w:r>
        <w:rPr>
          <w:rFonts w:hint="default" w:ascii="Times New Roman" w:hAnsi="Times New Roman" w:eastAsia="仿宋" w:cs="Times New Roman"/>
          <w:b/>
          <w:bCs/>
          <w:snapToGrid w:val="0"/>
          <w:color w:val="auto"/>
          <w:sz w:val="28"/>
          <w:szCs w:val="28"/>
        </w:rPr>
        <w:fldChar w:fldCharType="separate"/>
      </w:r>
      <w:r>
        <w:rPr>
          <w:rFonts w:hint="default" w:ascii="Times New Roman" w:hAnsi="Times New Roman" w:eastAsia="仿宋" w:cs="Times New Roman"/>
          <w:b/>
          <w:bCs/>
          <w:snapToGrid w:val="0"/>
          <w:color w:val="auto"/>
          <w:sz w:val="28"/>
          <w:szCs w:val="28"/>
        </w:rPr>
        <w:fldChar w:fldCharType="begin"/>
      </w:r>
      <w:r>
        <w:rPr>
          <w:rFonts w:hint="default" w:ascii="Times New Roman" w:hAnsi="Times New Roman" w:eastAsia="仿宋" w:cs="Times New Roman"/>
          <w:b/>
          <w:bCs/>
          <w:snapToGrid w:val="0"/>
          <w:color w:val="auto"/>
          <w:sz w:val="28"/>
          <w:szCs w:val="28"/>
        </w:rPr>
        <w:instrText xml:space="preserve"> HYPERLINK \l _Toc31392 </w:instrText>
      </w:r>
      <w:r>
        <w:rPr>
          <w:rFonts w:hint="default" w:ascii="Times New Roman" w:hAnsi="Times New Roman" w:eastAsia="仿宋" w:cs="Times New Roman"/>
          <w:b/>
          <w:bCs/>
          <w:snapToGrid w:val="0"/>
          <w:color w:val="auto"/>
          <w:sz w:val="28"/>
          <w:szCs w:val="28"/>
        </w:rPr>
        <w:fldChar w:fldCharType="separate"/>
      </w:r>
      <w:r>
        <w:rPr>
          <w:rFonts w:hint="default" w:ascii="Times New Roman" w:hAnsi="Times New Roman" w:eastAsia="仿宋" w:cs="Times New Roman"/>
          <w:b/>
          <w:bCs/>
          <w:snapToGrid w:val="0"/>
          <w:color w:val="auto"/>
          <w:sz w:val="28"/>
          <w:szCs w:val="28"/>
        </w:rPr>
        <w:t>一、建设项目基本情况</w:t>
      </w:r>
      <w:r>
        <w:rPr>
          <w:rFonts w:hint="default" w:ascii="Times New Roman" w:hAnsi="Times New Roman" w:eastAsia="仿宋" w:cs="Times New Roman"/>
          <w:b/>
          <w:bCs/>
          <w:color w:val="auto"/>
          <w:sz w:val="28"/>
          <w:szCs w:val="28"/>
        </w:rPr>
        <w:tab/>
      </w:r>
      <w:r>
        <w:rPr>
          <w:rFonts w:hint="default" w:ascii="Times New Roman" w:hAnsi="Times New Roman" w:eastAsia="仿宋" w:cs="Times New Roman"/>
          <w:b/>
          <w:bCs/>
          <w:color w:val="auto"/>
          <w:sz w:val="28"/>
          <w:szCs w:val="28"/>
        </w:rPr>
        <w:fldChar w:fldCharType="begin"/>
      </w:r>
      <w:r>
        <w:rPr>
          <w:rFonts w:hint="default" w:ascii="Times New Roman" w:hAnsi="Times New Roman" w:eastAsia="仿宋" w:cs="Times New Roman"/>
          <w:b/>
          <w:bCs/>
          <w:color w:val="auto"/>
          <w:sz w:val="28"/>
          <w:szCs w:val="28"/>
        </w:rPr>
        <w:instrText xml:space="preserve"> PAGEREF _Toc31392 \h </w:instrText>
      </w:r>
      <w:r>
        <w:rPr>
          <w:rFonts w:hint="default" w:ascii="Times New Roman" w:hAnsi="Times New Roman" w:eastAsia="仿宋" w:cs="Times New Roman"/>
          <w:b/>
          <w:bCs/>
          <w:color w:val="auto"/>
          <w:sz w:val="28"/>
          <w:szCs w:val="28"/>
        </w:rPr>
        <w:fldChar w:fldCharType="separate"/>
      </w:r>
      <w:r>
        <w:rPr>
          <w:rFonts w:hint="default" w:ascii="Times New Roman" w:hAnsi="Times New Roman" w:eastAsia="仿宋" w:cs="Times New Roman"/>
          <w:b/>
          <w:bCs/>
          <w:color w:val="auto"/>
          <w:sz w:val="28"/>
          <w:szCs w:val="28"/>
        </w:rPr>
        <w:t>1</w:t>
      </w:r>
      <w:r>
        <w:rPr>
          <w:rFonts w:hint="default" w:ascii="Times New Roman" w:hAnsi="Times New Roman" w:eastAsia="仿宋" w:cs="Times New Roman"/>
          <w:b/>
          <w:bCs/>
          <w:color w:val="auto"/>
          <w:sz w:val="28"/>
          <w:szCs w:val="28"/>
        </w:rPr>
        <w:fldChar w:fldCharType="end"/>
      </w:r>
      <w:r>
        <w:rPr>
          <w:rFonts w:hint="default" w:ascii="Times New Roman" w:hAnsi="Times New Roman" w:eastAsia="仿宋" w:cs="Times New Roman"/>
          <w:b/>
          <w:bCs/>
          <w:snapToGrid w:val="0"/>
          <w:color w:val="auto"/>
          <w:sz w:val="28"/>
          <w:szCs w:val="28"/>
        </w:rPr>
        <w:fldChar w:fldCharType="end"/>
      </w:r>
    </w:p>
    <w:p w14:paraId="718E6286">
      <w:pPr>
        <w:pStyle w:val="57"/>
        <w:tabs>
          <w:tab w:val="right" w:leader="dot" w:pos="9418"/>
        </w:tabs>
        <w:spacing w:line="360" w:lineRule="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snapToGrid w:val="0"/>
          <w:color w:val="auto"/>
          <w:sz w:val="28"/>
          <w:szCs w:val="28"/>
        </w:rPr>
        <w:fldChar w:fldCharType="begin"/>
      </w:r>
      <w:r>
        <w:rPr>
          <w:rFonts w:hint="default" w:ascii="Times New Roman" w:hAnsi="Times New Roman" w:eastAsia="仿宋" w:cs="Times New Roman"/>
          <w:b/>
          <w:bCs/>
          <w:snapToGrid w:val="0"/>
          <w:color w:val="auto"/>
          <w:sz w:val="28"/>
          <w:szCs w:val="28"/>
        </w:rPr>
        <w:instrText xml:space="preserve"> HYPERLINK \l _Toc24010 </w:instrText>
      </w:r>
      <w:r>
        <w:rPr>
          <w:rFonts w:hint="default" w:ascii="Times New Roman" w:hAnsi="Times New Roman" w:eastAsia="仿宋" w:cs="Times New Roman"/>
          <w:b/>
          <w:bCs/>
          <w:snapToGrid w:val="0"/>
          <w:color w:val="auto"/>
          <w:sz w:val="28"/>
          <w:szCs w:val="28"/>
        </w:rPr>
        <w:fldChar w:fldCharType="separate"/>
      </w:r>
      <w:r>
        <w:rPr>
          <w:rFonts w:hint="default" w:ascii="Times New Roman" w:hAnsi="Times New Roman" w:eastAsia="仿宋" w:cs="Times New Roman"/>
          <w:b/>
          <w:bCs/>
          <w:snapToGrid w:val="0"/>
          <w:color w:val="auto"/>
          <w:sz w:val="28"/>
          <w:szCs w:val="28"/>
        </w:rPr>
        <w:t>二、建设项目工程分</w:t>
      </w:r>
      <w:r>
        <w:rPr>
          <w:rFonts w:hint="default" w:ascii="Times New Roman" w:hAnsi="Times New Roman" w:eastAsia="仿宋" w:cs="Times New Roman"/>
          <w:b/>
          <w:bCs/>
          <w:snapToGrid w:val="0"/>
          <w:color w:val="auto"/>
          <w:sz w:val="28"/>
          <w:szCs w:val="28"/>
          <w:lang w:val="en-US" w:eastAsia="zh-CN"/>
        </w:rPr>
        <w:t>析</w:t>
      </w:r>
      <w:r>
        <w:rPr>
          <w:rFonts w:hint="default" w:ascii="Times New Roman" w:hAnsi="Times New Roman" w:eastAsia="仿宋" w:cs="Times New Roman"/>
          <w:b/>
          <w:bCs/>
          <w:color w:val="auto"/>
          <w:sz w:val="28"/>
          <w:szCs w:val="28"/>
        </w:rPr>
        <w:tab/>
      </w:r>
      <w:r>
        <w:rPr>
          <w:rFonts w:hint="default" w:ascii="Times New Roman" w:hAnsi="Times New Roman" w:eastAsia="仿宋" w:cs="Times New Roman"/>
          <w:b/>
          <w:bCs/>
          <w:color w:val="auto"/>
          <w:sz w:val="28"/>
          <w:szCs w:val="28"/>
        </w:rPr>
        <w:fldChar w:fldCharType="begin"/>
      </w:r>
      <w:r>
        <w:rPr>
          <w:rFonts w:hint="default" w:ascii="Times New Roman" w:hAnsi="Times New Roman" w:eastAsia="仿宋" w:cs="Times New Roman"/>
          <w:b/>
          <w:bCs/>
          <w:color w:val="auto"/>
          <w:sz w:val="28"/>
          <w:szCs w:val="28"/>
        </w:rPr>
        <w:instrText xml:space="preserve"> PAGEREF _Toc24010 \h </w:instrText>
      </w:r>
      <w:r>
        <w:rPr>
          <w:rFonts w:hint="default" w:ascii="Times New Roman" w:hAnsi="Times New Roman" w:eastAsia="仿宋" w:cs="Times New Roman"/>
          <w:b/>
          <w:bCs/>
          <w:color w:val="auto"/>
          <w:sz w:val="28"/>
          <w:szCs w:val="28"/>
        </w:rPr>
        <w:fldChar w:fldCharType="separate"/>
      </w:r>
      <w:r>
        <w:rPr>
          <w:rFonts w:hint="default" w:ascii="Times New Roman" w:hAnsi="Times New Roman" w:eastAsia="仿宋" w:cs="Times New Roman"/>
          <w:b/>
          <w:bCs/>
          <w:color w:val="auto"/>
          <w:sz w:val="28"/>
          <w:szCs w:val="28"/>
        </w:rPr>
        <w:t>20</w:t>
      </w:r>
      <w:r>
        <w:rPr>
          <w:rFonts w:hint="default" w:ascii="Times New Roman" w:hAnsi="Times New Roman" w:eastAsia="仿宋" w:cs="Times New Roman"/>
          <w:b/>
          <w:bCs/>
          <w:color w:val="auto"/>
          <w:sz w:val="28"/>
          <w:szCs w:val="28"/>
        </w:rPr>
        <w:fldChar w:fldCharType="end"/>
      </w:r>
      <w:r>
        <w:rPr>
          <w:rFonts w:hint="default" w:ascii="Times New Roman" w:hAnsi="Times New Roman" w:eastAsia="仿宋" w:cs="Times New Roman"/>
          <w:b/>
          <w:bCs/>
          <w:snapToGrid w:val="0"/>
          <w:color w:val="auto"/>
          <w:sz w:val="28"/>
          <w:szCs w:val="28"/>
        </w:rPr>
        <w:fldChar w:fldCharType="end"/>
      </w:r>
    </w:p>
    <w:p w14:paraId="03CB39DD">
      <w:pPr>
        <w:pStyle w:val="57"/>
        <w:tabs>
          <w:tab w:val="right" w:leader="dot" w:pos="9418"/>
        </w:tabs>
        <w:spacing w:line="360" w:lineRule="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snapToGrid w:val="0"/>
          <w:color w:val="auto"/>
          <w:sz w:val="28"/>
          <w:szCs w:val="28"/>
        </w:rPr>
        <w:fldChar w:fldCharType="begin"/>
      </w:r>
      <w:r>
        <w:rPr>
          <w:rFonts w:hint="default" w:ascii="Times New Roman" w:hAnsi="Times New Roman" w:eastAsia="仿宋" w:cs="Times New Roman"/>
          <w:b/>
          <w:bCs/>
          <w:snapToGrid w:val="0"/>
          <w:color w:val="auto"/>
          <w:sz w:val="28"/>
          <w:szCs w:val="28"/>
        </w:rPr>
        <w:instrText xml:space="preserve"> HYPERLINK \l _Toc16798 </w:instrText>
      </w:r>
      <w:r>
        <w:rPr>
          <w:rFonts w:hint="default" w:ascii="Times New Roman" w:hAnsi="Times New Roman" w:eastAsia="仿宋" w:cs="Times New Roman"/>
          <w:b/>
          <w:bCs/>
          <w:snapToGrid w:val="0"/>
          <w:color w:val="auto"/>
          <w:sz w:val="28"/>
          <w:szCs w:val="28"/>
        </w:rPr>
        <w:fldChar w:fldCharType="separate"/>
      </w:r>
      <w:r>
        <w:rPr>
          <w:rFonts w:hint="default" w:ascii="Times New Roman" w:hAnsi="Times New Roman" w:eastAsia="仿宋" w:cs="Times New Roman"/>
          <w:b/>
          <w:bCs/>
          <w:snapToGrid w:val="0"/>
          <w:color w:val="auto"/>
          <w:sz w:val="28"/>
          <w:szCs w:val="28"/>
        </w:rPr>
        <w:t>三、区域环境质量现状、环境保护目标及评价标准</w:t>
      </w:r>
      <w:r>
        <w:rPr>
          <w:rFonts w:hint="default" w:ascii="Times New Roman" w:hAnsi="Times New Roman" w:eastAsia="仿宋" w:cs="Times New Roman"/>
          <w:b/>
          <w:bCs/>
          <w:color w:val="auto"/>
          <w:sz w:val="28"/>
          <w:szCs w:val="28"/>
        </w:rPr>
        <w:tab/>
      </w:r>
      <w:r>
        <w:rPr>
          <w:rFonts w:hint="default" w:ascii="Times New Roman" w:hAnsi="Times New Roman" w:eastAsia="仿宋" w:cs="Times New Roman"/>
          <w:b/>
          <w:bCs/>
          <w:color w:val="auto"/>
          <w:sz w:val="28"/>
          <w:szCs w:val="28"/>
        </w:rPr>
        <w:fldChar w:fldCharType="begin"/>
      </w:r>
      <w:r>
        <w:rPr>
          <w:rFonts w:hint="default" w:ascii="Times New Roman" w:hAnsi="Times New Roman" w:eastAsia="仿宋" w:cs="Times New Roman"/>
          <w:b/>
          <w:bCs/>
          <w:color w:val="auto"/>
          <w:sz w:val="28"/>
          <w:szCs w:val="28"/>
        </w:rPr>
        <w:instrText xml:space="preserve"> PAGEREF _Toc16798 \h </w:instrText>
      </w:r>
      <w:r>
        <w:rPr>
          <w:rFonts w:hint="default" w:ascii="Times New Roman" w:hAnsi="Times New Roman" w:eastAsia="仿宋" w:cs="Times New Roman"/>
          <w:b/>
          <w:bCs/>
          <w:color w:val="auto"/>
          <w:sz w:val="28"/>
          <w:szCs w:val="28"/>
        </w:rPr>
        <w:fldChar w:fldCharType="separate"/>
      </w:r>
      <w:r>
        <w:rPr>
          <w:rFonts w:hint="default" w:ascii="Times New Roman" w:hAnsi="Times New Roman" w:eastAsia="仿宋" w:cs="Times New Roman"/>
          <w:b/>
          <w:bCs/>
          <w:color w:val="auto"/>
          <w:sz w:val="28"/>
          <w:szCs w:val="28"/>
        </w:rPr>
        <w:t>28</w:t>
      </w:r>
      <w:r>
        <w:rPr>
          <w:rFonts w:hint="default" w:ascii="Times New Roman" w:hAnsi="Times New Roman" w:eastAsia="仿宋" w:cs="Times New Roman"/>
          <w:b/>
          <w:bCs/>
          <w:color w:val="auto"/>
          <w:sz w:val="28"/>
          <w:szCs w:val="28"/>
        </w:rPr>
        <w:fldChar w:fldCharType="end"/>
      </w:r>
      <w:r>
        <w:rPr>
          <w:rFonts w:hint="default" w:ascii="Times New Roman" w:hAnsi="Times New Roman" w:eastAsia="仿宋" w:cs="Times New Roman"/>
          <w:b/>
          <w:bCs/>
          <w:snapToGrid w:val="0"/>
          <w:color w:val="auto"/>
          <w:sz w:val="28"/>
          <w:szCs w:val="28"/>
        </w:rPr>
        <w:fldChar w:fldCharType="end"/>
      </w:r>
    </w:p>
    <w:p w14:paraId="0F958E4D">
      <w:pPr>
        <w:pStyle w:val="57"/>
        <w:tabs>
          <w:tab w:val="right" w:leader="dot" w:pos="9418"/>
        </w:tabs>
        <w:spacing w:line="360" w:lineRule="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snapToGrid w:val="0"/>
          <w:color w:val="auto"/>
          <w:sz w:val="28"/>
          <w:szCs w:val="28"/>
        </w:rPr>
        <w:fldChar w:fldCharType="begin"/>
      </w:r>
      <w:r>
        <w:rPr>
          <w:rFonts w:hint="default" w:ascii="Times New Roman" w:hAnsi="Times New Roman" w:eastAsia="仿宋" w:cs="Times New Roman"/>
          <w:b/>
          <w:bCs/>
          <w:snapToGrid w:val="0"/>
          <w:color w:val="auto"/>
          <w:sz w:val="28"/>
          <w:szCs w:val="28"/>
        </w:rPr>
        <w:instrText xml:space="preserve"> HYPERLINK \l _Toc1176 </w:instrText>
      </w:r>
      <w:r>
        <w:rPr>
          <w:rFonts w:hint="default" w:ascii="Times New Roman" w:hAnsi="Times New Roman" w:eastAsia="仿宋" w:cs="Times New Roman"/>
          <w:b/>
          <w:bCs/>
          <w:snapToGrid w:val="0"/>
          <w:color w:val="auto"/>
          <w:sz w:val="28"/>
          <w:szCs w:val="28"/>
        </w:rPr>
        <w:fldChar w:fldCharType="separate"/>
      </w:r>
      <w:r>
        <w:rPr>
          <w:rFonts w:hint="default" w:ascii="Times New Roman" w:hAnsi="Times New Roman" w:eastAsia="仿宋" w:cs="Times New Roman"/>
          <w:b/>
          <w:bCs/>
          <w:snapToGrid w:val="0"/>
          <w:color w:val="auto"/>
          <w:sz w:val="28"/>
          <w:szCs w:val="28"/>
        </w:rPr>
        <w:t>四、主要环境影响和保护措施</w:t>
      </w:r>
      <w:r>
        <w:rPr>
          <w:rFonts w:hint="default" w:ascii="Times New Roman" w:hAnsi="Times New Roman" w:eastAsia="仿宋" w:cs="Times New Roman"/>
          <w:b/>
          <w:bCs/>
          <w:color w:val="auto"/>
          <w:sz w:val="28"/>
          <w:szCs w:val="28"/>
        </w:rPr>
        <w:tab/>
      </w:r>
      <w:r>
        <w:rPr>
          <w:rFonts w:hint="default" w:ascii="Times New Roman" w:hAnsi="Times New Roman" w:eastAsia="仿宋" w:cs="Times New Roman"/>
          <w:b/>
          <w:bCs/>
          <w:color w:val="auto"/>
          <w:sz w:val="28"/>
          <w:szCs w:val="28"/>
        </w:rPr>
        <w:fldChar w:fldCharType="begin"/>
      </w:r>
      <w:r>
        <w:rPr>
          <w:rFonts w:hint="default" w:ascii="Times New Roman" w:hAnsi="Times New Roman" w:eastAsia="仿宋" w:cs="Times New Roman"/>
          <w:b/>
          <w:bCs/>
          <w:color w:val="auto"/>
          <w:sz w:val="28"/>
          <w:szCs w:val="28"/>
        </w:rPr>
        <w:instrText xml:space="preserve"> PAGEREF _Toc1176 \h </w:instrText>
      </w:r>
      <w:r>
        <w:rPr>
          <w:rFonts w:hint="default" w:ascii="Times New Roman" w:hAnsi="Times New Roman" w:eastAsia="仿宋" w:cs="Times New Roman"/>
          <w:b/>
          <w:bCs/>
          <w:color w:val="auto"/>
          <w:sz w:val="28"/>
          <w:szCs w:val="28"/>
        </w:rPr>
        <w:fldChar w:fldCharType="separate"/>
      </w:r>
      <w:r>
        <w:rPr>
          <w:rFonts w:hint="default" w:ascii="Times New Roman" w:hAnsi="Times New Roman" w:eastAsia="仿宋" w:cs="Times New Roman"/>
          <w:b/>
          <w:bCs/>
          <w:color w:val="auto"/>
          <w:sz w:val="28"/>
          <w:szCs w:val="28"/>
        </w:rPr>
        <w:t>34</w:t>
      </w:r>
      <w:r>
        <w:rPr>
          <w:rFonts w:hint="default" w:ascii="Times New Roman" w:hAnsi="Times New Roman" w:eastAsia="仿宋" w:cs="Times New Roman"/>
          <w:b/>
          <w:bCs/>
          <w:color w:val="auto"/>
          <w:sz w:val="28"/>
          <w:szCs w:val="28"/>
        </w:rPr>
        <w:fldChar w:fldCharType="end"/>
      </w:r>
      <w:r>
        <w:rPr>
          <w:rFonts w:hint="default" w:ascii="Times New Roman" w:hAnsi="Times New Roman" w:eastAsia="仿宋" w:cs="Times New Roman"/>
          <w:b/>
          <w:bCs/>
          <w:snapToGrid w:val="0"/>
          <w:color w:val="auto"/>
          <w:sz w:val="28"/>
          <w:szCs w:val="28"/>
        </w:rPr>
        <w:fldChar w:fldCharType="end"/>
      </w:r>
    </w:p>
    <w:p w14:paraId="0F91FAA5">
      <w:pPr>
        <w:pStyle w:val="57"/>
        <w:tabs>
          <w:tab w:val="right" w:leader="dot" w:pos="9418"/>
        </w:tabs>
        <w:spacing w:line="360" w:lineRule="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snapToGrid w:val="0"/>
          <w:color w:val="auto"/>
          <w:sz w:val="28"/>
          <w:szCs w:val="28"/>
        </w:rPr>
        <w:fldChar w:fldCharType="begin"/>
      </w:r>
      <w:r>
        <w:rPr>
          <w:rFonts w:hint="default" w:ascii="Times New Roman" w:hAnsi="Times New Roman" w:eastAsia="仿宋" w:cs="Times New Roman"/>
          <w:b/>
          <w:bCs/>
          <w:snapToGrid w:val="0"/>
          <w:color w:val="auto"/>
          <w:sz w:val="28"/>
          <w:szCs w:val="28"/>
        </w:rPr>
        <w:instrText xml:space="preserve"> HYPERLINK \l _Toc7376 </w:instrText>
      </w:r>
      <w:r>
        <w:rPr>
          <w:rFonts w:hint="default" w:ascii="Times New Roman" w:hAnsi="Times New Roman" w:eastAsia="仿宋" w:cs="Times New Roman"/>
          <w:b/>
          <w:bCs/>
          <w:snapToGrid w:val="0"/>
          <w:color w:val="auto"/>
          <w:sz w:val="28"/>
          <w:szCs w:val="28"/>
        </w:rPr>
        <w:fldChar w:fldCharType="separate"/>
      </w:r>
      <w:r>
        <w:rPr>
          <w:rFonts w:hint="default" w:ascii="Times New Roman" w:hAnsi="Times New Roman" w:eastAsia="仿宋" w:cs="Times New Roman"/>
          <w:b/>
          <w:bCs/>
          <w:snapToGrid w:val="0"/>
          <w:color w:val="auto"/>
          <w:sz w:val="28"/>
          <w:szCs w:val="28"/>
        </w:rPr>
        <w:t>五、环境保护措施监督检查清单</w:t>
      </w:r>
      <w:r>
        <w:rPr>
          <w:rFonts w:hint="default" w:ascii="Times New Roman" w:hAnsi="Times New Roman" w:eastAsia="仿宋" w:cs="Times New Roman"/>
          <w:b/>
          <w:bCs/>
          <w:color w:val="auto"/>
          <w:sz w:val="28"/>
          <w:szCs w:val="28"/>
        </w:rPr>
        <w:tab/>
      </w:r>
      <w:r>
        <w:rPr>
          <w:rFonts w:hint="default" w:ascii="Times New Roman" w:hAnsi="Times New Roman" w:eastAsia="仿宋" w:cs="Times New Roman"/>
          <w:b/>
          <w:bCs/>
          <w:color w:val="auto"/>
          <w:sz w:val="28"/>
          <w:szCs w:val="28"/>
        </w:rPr>
        <w:fldChar w:fldCharType="begin"/>
      </w:r>
      <w:r>
        <w:rPr>
          <w:rFonts w:hint="default" w:ascii="Times New Roman" w:hAnsi="Times New Roman" w:eastAsia="仿宋" w:cs="Times New Roman"/>
          <w:b/>
          <w:bCs/>
          <w:color w:val="auto"/>
          <w:sz w:val="28"/>
          <w:szCs w:val="28"/>
        </w:rPr>
        <w:instrText xml:space="preserve"> PAGEREF _Toc7376 \h </w:instrText>
      </w:r>
      <w:r>
        <w:rPr>
          <w:rFonts w:hint="default" w:ascii="Times New Roman" w:hAnsi="Times New Roman" w:eastAsia="仿宋" w:cs="Times New Roman"/>
          <w:b/>
          <w:bCs/>
          <w:color w:val="auto"/>
          <w:sz w:val="28"/>
          <w:szCs w:val="28"/>
        </w:rPr>
        <w:fldChar w:fldCharType="separate"/>
      </w:r>
      <w:r>
        <w:rPr>
          <w:rFonts w:hint="default" w:ascii="Times New Roman" w:hAnsi="Times New Roman" w:eastAsia="仿宋" w:cs="Times New Roman"/>
          <w:b/>
          <w:bCs/>
          <w:color w:val="auto"/>
          <w:sz w:val="28"/>
          <w:szCs w:val="28"/>
        </w:rPr>
        <w:t>68</w:t>
      </w:r>
      <w:r>
        <w:rPr>
          <w:rFonts w:hint="default" w:ascii="Times New Roman" w:hAnsi="Times New Roman" w:eastAsia="仿宋" w:cs="Times New Roman"/>
          <w:b/>
          <w:bCs/>
          <w:color w:val="auto"/>
          <w:sz w:val="28"/>
          <w:szCs w:val="28"/>
        </w:rPr>
        <w:fldChar w:fldCharType="end"/>
      </w:r>
      <w:r>
        <w:rPr>
          <w:rFonts w:hint="default" w:ascii="Times New Roman" w:hAnsi="Times New Roman" w:eastAsia="仿宋" w:cs="Times New Roman"/>
          <w:b/>
          <w:bCs/>
          <w:snapToGrid w:val="0"/>
          <w:color w:val="auto"/>
          <w:sz w:val="28"/>
          <w:szCs w:val="28"/>
        </w:rPr>
        <w:fldChar w:fldCharType="end"/>
      </w:r>
    </w:p>
    <w:p w14:paraId="5EE80DA3">
      <w:pPr>
        <w:pStyle w:val="57"/>
        <w:tabs>
          <w:tab w:val="right" w:leader="dot" w:pos="9418"/>
        </w:tabs>
        <w:spacing w:line="360" w:lineRule="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snapToGrid w:val="0"/>
          <w:color w:val="auto"/>
          <w:sz w:val="28"/>
          <w:szCs w:val="28"/>
        </w:rPr>
        <w:fldChar w:fldCharType="begin"/>
      </w:r>
      <w:r>
        <w:rPr>
          <w:rFonts w:hint="default" w:ascii="Times New Roman" w:hAnsi="Times New Roman" w:eastAsia="仿宋" w:cs="Times New Roman"/>
          <w:b/>
          <w:bCs/>
          <w:snapToGrid w:val="0"/>
          <w:color w:val="auto"/>
          <w:sz w:val="28"/>
          <w:szCs w:val="28"/>
        </w:rPr>
        <w:instrText xml:space="preserve"> HYPERLINK \l _Toc2729 </w:instrText>
      </w:r>
      <w:r>
        <w:rPr>
          <w:rFonts w:hint="default" w:ascii="Times New Roman" w:hAnsi="Times New Roman" w:eastAsia="仿宋" w:cs="Times New Roman"/>
          <w:b/>
          <w:bCs/>
          <w:snapToGrid w:val="0"/>
          <w:color w:val="auto"/>
          <w:sz w:val="28"/>
          <w:szCs w:val="28"/>
        </w:rPr>
        <w:fldChar w:fldCharType="separate"/>
      </w:r>
      <w:r>
        <w:rPr>
          <w:rFonts w:hint="default" w:ascii="Times New Roman" w:hAnsi="Times New Roman" w:eastAsia="仿宋" w:cs="Times New Roman"/>
          <w:b/>
          <w:bCs/>
          <w:snapToGrid w:val="0"/>
          <w:color w:val="auto"/>
          <w:sz w:val="28"/>
          <w:szCs w:val="28"/>
        </w:rPr>
        <w:t>六、结论</w:t>
      </w:r>
      <w:r>
        <w:rPr>
          <w:rFonts w:hint="default" w:ascii="Times New Roman" w:hAnsi="Times New Roman" w:eastAsia="仿宋" w:cs="Times New Roman"/>
          <w:b/>
          <w:bCs/>
          <w:color w:val="auto"/>
          <w:sz w:val="28"/>
          <w:szCs w:val="28"/>
        </w:rPr>
        <w:tab/>
      </w:r>
      <w:r>
        <w:rPr>
          <w:rFonts w:hint="default" w:ascii="Times New Roman" w:hAnsi="Times New Roman" w:eastAsia="仿宋" w:cs="Times New Roman"/>
          <w:b/>
          <w:bCs/>
          <w:color w:val="auto"/>
          <w:sz w:val="28"/>
          <w:szCs w:val="28"/>
        </w:rPr>
        <w:fldChar w:fldCharType="begin"/>
      </w:r>
      <w:r>
        <w:rPr>
          <w:rFonts w:hint="default" w:ascii="Times New Roman" w:hAnsi="Times New Roman" w:eastAsia="仿宋" w:cs="Times New Roman"/>
          <w:b/>
          <w:bCs/>
          <w:color w:val="auto"/>
          <w:sz w:val="28"/>
          <w:szCs w:val="28"/>
        </w:rPr>
        <w:instrText xml:space="preserve"> PAGEREF _Toc2729 \h </w:instrText>
      </w:r>
      <w:r>
        <w:rPr>
          <w:rFonts w:hint="default" w:ascii="Times New Roman" w:hAnsi="Times New Roman" w:eastAsia="仿宋" w:cs="Times New Roman"/>
          <w:b/>
          <w:bCs/>
          <w:color w:val="auto"/>
          <w:sz w:val="28"/>
          <w:szCs w:val="28"/>
        </w:rPr>
        <w:fldChar w:fldCharType="separate"/>
      </w:r>
      <w:r>
        <w:rPr>
          <w:rFonts w:hint="default" w:ascii="Times New Roman" w:hAnsi="Times New Roman" w:eastAsia="仿宋" w:cs="Times New Roman"/>
          <w:b/>
          <w:bCs/>
          <w:color w:val="auto"/>
          <w:sz w:val="28"/>
          <w:szCs w:val="28"/>
        </w:rPr>
        <w:t>69</w:t>
      </w:r>
      <w:r>
        <w:rPr>
          <w:rFonts w:hint="default" w:ascii="Times New Roman" w:hAnsi="Times New Roman" w:eastAsia="仿宋" w:cs="Times New Roman"/>
          <w:b/>
          <w:bCs/>
          <w:color w:val="auto"/>
          <w:sz w:val="28"/>
          <w:szCs w:val="28"/>
        </w:rPr>
        <w:fldChar w:fldCharType="end"/>
      </w:r>
      <w:r>
        <w:rPr>
          <w:rFonts w:hint="default" w:ascii="Times New Roman" w:hAnsi="Times New Roman" w:eastAsia="仿宋" w:cs="Times New Roman"/>
          <w:b/>
          <w:bCs/>
          <w:snapToGrid w:val="0"/>
          <w:color w:val="auto"/>
          <w:sz w:val="28"/>
          <w:szCs w:val="28"/>
        </w:rPr>
        <w:fldChar w:fldCharType="end"/>
      </w:r>
    </w:p>
    <w:p w14:paraId="290B4D27">
      <w:pPr>
        <w:pStyle w:val="22"/>
        <w:spacing w:line="360" w:lineRule="auto"/>
        <w:jc w:val="center"/>
        <w:outlineLvl w:val="9"/>
        <w:rPr>
          <w:rFonts w:hint="default" w:ascii="Times New Roman" w:hAnsi="Times New Roman" w:eastAsia="黑体" w:cs="Times New Roman"/>
          <w:b/>
          <w:bCs/>
          <w:snapToGrid w:val="0"/>
          <w:color w:val="auto"/>
          <w:sz w:val="28"/>
          <w:szCs w:val="28"/>
        </w:rPr>
        <w:sectPr>
          <w:footerReference r:id="rId6" w:type="default"/>
          <w:pgSz w:w="11906" w:h="16838"/>
          <w:pgMar w:top="1191" w:right="1400" w:bottom="1417" w:left="1088" w:header="851" w:footer="1077" w:gutter="0"/>
          <w:pgBorders>
            <w:top w:val="none" w:sz="0" w:space="0"/>
            <w:left w:val="none" w:sz="0" w:space="0"/>
            <w:bottom w:val="none" w:sz="0" w:space="0"/>
            <w:right w:val="none" w:sz="0" w:space="0"/>
          </w:pgBorders>
          <w:pgNumType w:fmt="decimal" w:start="1"/>
          <w:cols w:space="720" w:num="1"/>
          <w:rtlGutter w:val="0"/>
          <w:docGrid w:linePitch="312" w:charSpace="0"/>
        </w:sectPr>
      </w:pPr>
      <w:r>
        <w:rPr>
          <w:rFonts w:hint="default" w:ascii="Times New Roman" w:hAnsi="Times New Roman" w:eastAsia="仿宋" w:cs="Times New Roman"/>
          <w:b/>
          <w:bCs/>
          <w:snapToGrid w:val="0"/>
          <w:color w:val="auto"/>
          <w:sz w:val="28"/>
          <w:szCs w:val="28"/>
        </w:rPr>
        <w:fldChar w:fldCharType="end"/>
      </w:r>
    </w:p>
    <w:p w14:paraId="14BD7A4F">
      <w:pPr>
        <w:pStyle w:val="22"/>
        <w:jc w:val="center"/>
        <w:outlineLvl w:val="0"/>
        <w:rPr>
          <w:rFonts w:hint="default" w:ascii="Times New Roman" w:hAnsi="Times New Roman" w:eastAsia="黑体" w:cs="Times New Roman"/>
          <w:snapToGrid w:val="0"/>
          <w:color w:val="auto"/>
          <w:sz w:val="30"/>
          <w:szCs w:val="30"/>
        </w:rPr>
      </w:pPr>
      <w:bookmarkStart w:id="1" w:name="_Toc31392"/>
      <w:r>
        <w:rPr>
          <w:rFonts w:hint="default" w:ascii="Times New Roman" w:hAnsi="Times New Roman" w:eastAsia="黑体" w:cs="Times New Roman"/>
          <w:snapToGrid w:val="0"/>
          <w:color w:val="auto"/>
          <w:sz w:val="30"/>
          <w:szCs w:val="30"/>
        </w:rPr>
        <w:t>一、建设项目基本情况</w:t>
      </w:r>
      <w:bookmarkEnd w:id="0"/>
      <w:bookmarkEnd w:id="1"/>
    </w:p>
    <w:tbl>
      <w:tblPr>
        <w:tblStyle w:val="27"/>
        <w:tblW w:w="96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26"/>
        <w:gridCol w:w="2790"/>
        <w:gridCol w:w="2022"/>
        <w:gridCol w:w="2796"/>
      </w:tblGrid>
      <w:tr w14:paraId="027D5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14:paraId="469B03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建设项目名称</w:t>
            </w:r>
          </w:p>
        </w:tc>
        <w:tc>
          <w:tcPr>
            <w:tcW w:w="7608" w:type="dxa"/>
            <w:gridSpan w:val="3"/>
            <w:noWrap w:val="0"/>
            <w:vAlign w:val="center"/>
          </w:tcPr>
          <w:p w14:paraId="2A550C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新建年产2800套辊轮项目</w:t>
            </w:r>
          </w:p>
        </w:tc>
      </w:tr>
      <w:tr w14:paraId="6EB74E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14:paraId="3D4B0F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项目代码</w:t>
            </w:r>
          </w:p>
        </w:tc>
        <w:tc>
          <w:tcPr>
            <w:tcW w:w="7608" w:type="dxa"/>
            <w:gridSpan w:val="3"/>
            <w:noWrap w:val="0"/>
            <w:vAlign w:val="center"/>
          </w:tcPr>
          <w:p w14:paraId="651626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2502-320413-04-01-124119</w:t>
            </w:r>
          </w:p>
        </w:tc>
      </w:tr>
      <w:tr w14:paraId="111EE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14:paraId="77FC56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建设单位联系人</w:t>
            </w:r>
          </w:p>
        </w:tc>
        <w:tc>
          <w:tcPr>
            <w:tcW w:w="2790" w:type="dxa"/>
            <w:noWrap w:val="0"/>
            <w:vAlign w:val="center"/>
          </w:tcPr>
          <w:p w14:paraId="79B07A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邱世军</w:t>
            </w:r>
          </w:p>
        </w:tc>
        <w:tc>
          <w:tcPr>
            <w:tcW w:w="2022" w:type="dxa"/>
            <w:noWrap w:val="0"/>
            <w:vAlign w:val="center"/>
          </w:tcPr>
          <w:p w14:paraId="514D68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联系方式</w:t>
            </w:r>
          </w:p>
        </w:tc>
        <w:tc>
          <w:tcPr>
            <w:tcW w:w="2796" w:type="dxa"/>
            <w:noWrap w:val="0"/>
            <w:vAlign w:val="center"/>
          </w:tcPr>
          <w:p w14:paraId="50D064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18151518777</w:t>
            </w:r>
          </w:p>
        </w:tc>
      </w:tr>
      <w:tr w14:paraId="767B29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14:paraId="0C501F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建设地点</w:t>
            </w:r>
          </w:p>
        </w:tc>
        <w:tc>
          <w:tcPr>
            <w:tcW w:w="7608" w:type="dxa"/>
            <w:gridSpan w:val="3"/>
            <w:noWrap w:val="0"/>
            <w:vAlign w:val="center"/>
          </w:tcPr>
          <w:p w14:paraId="34CD59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常州市金坛区朱林镇西岗集镇港城路99号</w:t>
            </w:r>
          </w:p>
        </w:tc>
      </w:tr>
      <w:tr w14:paraId="663C5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14:paraId="274A7A0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地理坐标</w:t>
            </w:r>
          </w:p>
        </w:tc>
        <w:tc>
          <w:tcPr>
            <w:tcW w:w="7608" w:type="dxa"/>
            <w:gridSpan w:val="3"/>
            <w:noWrap w:val="0"/>
            <w:vAlign w:val="center"/>
          </w:tcPr>
          <w:p w14:paraId="744646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u w:val="single"/>
              </w:rPr>
              <w:t xml:space="preserve"> </w:t>
            </w:r>
            <w:r>
              <w:rPr>
                <w:rFonts w:hint="eastAsia" w:cs="Times New Roman"/>
                <w:color w:val="auto"/>
                <w:szCs w:val="21"/>
                <w:u w:val="single"/>
                <w:lang w:val="en-US" w:eastAsia="zh-CN"/>
              </w:rPr>
              <w:t>119</w:t>
            </w:r>
            <w:r>
              <w:rPr>
                <w:rFonts w:hint="default" w:ascii="Times New Roman" w:hAnsi="Times New Roman" w:eastAsia="宋体" w:cs="Times New Roman"/>
                <w:color w:val="auto"/>
                <w:szCs w:val="21"/>
                <w:u w:val="single"/>
              </w:rPr>
              <w:t xml:space="preserve"> </w:t>
            </w:r>
            <w:r>
              <w:rPr>
                <w:rFonts w:hint="default" w:ascii="Times New Roman" w:hAnsi="Times New Roman" w:eastAsia="宋体" w:cs="Times New Roman"/>
                <w:color w:val="auto"/>
                <w:szCs w:val="21"/>
              </w:rPr>
              <w:t>度</w:t>
            </w:r>
            <w:r>
              <w:rPr>
                <w:rFonts w:hint="default" w:ascii="Times New Roman" w:hAnsi="Times New Roman" w:eastAsia="宋体" w:cs="Times New Roman"/>
                <w:color w:val="auto"/>
                <w:szCs w:val="21"/>
                <w:u w:val="single"/>
              </w:rPr>
              <w:t xml:space="preserve"> </w:t>
            </w:r>
            <w:r>
              <w:rPr>
                <w:rFonts w:hint="eastAsia" w:cs="Times New Roman"/>
                <w:color w:val="auto"/>
                <w:szCs w:val="21"/>
                <w:u w:val="single"/>
                <w:lang w:val="en-US" w:eastAsia="zh-CN"/>
              </w:rPr>
              <w:t>29</w:t>
            </w:r>
            <w:r>
              <w:rPr>
                <w:rFonts w:hint="default" w:ascii="Times New Roman" w:hAnsi="Times New Roman" w:eastAsia="宋体" w:cs="Times New Roman"/>
                <w:color w:val="auto"/>
                <w:szCs w:val="21"/>
                <w:u w:val="single"/>
              </w:rPr>
              <w:t xml:space="preserve"> </w:t>
            </w:r>
            <w:r>
              <w:rPr>
                <w:rFonts w:hint="default" w:ascii="Times New Roman" w:hAnsi="Times New Roman" w:eastAsia="宋体" w:cs="Times New Roman"/>
                <w:color w:val="auto"/>
                <w:szCs w:val="21"/>
              </w:rPr>
              <w:t>分</w:t>
            </w:r>
            <w:r>
              <w:rPr>
                <w:rFonts w:hint="default" w:ascii="Times New Roman" w:hAnsi="Times New Roman" w:eastAsia="宋体" w:cs="Times New Roman"/>
                <w:color w:val="auto"/>
                <w:szCs w:val="21"/>
                <w:u w:val="single"/>
              </w:rPr>
              <w:t xml:space="preserve"> </w:t>
            </w:r>
            <w:r>
              <w:rPr>
                <w:rFonts w:hint="eastAsia" w:cs="Times New Roman"/>
                <w:color w:val="auto"/>
                <w:szCs w:val="21"/>
                <w:u w:val="single"/>
                <w:lang w:val="en-US" w:eastAsia="zh-CN"/>
              </w:rPr>
              <w:t>05.404</w:t>
            </w:r>
            <w:r>
              <w:rPr>
                <w:rFonts w:hint="default" w:ascii="Times New Roman" w:hAnsi="Times New Roman" w:eastAsia="宋体" w:cs="Times New Roman"/>
                <w:color w:val="auto"/>
                <w:szCs w:val="21"/>
                <w:u w:val="single"/>
              </w:rPr>
              <w:t xml:space="preserve"> </w:t>
            </w:r>
            <w:r>
              <w:rPr>
                <w:rFonts w:hint="default" w:ascii="Times New Roman" w:hAnsi="Times New Roman" w:eastAsia="宋体" w:cs="Times New Roman"/>
                <w:color w:val="auto"/>
                <w:szCs w:val="21"/>
              </w:rPr>
              <w:t>秒，</w:t>
            </w:r>
            <w:r>
              <w:rPr>
                <w:rFonts w:hint="default" w:ascii="Times New Roman" w:hAnsi="Times New Roman" w:eastAsia="宋体" w:cs="Times New Roman"/>
                <w:color w:val="auto"/>
                <w:szCs w:val="21"/>
                <w:u w:val="single"/>
              </w:rPr>
              <w:t xml:space="preserve"> </w:t>
            </w:r>
            <w:r>
              <w:rPr>
                <w:rFonts w:hint="eastAsia" w:cs="Times New Roman"/>
                <w:color w:val="auto"/>
                <w:szCs w:val="21"/>
                <w:u w:val="single"/>
                <w:lang w:val="en-US" w:eastAsia="zh-CN"/>
              </w:rPr>
              <w:t>31</w:t>
            </w:r>
            <w:r>
              <w:rPr>
                <w:rFonts w:hint="default" w:ascii="Times New Roman" w:hAnsi="Times New Roman" w:eastAsia="宋体" w:cs="Times New Roman"/>
                <w:color w:val="auto"/>
                <w:szCs w:val="21"/>
                <w:u w:val="single"/>
              </w:rPr>
              <w:t xml:space="preserve"> </w:t>
            </w:r>
            <w:r>
              <w:rPr>
                <w:rFonts w:hint="default" w:ascii="Times New Roman" w:hAnsi="Times New Roman" w:eastAsia="宋体" w:cs="Times New Roman"/>
                <w:color w:val="auto"/>
                <w:szCs w:val="21"/>
              </w:rPr>
              <w:t>度</w:t>
            </w:r>
            <w:r>
              <w:rPr>
                <w:rFonts w:hint="default" w:ascii="Times New Roman" w:hAnsi="Times New Roman" w:eastAsia="宋体" w:cs="Times New Roman"/>
                <w:color w:val="auto"/>
                <w:szCs w:val="21"/>
                <w:u w:val="single"/>
              </w:rPr>
              <w:t xml:space="preserve"> </w:t>
            </w:r>
            <w:r>
              <w:rPr>
                <w:rFonts w:hint="eastAsia" w:cs="Times New Roman"/>
                <w:color w:val="auto"/>
                <w:szCs w:val="21"/>
                <w:u w:val="single"/>
                <w:lang w:val="en-US" w:eastAsia="zh-CN"/>
              </w:rPr>
              <w:t>42</w:t>
            </w:r>
            <w:r>
              <w:rPr>
                <w:rFonts w:hint="default" w:ascii="Times New Roman" w:hAnsi="Times New Roman" w:eastAsia="宋体" w:cs="Times New Roman"/>
                <w:color w:val="auto"/>
                <w:szCs w:val="21"/>
                <w:u w:val="single"/>
              </w:rPr>
              <w:t xml:space="preserve"> </w:t>
            </w:r>
            <w:r>
              <w:rPr>
                <w:rFonts w:hint="default" w:ascii="Times New Roman" w:hAnsi="Times New Roman" w:eastAsia="宋体" w:cs="Times New Roman"/>
                <w:color w:val="auto"/>
                <w:szCs w:val="21"/>
              </w:rPr>
              <w:t>分</w:t>
            </w:r>
            <w:r>
              <w:rPr>
                <w:rFonts w:hint="default" w:ascii="Times New Roman" w:hAnsi="Times New Roman" w:eastAsia="宋体" w:cs="Times New Roman"/>
                <w:color w:val="auto"/>
                <w:szCs w:val="21"/>
                <w:u w:val="single"/>
              </w:rPr>
              <w:t xml:space="preserve"> </w:t>
            </w:r>
            <w:r>
              <w:rPr>
                <w:rFonts w:hint="eastAsia" w:cs="Times New Roman"/>
                <w:color w:val="auto"/>
                <w:szCs w:val="21"/>
                <w:u w:val="single"/>
                <w:lang w:val="en-US" w:eastAsia="zh-CN"/>
              </w:rPr>
              <w:t>33.309</w:t>
            </w:r>
            <w:r>
              <w:rPr>
                <w:rFonts w:hint="default" w:ascii="Times New Roman" w:hAnsi="Times New Roman" w:eastAsia="宋体" w:cs="Times New Roman"/>
                <w:color w:val="auto"/>
                <w:szCs w:val="21"/>
              </w:rPr>
              <w:t>秒）</w:t>
            </w:r>
          </w:p>
        </w:tc>
      </w:tr>
      <w:tr w14:paraId="3CD72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26" w:type="dxa"/>
            <w:noWrap w:val="0"/>
            <w:tcMar>
              <w:top w:w="16" w:type="dxa"/>
              <w:left w:w="16" w:type="dxa"/>
              <w:right w:w="16" w:type="dxa"/>
            </w:tcMar>
            <w:vAlign w:val="center"/>
          </w:tcPr>
          <w:p w14:paraId="08F339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国民经济行业类别</w:t>
            </w:r>
          </w:p>
        </w:tc>
        <w:tc>
          <w:tcPr>
            <w:tcW w:w="2790" w:type="dxa"/>
            <w:noWrap w:val="0"/>
            <w:vAlign w:val="center"/>
          </w:tcPr>
          <w:p w14:paraId="599ECC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C2913橡胶零件制造</w:t>
            </w:r>
          </w:p>
        </w:tc>
        <w:tc>
          <w:tcPr>
            <w:tcW w:w="2022" w:type="dxa"/>
            <w:noWrap w:val="0"/>
            <w:vAlign w:val="center"/>
          </w:tcPr>
          <w:p w14:paraId="452090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bookmarkStart w:id="2" w:name="_Hlk49843745"/>
            <w:r>
              <w:rPr>
                <w:rFonts w:hint="default" w:ascii="Times New Roman" w:hAnsi="Times New Roman" w:eastAsia="宋体" w:cs="Times New Roman"/>
                <w:color w:val="auto"/>
                <w:szCs w:val="21"/>
              </w:rPr>
              <w:t>建设项目行业类别</w:t>
            </w:r>
            <w:bookmarkEnd w:id="2"/>
          </w:p>
        </w:tc>
        <w:tc>
          <w:tcPr>
            <w:tcW w:w="2796" w:type="dxa"/>
            <w:noWrap w:val="0"/>
            <w:vAlign w:val="center"/>
          </w:tcPr>
          <w:p w14:paraId="089EB4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橡胶制品业 291中“</w:t>
            </w:r>
            <w:r>
              <w:rPr>
                <w:rFonts w:hint="default" w:ascii="Times New Roman" w:hAnsi="Times New Roman" w:eastAsia="宋体" w:cs="Times New Roman"/>
                <w:color w:val="auto"/>
                <w:szCs w:val="21"/>
                <w:lang w:val="en-US" w:eastAsia="zh-CN"/>
              </w:rPr>
              <w:t>其他</w:t>
            </w:r>
            <w:r>
              <w:rPr>
                <w:rFonts w:hint="eastAsia" w:cs="Times New Roman"/>
                <w:color w:val="auto"/>
                <w:szCs w:val="21"/>
                <w:lang w:val="en-US" w:eastAsia="zh-CN"/>
              </w:rPr>
              <w:t>”</w:t>
            </w:r>
          </w:p>
        </w:tc>
      </w:tr>
      <w:tr w14:paraId="6DE2D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26" w:type="dxa"/>
            <w:noWrap w:val="0"/>
            <w:tcMar>
              <w:top w:w="16" w:type="dxa"/>
              <w:left w:w="16" w:type="dxa"/>
              <w:right w:w="16" w:type="dxa"/>
            </w:tcMar>
            <w:vAlign w:val="center"/>
          </w:tcPr>
          <w:p w14:paraId="035824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建设性质</w:t>
            </w:r>
          </w:p>
        </w:tc>
        <w:tc>
          <w:tcPr>
            <w:tcW w:w="2790" w:type="dxa"/>
            <w:noWrap w:val="0"/>
            <w:vAlign w:val="center"/>
          </w:tcPr>
          <w:p w14:paraId="4654FA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cs="Times New Roman"/>
                <w:color w:val="auto"/>
                <w:szCs w:val="21"/>
                <w:lang w:val="en-US" w:eastAsia="zh-CN"/>
              </w:rPr>
              <w:t>新建</w:t>
            </w:r>
          </w:p>
        </w:tc>
        <w:tc>
          <w:tcPr>
            <w:tcW w:w="2022" w:type="dxa"/>
            <w:noWrap w:val="0"/>
            <w:vAlign w:val="center"/>
          </w:tcPr>
          <w:p w14:paraId="434F62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建设项目申报情形</w:t>
            </w:r>
          </w:p>
        </w:tc>
        <w:tc>
          <w:tcPr>
            <w:tcW w:w="2796" w:type="dxa"/>
            <w:noWrap w:val="0"/>
            <w:vAlign w:val="center"/>
          </w:tcPr>
          <w:p w14:paraId="1AC1A2CD">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首次申报项目</w:t>
            </w:r>
          </w:p>
          <w:p w14:paraId="1E6A400B">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不予批准后再次申报项目</w:t>
            </w:r>
          </w:p>
          <w:p w14:paraId="2B709201">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超五年重新审核项目</w:t>
            </w:r>
          </w:p>
          <w:p w14:paraId="7675AA2E">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重大变动重新报批项目</w:t>
            </w:r>
          </w:p>
        </w:tc>
      </w:tr>
      <w:tr w14:paraId="468E2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26" w:type="dxa"/>
            <w:noWrap w:val="0"/>
            <w:tcMar>
              <w:top w:w="16" w:type="dxa"/>
              <w:left w:w="16" w:type="dxa"/>
              <w:right w:w="16" w:type="dxa"/>
            </w:tcMar>
            <w:vAlign w:val="center"/>
          </w:tcPr>
          <w:p w14:paraId="4CE835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项目备案部门</w:t>
            </w:r>
          </w:p>
        </w:tc>
        <w:tc>
          <w:tcPr>
            <w:tcW w:w="2790" w:type="dxa"/>
            <w:noWrap w:val="0"/>
            <w:vAlign w:val="center"/>
          </w:tcPr>
          <w:p w14:paraId="445123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常州市金坛区发展和改革局</w:t>
            </w:r>
          </w:p>
        </w:tc>
        <w:tc>
          <w:tcPr>
            <w:tcW w:w="2022" w:type="dxa"/>
            <w:noWrap w:val="0"/>
            <w:vAlign w:val="center"/>
          </w:tcPr>
          <w:p w14:paraId="187B1E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项目备案文号</w:t>
            </w:r>
          </w:p>
        </w:tc>
        <w:tc>
          <w:tcPr>
            <w:tcW w:w="2796" w:type="dxa"/>
            <w:noWrap w:val="0"/>
            <w:vAlign w:val="center"/>
          </w:tcPr>
          <w:p w14:paraId="7827C5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坛发改备〔2025〕43号</w:t>
            </w:r>
          </w:p>
        </w:tc>
      </w:tr>
      <w:tr w14:paraId="419EA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14:paraId="6A8818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总投资（万元）</w:t>
            </w:r>
          </w:p>
        </w:tc>
        <w:tc>
          <w:tcPr>
            <w:tcW w:w="2790" w:type="dxa"/>
            <w:noWrap w:val="0"/>
            <w:vAlign w:val="center"/>
          </w:tcPr>
          <w:p w14:paraId="5DCB66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1800</w:t>
            </w:r>
          </w:p>
        </w:tc>
        <w:tc>
          <w:tcPr>
            <w:tcW w:w="2022" w:type="dxa"/>
            <w:noWrap w:val="0"/>
            <w:tcMar>
              <w:top w:w="16" w:type="dxa"/>
              <w:left w:w="16" w:type="dxa"/>
              <w:right w:w="16" w:type="dxa"/>
            </w:tcMar>
            <w:vAlign w:val="center"/>
          </w:tcPr>
          <w:p w14:paraId="2A3E90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环保投资（万元）</w:t>
            </w:r>
          </w:p>
        </w:tc>
        <w:tc>
          <w:tcPr>
            <w:tcW w:w="2796" w:type="dxa"/>
            <w:noWrap w:val="0"/>
            <w:vAlign w:val="center"/>
          </w:tcPr>
          <w:p w14:paraId="0148BA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r>
      <w:tr w14:paraId="7D3B6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14:paraId="0F3838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环保投资占比（%）</w:t>
            </w:r>
          </w:p>
        </w:tc>
        <w:tc>
          <w:tcPr>
            <w:tcW w:w="2790" w:type="dxa"/>
            <w:noWrap w:val="0"/>
            <w:vAlign w:val="center"/>
          </w:tcPr>
          <w:p w14:paraId="74FAE8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2.8</w:t>
            </w:r>
          </w:p>
        </w:tc>
        <w:tc>
          <w:tcPr>
            <w:tcW w:w="2022" w:type="dxa"/>
            <w:noWrap w:val="0"/>
            <w:tcMar>
              <w:top w:w="16" w:type="dxa"/>
              <w:left w:w="16" w:type="dxa"/>
              <w:right w:w="16" w:type="dxa"/>
            </w:tcMar>
            <w:vAlign w:val="center"/>
          </w:tcPr>
          <w:p w14:paraId="179CD4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施工工期</w:t>
            </w:r>
          </w:p>
        </w:tc>
        <w:tc>
          <w:tcPr>
            <w:tcW w:w="2796" w:type="dxa"/>
            <w:noWrap w:val="0"/>
            <w:vAlign w:val="center"/>
          </w:tcPr>
          <w:p w14:paraId="5F2842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cs="Times New Roman"/>
                <w:color w:val="auto"/>
                <w:szCs w:val="21"/>
                <w:lang w:val="en-US" w:eastAsia="zh-CN"/>
              </w:rPr>
              <w:t>2</w:t>
            </w:r>
            <w:r>
              <w:rPr>
                <w:rFonts w:hint="default" w:ascii="Times New Roman" w:hAnsi="Times New Roman" w:eastAsia="宋体" w:cs="Times New Roman"/>
                <w:color w:val="auto"/>
                <w:szCs w:val="21"/>
              </w:rPr>
              <w:t>个月</w:t>
            </w:r>
          </w:p>
        </w:tc>
      </w:tr>
      <w:tr w14:paraId="51B12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14:paraId="3C2B18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是否开工建设</w:t>
            </w:r>
          </w:p>
        </w:tc>
        <w:tc>
          <w:tcPr>
            <w:tcW w:w="2790" w:type="dxa"/>
            <w:noWrap w:val="0"/>
            <w:vAlign w:val="center"/>
          </w:tcPr>
          <w:p w14:paraId="34493C6F">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rPr>
            </w:pPr>
            <w:r>
              <w:rPr>
                <w:rFonts w:hint="eastAsia" w:cs="Times New Roman"/>
                <w:color w:val="auto"/>
                <w:szCs w:val="21"/>
                <w:lang w:eastAsia="zh-CN"/>
              </w:rPr>
              <w:t>☑</w:t>
            </w:r>
            <w:r>
              <w:rPr>
                <w:rFonts w:hint="default" w:ascii="Times New Roman" w:hAnsi="Times New Roman" w:eastAsia="宋体" w:cs="Times New Roman"/>
                <w:color w:val="auto"/>
                <w:szCs w:val="21"/>
              </w:rPr>
              <w:t>否</w:t>
            </w:r>
          </w:p>
          <w:p w14:paraId="61671CB6">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是：</w:t>
            </w:r>
            <w:r>
              <w:rPr>
                <w:rFonts w:hint="eastAsia" w:cs="Times New Roman"/>
                <w:color w:val="auto"/>
                <w:szCs w:val="21"/>
                <w:u w:val="single"/>
                <w:lang w:val="en-US" w:eastAsia="zh-CN"/>
              </w:rPr>
              <w:t xml:space="preserve">         </w:t>
            </w:r>
          </w:p>
        </w:tc>
        <w:tc>
          <w:tcPr>
            <w:tcW w:w="2022" w:type="dxa"/>
            <w:noWrap w:val="0"/>
            <w:tcMar>
              <w:top w:w="16" w:type="dxa"/>
              <w:left w:w="16" w:type="dxa"/>
              <w:right w:w="16" w:type="dxa"/>
            </w:tcMar>
            <w:vAlign w:val="center"/>
          </w:tcPr>
          <w:p w14:paraId="5A2719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用地面积（m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w:t>
            </w:r>
          </w:p>
        </w:tc>
        <w:tc>
          <w:tcPr>
            <w:tcW w:w="2796" w:type="dxa"/>
            <w:noWrap w:val="0"/>
            <w:vAlign w:val="center"/>
          </w:tcPr>
          <w:p w14:paraId="209B6AB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2893.8</w:t>
            </w:r>
            <w:r>
              <w:rPr>
                <w:rFonts w:hint="default" w:ascii="Times New Roman" w:hAnsi="Times New Roman" w:eastAsia="宋体" w:cs="Times New Roman"/>
                <w:color w:val="auto"/>
                <w:szCs w:val="21"/>
                <w:lang w:val="en-US"/>
              </w:rPr>
              <w:t>m</w:t>
            </w:r>
            <w:r>
              <w:rPr>
                <w:rFonts w:hint="default" w:ascii="Times New Roman" w:hAnsi="Times New Roman" w:eastAsia="宋体" w:cs="Times New Roman"/>
                <w:color w:val="auto"/>
                <w:szCs w:val="21"/>
                <w:vertAlign w:val="superscript"/>
                <w:lang w:val="en-US"/>
              </w:rPr>
              <w:t>2</w:t>
            </w:r>
            <w:r>
              <w:rPr>
                <w:rFonts w:hint="eastAsia" w:cs="Times New Roman"/>
                <w:color w:val="auto"/>
                <w:szCs w:val="21"/>
                <w:vertAlign w:val="baseline"/>
                <w:lang w:val="en-US" w:eastAsia="zh-CN"/>
              </w:rPr>
              <w:t>（租赁）</w:t>
            </w:r>
          </w:p>
        </w:tc>
      </w:tr>
      <w:tr w14:paraId="2F0ADA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2026" w:type="dxa"/>
            <w:noWrap w:val="0"/>
            <w:vAlign w:val="center"/>
          </w:tcPr>
          <w:p w14:paraId="3518E8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专项评价设置情况</w:t>
            </w:r>
          </w:p>
        </w:tc>
        <w:tc>
          <w:tcPr>
            <w:tcW w:w="7608" w:type="dxa"/>
            <w:gridSpan w:val="3"/>
            <w:noWrap w:val="0"/>
            <w:vAlign w:val="center"/>
          </w:tcPr>
          <w:p w14:paraId="5264EECB">
            <w:pPr>
              <w:keepNext w:val="0"/>
              <w:keepLines w:val="0"/>
              <w:widowControl/>
              <w:suppressLineNumbers w:val="0"/>
              <w:spacing w:before="0" w:beforeAutospacing="0" w:after="0" w:afterAutospacing="0"/>
              <w:ind w:left="0" w:right="0"/>
              <w:jc w:val="left"/>
              <w:rPr>
                <w:rFonts w:hint="default" w:cs="Times New Roman"/>
                <w:color w:val="auto"/>
                <w:sz w:val="21"/>
                <w:szCs w:val="21"/>
              </w:rPr>
            </w:pPr>
            <w:r>
              <w:rPr>
                <w:rFonts w:hint="eastAsia" w:ascii="宋体" w:hAnsi="宋体" w:eastAsia="宋体" w:cs="宋体"/>
                <w:color w:val="auto"/>
                <w:kern w:val="0"/>
                <w:sz w:val="21"/>
                <w:szCs w:val="21"/>
                <w:lang w:val="en-US" w:eastAsia="zh-CN" w:bidi="ar"/>
              </w:rPr>
              <w:t>专项评价设置对照表对照情况如下：</w:t>
            </w:r>
          </w:p>
          <w:p w14:paraId="6BD76168">
            <w:pPr>
              <w:pStyle w:val="5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表</w:t>
            </w:r>
            <w:r>
              <w:rPr>
                <w:rFonts w:hint="default" w:ascii="Times New Roman" w:hAnsi="Times New Roman" w:eastAsia="宋体" w:cs="Times New Roman"/>
                <w:b/>
                <w:bCs/>
                <w:color w:val="auto"/>
                <w:kern w:val="2"/>
                <w:sz w:val="21"/>
                <w:szCs w:val="24"/>
                <w:lang w:val="en-US" w:eastAsia="zh-CN" w:bidi="ar-SA"/>
              </w:rPr>
              <w:t xml:space="preserve">1-1 </w:t>
            </w:r>
            <w:r>
              <w:rPr>
                <w:rFonts w:hint="eastAsia" w:ascii="Times New Roman" w:hAnsi="Times New Roman" w:eastAsia="宋体" w:cs="Times New Roman"/>
                <w:b/>
                <w:bCs/>
                <w:color w:val="auto"/>
                <w:kern w:val="2"/>
                <w:sz w:val="21"/>
                <w:szCs w:val="24"/>
                <w:lang w:val="en-US" w:eastAsia="zh-CN" w:bidi="ar-SA"/>
              </w:rPr>
              <w:t xml:space="preserve"> 专项评价设置对照表</w:t>
            </w:r>
          </w:p>
          <w:tbl>
            <w:tblPr>
              <w:tblStyle w:val="2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3056"/>
              <w:gridCol w:w="2467"/>
              <w:gridCol w:w="771"/>
            </w:tblGrid>
            <w:tr w14:paraId="2997E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43" w:type="pct"/>
                  <w:tcBorders>
                    <w:tl2br w:val="nil"/>
                    <w:tr2bl w:val="nil"/>
                  </w:tcBorders>
                  <w:noWrap w:val="0"/>
                  <w:vAlign w:val="center"/>
                </w:tcPr>
                <w:p w14:paraId="6B0AAF1A">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专项评价的类别</w:t>
                  </w:r>
                </w:p>
              </w:tc>
              <w:tc>
                <w:tcPr>
                  <w:tcW w:w="2066" w:type="pct"/>
                  <w:tcBorders>
                    <w:tl2br w:val="nil"/>
                    <w:tr2bl w:val="nil"/>
                  </w:tcBorders>
                  <w:noWrap w:val="0"/>
                  <w:vAlign w:val="center"/>
                </w:tcPr>
                <w:p w14:paraId="689BA091">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设置原则</w:t>
                  </w:r>
                </w:p>
              </w:tc>
              <w:tc>
                <w:tcPr>
                  <w:tcW w:w="1668" w:type="pct"/>
                  <w:tcBorders>
                    <w:tl2br w:val="nil"/>
                    <w:tr2bl w:val="nil"/>
                  </w:tcBorders>
                  <w:noWrap w:val="0"/>
                  <w:vAlign w:val="center"/>
                </w:tcPr>
                <w:p w14:paraId="52952B6E">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对照情况</w:t>
                  </w:r>
                </w:p>
              </w:tc>
              <w:tc>
                <w:tcPr>
                  <w:tcW w:w="521" w:type="pct"/>
                  <w:tcBorders>
                    <w:tl2br w:val="nil"/>
                    <w:tr2bl w:val="nil"/>
                  </w:tcBorders>
                  <w:noWrap w:val="0"/>
                  <w:vAlign w:val="center"/>
                </w:tcPr>
                <w:p w14:paraId="518B8C79">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是否设置</w:t>
                  </w:r>
                </w:p>
              </w:tc>
            </w:tr>
            <w:tr w14:paraId="284C9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43" w:type="pct"/>
                  <w:tcBorders>
                    <w:tl2br w:val="nil"/>
                    <w:tr2bl w:val="nil"/>
                  </w:tcBorders>
                  <w:noWrap w:val="0"/>
                  <w:vAlign w:val="center"/>
                </w:tcPr>
                <w:p w14:paraId="5914A729">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大气</w:t>
                  </w:r>
                </w:p>
              </w:tc>
              <w:tc>
                <w:tcPr>
                  <w:tcW w:w="2066" w:type="pct"/>
                  <w:tcBorders>
                    <w:tl2br w:val="nil"/>
                    <w:tr2bl w:val="nil"/>
                  </w:tcBorders>
                  <w:noWrap w:val="0"/>
                  <w:vAlign w:val="center"/>
                </w:tcPr>
                <w:p w14:paraId="38F9B240">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排放废气含有毒有害污染物</w:t>
                  </w:r>
                  <w:r>
                    <w:rPr>
                      <w:rFonts w:hint="default" w:ascii="Times New Roman" w:hAnsi="Times New Roman" w:eastAsia="仿宋" w:cs="Times New Roman"/>
                      <w:color w:val="auto"/>
                      <w:sz w:val="21"/>
                      <w:szCs w:val="21"/>
                      <w:vertAlign w:val="superscript"/>
                      <w:lang w:val="en-US" w:eastAsia="zh-CN"/>
                    </w:rPr>
                    <w:t>1</w:t>
                  </w:r>
                  <w:r>
                    <w:rPr>
                      <w:rFonts w:hint="default" w:ascii="Times New Roman" w:hAnsi="Times New Roman" w:eastAsia="仿宋" w:cs="Times New Roman"/>
                      <w:color w:val="auto"/>
                      <w:sz w:val="21"/>
                      <w:szCs w:val="21"/>
                      <w:lang w:val="en-US" w:eastAsia="zh-CN"/>
                    </w:rPr>
                    <w:t>、二嗯英、苯并〔a〕芘、氰化物、氯气且厂界外500米范围内有环境空气保护目标</w:t>
                  </w:r>
                  <w:r>
                    <w:rPr>
                      <w:rFonts w:hint="default" w:ascii="Times New Roman" w:hAnsi="Times New Roman" w:eastAsia="仿宋" w:cs="Times New Roman"/>
                      <w:color w:val="auto"/>
                      <w:sz w:val="21"/>
                      <w:szCs w:val="21"/>
                      <w:vertAlign w:val="superscript"/>
                      <w:lang w:val="en-US" w:eastAsia="zh-CN"/>
                    </w:rPr>
                    <w:t>2</w:t>
                  </w:r>
                  <w:r>
                    <w:rPr>
                      <w:rFonts w:hint="default" w:ascii="Times New Roman" w:hAnsi="Times New Roman" w:eastAsia="仿宋" w:cs="Times New Roman"/>
                      <w:color w:val="auto"/>
                      <w:sz w:val="21"/>
                      <w:szCs w:val="21"/>
                      <w:lang w:val="en-US" w:eastAsia="zh-CN"/>
                    </w:rPr>
                    <w:t>的建设项目</w:t>
                  </w:r>
                </w:p>
              </w:tc>
              <w:tc>
                <w:tcPr>
                  <w:tcW w:w="1668" w:type="pct"/>
                  <w:tcBorders>
                    <w:tl2br w:val="nil"/>
                    <w:tr2bl w:val="nil"/>
                  </w:tcBorders>
                  <w:noWrap w:val="0"/>
                  <w:vAlign w:val="center"/>
                </w:tcPr>
                <w:p w14:paraId="239F28D5">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本项目不涉及有毒有害污染物</w:t>
                  </w:r>
                </w:p>
              </w:tc>
              <w:tc>
                <w:tcPr>
                  <w:tcW w:w="521" w:type="pct"/>
                  <w:tcBorders>
                    <w:tl2br w:val="nil"/>
                    <w:tr2bl w:val="nil"/>
                  </w:tcBorders>
                  <w:noWrap w:val="0"/>
                  <w:vAlign w:val="center"/>
                </w:tcPr>
                <w:p w14:paraId="314F628F">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否</w:t>
                  </w:r>
                </w:p>
              </w:tc>
            </w:tr>
            <w:tr w14:paraId="6E5E5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743" w:type="pct"/>
                  <w:tcBorders>
                    <w:tl2br w:val="nil"/>
                    <w:tr2bl w:val="nil"/>
                  </w:tcBorders>
                  <w:noWrap w:val="0"/>
                  <w:vAlign w:val="center"/>
                </w:tcPr>
                <w:p w14:paraId="5A8AF889">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地表水</w:t>
                  </w:r>
                </w:p>
              </w:tc>
              <w:tc>
                <w:tcPr>
                  <w:tcW w:w="2066" w:type="pct"/>
                  <w:tcBorders>
                    <w:tl2br w:val="nil"/>
                    <w:tr2bl w:val="nil"/>
                  </w:tcBorders>
                  <w:noWrap w:val="0"/>
                  <w:vAlign w:val="center"/>
                </w:tcPr>
                <w:p w14:paraId="55E85BDC">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新增工业废水直排建设项目（槽罐车外送污水处理厂的除外）；新增废水直排的污水集中处理厂</w:t>
                  </w:r>
                </w:p>
              </w:tc>
              <w:tc>
                <w:tcPr>
                  <w:tcW w:w="1668" w:type="pct"/>
                  <w:tcBorders>
                    <w:tl2br w:val="nil"/>
                    <w:tr2bl w:val="nil"/>
                  </w:tcBorders>
                  <w:noWrap w:val="0"/>
                  <w:vAlign w:val="center"/>
                </w:tcPr>
                <w:p w14:paraId="1FA313ED">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本项目不涉及工业废水的直排</w:t>
                  </w:r>
                </w:p>
              </w:tc>
              <w:tc>
                <w:tcPr>
                  <w:tcW w:w="521" w:type="pct"/>
                  <w:tcBorders>
                    <w:tl2br w:val="nil"/>
                    <w:tr2bl w:val="nil"/>
                  </w:tcBorders>
                  <w:noWrap w:val="0"/>
                  <w:vAlign w:val="center"/>
                </w:tcPr>
                <w:p w14:paraId="1473E68C">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否</w:t>
                  </w:r>
                </w:p>
              </w:tc>
            </w:tr>
            <w:tr w14:paraId="4C4FB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743" w:type="pct"/>
                  <w:tcBorders>
                    <w:tl2br w:val="nil"/>
                    <w:tr2bl w:val="nil"/>
                  </w:tcBorders>
                  <w:noWrap w:val="0"/>
                  <w:vAlign w:val="center"/>
                </w:tcPr>
                <w:p w14:paraId="4EFE8A50">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环境风险</w:t>
                  </w:r>
                </w:p>
              </w:tc>
              <w:tc>
                <w:tcPr>
                  <w:tcW w:w="2066" w:type="pct"/>
                  <w:tcBorders>
                    <w:tl2br w:val="nil"/>
                    <w:tr2bl w:val="nil"/>
                  </w:tcBorders>
                  <w:noWrap w:val="0"/>
                  <w:vAlign w:val="center"/>
                </w:tcPr>
                <w:p w14:paraId="6F7CA18E">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有毒有害和易燃易爆危险物质存储量超过临界量</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的建设项目</w:t>
                  </w:r>
                </w:p>
              </w:tc>
              <w:tc>
                <w:tcPr>
                  <w:tcW w:w="1668" w:type="pct"/>
                  <w:tcBorders>
                    <w:tl2br w:val="nil"/>
                    <w:tr2bl w:val="nil"/>
                  </w:tcBorders>
                  <w:noWrap w:val="0"/>
                  <w:vAlign w:val="center"/>
                </w:tcPr>
                <w:p w14:paraId="3F5DBB4C">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本项目危险物质存储量不超过临界量</w:t>
                  </w:r>
                </w:p>
              </w:tc>
              <w:tc>
                <w:tcPr>
                  <w:tcW w:w="521" w:type="pct"/>
                  <w:tcBorders>
                    <w:tl2br w:val="nil"/>
                    <w:tr2bl w:val="nil"/>
                  </w:tcBorders>
                  <w:noWrap w:val="0"/>
                  <w:vAlign w:val="center"/>
                </w:tcPr>
                <w:p w14:paraId="1306FAB3">
                  <w:pPr>
                    <w:pStyle w:val="5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否</w:t>
                  </w:r>
                </w:p>
              </w:tc>
            </w:tr>
            <w:tr w14:paraId="481CF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743" w:type="pct"/>
                  <w:tcBorders>
                    <w:tl2br w:val="nil"/>
                    <w:tr2bl w:val="nil"/>
                  </w:tcBorders>
                  <w:noWrap w:val="0"/>
                  <w:vAlign w:val="center"/>
                </w:tcPr>
                <w:p w14:paraId="22B97C0A">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生态</w:t>
                  </w:r>
                </w:p>
              </w:tc>
              <w:tc>
                <w:tcPr>
                  <w:tcW w:w="2066" w:type="pct"/>
                  <w:tcBorders>
                    <w:tl2br w:val="nil"/>
                    <w:tr2bl w:val="nil"/>
                  </w:tcBorders>
                  <w:noWrap w:val="0"/>
                  <w:vAlign w:val="center"/>
                </w:tcPr>
                <w:p w14:paraId="6BA8BC88">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取水口下游500米范围内有重要水生生物的自然产卵场、索饵场、越冬场和洄游通道的新增河道取水的污染类建设项目</w:t>
                  </w:r>
                </w:p>
              </w:tc>
              <w:tc>
                <w:tcPr>
                  <w:tcW w:w="1668" w:type="pct"/>
                  <w:tcBorders>
                    <w:tl2br w:val="nil"/>
                    <w:tr2bl w:val="nil"/>
                  </w:tcBorders>
                  <w:noWrap w:val="0"/>
                  <w:vAlign w:val="center"/>
                </w:tcPr>
                <w:p w14:paraId="27ECAA48">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本项目不涉及</w:t>
                  </w:r>
                </w:p>
              </w:tc>
              <w:tc>
                <w:tcPr>
                  <w:tcW w:w="521" w:type="pct"/>
                  <w:tcBorders>
                    <w:tl2br w:val="nil"/>
                    <w:tr2bl w:val="nil"/>
                  </w:tcBorders>
                  <w:noWrap w:val="0"/>
                  <w:vAlign w:val="center"/>
                </w:tcPr>
                <w:p w14:paraId="641D9DC0">
                  <w:pPr>
                    <w:pStyle w:val="5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否</w:t>
                  </w:r>
                </w:p>
              </w:tc>
            </w:tr>
            <w:tr w14:paraId="680EB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743" w:type="pct"/>
                  <w:tcBorders>
                    <w:tl2br w:val="nil"/>
                    <w:tr2bl w:val="nil"/>
                  </w:tcBorders>
                  <w:noWrap w:val="0"/>
                  <w:vAlign w:val="center"/>
                </w:tcPr>
                <w:p w14:paraId="1AC8F24F">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海洋</w:t>
                  </w:r>
                </w:p>
              </w:tc>
              <w:tc>
                <w:tcPr>
                  <w:tcW w:w="2066" w:type="pct"/>
                  <w:tcBorders>
                    <w:tl2br w:val="nil"/>
                    <w:tr2bl w:val="nil"/>
                  </w:tcBorders>
                  <w:noWrap w:val="0"/>
                  <w:vAlign w:val="center"/>
                </w:tcPr>
                <w:p w14:paraId="70DC9FF9">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直接向海排放污染物的海洋工程建设项目</w:t>
                  </w:r>
                </w:p>
              </w:tc>
              <w:tc>
                <w:tcPr>
                  <w:tcW w:w="1668" w:type="pct"/>
                  <w:tcBorders>
                    <w:tl2br w:val="nil"/>
                    <w:tr2bl w:val="nil"/>
                  </w:tcBorders>
                  <w:noWrap w:val="0"/>
                  <w:vAlign w:val="center"/>
                </w:tcPr>
                <w:p w14:paraId="66B49CE0">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本项目不涉及</w:t>
                  </w:r>
                </w:p>
              </w:tc>
              <w:tc>
                <w:tcPr>
                  <w:tcW w:w="521" w:type="pct"/>
                  <w:tcBorders>
                    <w:tl2br w:val="nil"/>
                    <w:tr2bl w:val="nil"/>
                  </w:tcBorders>
                  <w:noWrap w:val="0"/>
                  <w:vAlign w:val="center"/>
                </w:tcPr>
                <w:p w14:paraId="12F5C070">
                  <w:pPr>
                    <w:pStyle w:val="5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否</w:t>
                  </w:r>
                </w:p>
              </w:tc>
            </w:tr>
          </w:tbl>
          <w:p w14:paraId="3DFE6F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注：1.废气中有毒有害污染物指纳入《有毒有害大气污染物名录》的污染物（不包括无排放标准的污染物）。</w:t>
            </w:r>
          </w:p>
          <w:p w14:paraId="5F546B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2.环境空气保护目标指自然保护区、风景名胜区、居住区、文化区和农村地区中人群较集中的区域。</w:t>
            </w:r>
          </w:p>
          <w:p w14:paraId="5B40D9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3.临界量及其计算方法可参考《建设项目环境风险评价技术导则》（HJ 169）附录B、附录C。</w:t>
            </w:r>
          </w:p>
        </w:tc>
      </w:tr>
      <w:tr w14:paraId="529AE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6" w:type="dxa"/>
            <w:noWrap w:val="0"/>
            <w:vAlign w:val="center"/>
          </w:tcPr>
          <w:p w14:paraId="5E705D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规划情况</w:t>
            </w:r>
          </w:p>
        </w:tc>
        <w:tc>
          <w:tcPr>
            <w:tcW w:w="7608" w:type="dxa"/>
            <w:gridSpan w:val="3"/>
            <w:noWrap w:val="0"/>
            <w:vAlign w:val="center"/>
          </w:tcPr>
          <w:p w14:paraId="7D792D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cs="Times New Roman"/>
                <w:color w:val="auto"/>
                <w:lang w:val="en-US" w:eastAsia="zh-CN"/>
              </w:rPr>
            </w:pPr>
            <w:r>
              <w:rPr>
                <w:rFonts w:hint="default" w:cs="Times New Roman"/>
                <w:color w:val="auto"/>
                <w:lang w:val="en-US" w:eastAsia="zh-CN"/>
              </w:rPr>
              <w:t>名称：常州市金坛区国土空间规划近期实施方案</w:t>
            </w:r>
          </w:p>
          <w:p w14:paraId="28F4F3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cs="Times New Roman"/>
                <w:color w:val="auto"/>
                <w:lang w:val="en-US" w:eastAsia="zh-CN"/>
              </w:rPr>
            </w:pPr>
            <w:r>
              <w:rPr>
                <w:rFonts w:hint="default" w:cs="Times New Roman"/>
                <w:color w:val="auto"/>
                <w:lang w:val="en-US" w:eastAsia="zh-CN"/>
              </w:rPr>
              <w:t>审批机关：江苏省自然资源厅</w:t>
            </w:r>
          </w:p>
          <w:p w14:paraId="24519C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cs="Times New Roman"/>
                <w:color w:val="auto"/>
                <w:lang w:val="en-US" w:eastAsia="zh-CN"/>
              </w:rPr>
            </w:pPr>
            <w:r>
              <w:rPr>
                <w:rFonts w:hint="default" w:cs="Times New Roman"/>
                <w:color w:val="auto"/>
                <w:lang w:val="en-US" w:eastAsia="zh-CN"/>
              </w:rPr>
              <w:t>审批文件名称及文号：/</w:t>
            </w:r>
          </w:p>
        </w:tc>
      </w:tr>
      <w:tr w14:paraId="0C176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2026" w:type="dxa"/>
            <w:noWrap w:val="0"/>
            <w:vAlign w:val="center"/>
          </w:tcPr>
          <w:p w14:paraId="35F489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规划环境影响</w:t>
            </w:r>
          </w:p>
          <w:p w14:paraId="2FAA27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评价情况</w:t>
            </w:r>
          </w:p>
        </w:tc>
        <w:tc>
          <w:tcPr>
            <w:tcW w:w="7608" w:type="dxa"/>
            <w:gridSpan w:val="3"/>
            <w:noWrap w:val="0"/>
            <w:vAlign w:val="center"/>
          </w:tcPr>
          <w:p w14:paraId="76A007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无</w:t>
            </w:r>
          </w:p>
        </w:tc>
      </w:tr>
      <w:tr w14:paraId="08A21F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6" w:type="dxa"/>
            <w:noWrap w:val="0"/>
            <w:vAlign w:val="center"/>
          </w:tcPr>
          <w:p w14:paraId="40397F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规划及规划环境影响评价符合性分析</w:t>
            </w:r>
          </w:p>
        </w:tc>
        <w:tc>
          <w:tcPr>
            <w:tcW w:w="7608" w:type="dxa"/>
            <w:gridSpan w:val="3"/>
            <w:noWrap w:val="0"/>
            <w:vAlign w:val="center"/>
          </w:tcPr>
          <w:p w14:paraId="5FAB8406">
            <w:pPr>
              <w:pStyle w:val="5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与《常州市金坛区国土空间规划近期实施方案》相符性分析</w:t>
            </w:r>
          </w:p>
          <w:p w14:paraId="567CD805">
            <w:pPr>
              <w:pStyle w:val="5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经对照，项目所在地为建设用地。本项目用地性质为工业用地，符合国土空间规划。</w:t>
            </w:r>
          </w:p>
        </w:tc>
      </w:tr>
      <w:tr w14:paraId="43B7B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4" w:hRule="atLeast"/>
          <w:jc w:val="center"/>
        </w:trPr>
        <w:tc>
          <w:tcPr>
            <w:tcW w:w="2026" w:type="dxa"/>
            <w:noWrap w:val="0"/>
            <w:vAlign w:val="center"/>
          </w:tcPr>
          <w:p w14:paraId="262C8A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其他符合性分析</w:t>
            </w:r>
          </w:p>
        </w:tc>
        <w:tc>
          <w:tcPr>
            <w:tcW w:w="7608" w:type="dxa"/>
            <w:gridSpan w:val="3"/>
            <w:noWrap w:val="0"/>
            <w:vAlign w:val="center"/>
          </w:tcPr>
          <w:p w14:paraId="60620A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cs="Times New Roman"/>
                <w:b/>
                <w:bCs/>
                <w:color w:val="auto"/>
                <w:lang w:eastAsia="zh-CN"/>
              </w:rPr>
            </w:pPr>
            <w:r>
              <w:rPr>
                <w:rFonts w:hint="default" w:cs="Times New Roman"/>
                <w:b/>
                <w:bCs/>
                <w:color w:val="auto"/>
                <w:lang w:eastAsia="zh-CN"/>
              </w:rPr>
              <w:t>1、与“三线一单”相符性分析</w:t>
            </w:r>
          </w:p>
          <w:p w14:paraId="3DBAF0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b w:val="0"/>
                <w:bCs w:val="0"/>
                <w:color w:val="auto"/>
                <w:lang w:eastAsia="zh-CN"/>
              </w:rPr>
            </w:pPr>
            <w:r>
              <w:rPr>
                <w:rFonts w:hint="default" w:cs="Times New Roman"/>
                <w:b w:val="0"/>
                <w:bCs w:val="0"/>
                <w:color w:val="auto"/>
                <w:lang w:eastAsia="zh-CN"/>
              </w:rPr>
              <w:t>根据《关于以改善环境质量为核心加强环境影响评价管理的通知》（环环评[2016]150号），对本项目建设进行“三线一单”相符性分析。</w:t>
            </w:r>
          </w:p>
          <w:p w14:paraId="3C7D56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cs="Times New Roman"/>
                <w:b/>
                <w:bCs/>
                <w:color w:val="auto"/>
                <w:lang w:eastAsia="zh-CN"/>
              </w:rPr>
            </w:pPr>
            <w:r>
              <w:rPr>
                <w:rFonts w:hint="default" w:cs="Times New Roman"/>
                <w:b/>
                <w:bCs/>
                <w:color w:val="auto"/>
                <w:lang w:eastAsia="zh-CN"/>
              </w:rPr>
              <w:t>（1）生态红线</w:t>
            </w:r>
          </w:p>
          <w:p w14:paraId="7349A8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color w:val="auto"/>
              </w:rPr>
            </w:pPr>
            <w:r>
              <w:rPr>
                <w:rFonts w:hint="default" w:cs="Times New Roman"/>
                <w:color w:val="auto"/>
              </w:rPr>
              <w:t>根据《省政府关于印发江苏省生态空间管控区域规划的通知》（苏政发</w:t>
            </w:r>
            <w:r>
              <w:rPr>
                <w:rFonts w:hint="eastAsia" w:cs="Times New Roman"/>
                <w:color w:val="auto"/>
                <w:lang w:eastAsia="zh-CN"/>
              </w:rPr>
              <w:t>〔</w:t>
            </w:r>
            <w:r>
              <w:rPr>
                <w:rFonts w:hint="default" w:cs="Times New Roman"/>
                <w:color w:val="auto"/>
              </w:rPr>
              <w:t>2020</w:t>
            </w:r>
            <w:r>
              <w:rPr>
                <w:rFonts w:hint="eastAsia" w:cs="Times New Roman"/>
                <w:color w:val="auto"/>
                <w:lang w:eastAsia="zh-CN"/>
              </w:rPr>
              <w:t>〕</w:t>
            </w:r>
            <w:r>
              <w:rPr>
                <w:rFonts w:hint="default" w:cs="Times New Roman"/>
                <w:color w:val="auto"/>
              </w:rPr>
              <w:t>1号），项目所在地附近江苏省生态空间</w:t>
            </w:r>
            <w:r>
              <w:rPr>
                <w:rFonts w:hint="default" w:cs="Times New Roman"/>
                <w:color w:val="auto"/>
                <w:lang w:val="en-US" w:eastAsia="zh-CN"/>
              </w:rPr>
              <w:t>保护</w:t>
            </w:r>
            <w:r>
              <w:rPr>
                <w:rFonts w:hint="default" w:cs="Times New Roman"/>
                <w:color w:val="auto"/>
              </w:rPr>
              <w:t>区域</w:t>
            </w:r>
            <w:r>
              <w:rPr>
                <w:rFonts w:hint="default" w:cs="Times New Roman"/>
                <w:color w:val="auto"/>
                <w:lang w:eastAsia="zh-CN"/>
              </w:rPr>
              <w:t>分布</w:t>
            </w:r>
            <w:r>
              <w:rPr>
                <w:rFonts w:hint="default" w:cs="Times New Roman"/>
                <w:color w:val="auto"/>
              </w:rPr>
              <w:t>情况见</w:t>
            </w:r>
            <w:r>
              <w:rPr>
                <w:rFonts w:hint="default" w:cs="Times New Roman"/>
                <w:color w:val="auto"/>
                <w:lang w:eastAsia="zh-CN"/>
              </w:rPr>
              <w:t>下表：</w:t>
            </w:r>
          </w:p>
          <w:p w14:paraId="5E6E5F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cs="Times New Roman"/>
                <w:b/>
                <w:bCs/>
                <w:color w:val="auto"/>
              </w:rPr>
            </w:pPr>
            <w:r>
              <w:rPr>
                <w:rFonts w:hint="default" w:cs="Times New Roman"/>
                <w:b/>
                <w:bCs/>
                <w:color w:val="auto"/>
              </w:rPr>
              <w:t>表1-</w:t>
            </w:r>
            <w:r>
              <w:rPr>
                <w:rFonts w:hint="eastAsia" w:cs="Times New Roman"/>
                <w:b/>
                <w:bCs/>
                <w:color w:val="auto"/>
                <w:lang w:val="en-US" w:eastAsia="zh-CN"/>
              </w:rPr>
              <w:t>2</w:t>
            </w:r>
            <w:r>
              <w:rPr>
                <w:rFonts w:hint="default" w:cs="Times New Roman"/>
                <w:b/>
                <w:bCs/>
                <w:color w:val="auto"/>
              </w:rPr>
              <w:t xml:space="preserve">  项目所在地附近江苏省生态空间</w:t>
            </w:r>
            <w:r>
              <w:rPr>
                <w:rFonts w:hint="default" w:cs="Times New Roman"/>
                <w:b/>
                <w:bCs/>
                <w:color w:val="auto"/>
                <w:lang w:val="en-US" w:eastAsia="zh-CN"/>
              </w:rPr>
              <w:t>保护</w:t>
            </w:r>
            <w:r>
              <w:rPr>
                <w:rFonts w:hint="default" w:cs="Times New Roman"/>
                <w:b/>
                <w:bCs/>
                <w:color w:val="auto"/>
              </w:rPr>
              <w:t>区域名录</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396"/>
              <w:gridCol w:w="855"/>
              <w:gridCol w:w="1255"/>
              <w:gridCol w:w="1981"/>
              <w:gridCol w:w="800"/>
              <w:gridCol w:w="531"/>
            </w:tblGrid>
            <w:tr w14:paraId="3AB8A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386" w:type="pct"/>
                  <w:noWrap w:val="0"/>
                  <w:vAlign w:val="center"/>
                </w:tcPr>
                <w:p w14:paraId="0D494500">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地区</w:t>
                  </w:r>
                </w:p>
              </w:tc>
              <w:tc>
                <w:tcPr>
                  <w:tcW w:w="944" w:type="pct"/>
                  <w:noWrap w:val="0"/>
                  <w:vAlign w:val="center"/>
                </w:tcPr>
                <w:p w14:paraId="338E9EA1">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生态空间保护区域</w:t>
                  </w:r>
                  <w:r>
                    <w:rPr>
                      <w:rFonts w:hint="default" w:ascii="Times New Roman" w:hAnsi="Times New Roman" w:eastAsia="仿宋" w:cs="Times New Roman"/>
                      <w:color w:val="auto"/>
                      <w:sz w:val="21"/>
                      <w:szCs w:val="21"/>
                      <w:lang w:val="en-US" w:eastAsia="zh-CN"/>
                    </w:rPr>
                    <w:t>名称</w:t>
                  </w:r>
                </w:p>
              </w:tc>
              <w:tc>
                <w:tcPr>
                  <w:tcW w:w="578" w:type="pct"/>
                  <w:noWrap w:val="0"/>
                  <w:vAlign w:val="center"/>
                </w:tcPr>
                <w:p w14:paraId="1A3DF486">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主导生态功能</w:t>
                  </w:r>
                </w:p>
              </w:tc>
              <w:tc>
                <w:tcPr>
                  <w:tcW w:w="849" w:type="pct"/>
                  <w:noWrap w:val="0"/>
                  <w:vAlign w:val="center"/>
                </w:tcPr>
                <w:p w14:paraId="655895B6">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国家级生态红线保护范围</w:t>
                  </w:r>
                </w:p>
              </w:tc>
              <w:tc>
                <w:tcPr>
                  <w:tcW w:w="1340" w:type="pct"/>
                  <w:noWrap w:val="0"/>
                  <w:vAlign w:val="center"/>
                </w:tcPr>
                <w:p w14:paraId="1359DDAB">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生态空间管控区域</w:t>
                  </w:r>
                </w:p>
              </w:tc>
              <w:tc>
                <w:tcPr>
                  <w:tcW w:w="541" w:type="pct"/>
                  <w:noWrap w:val="0"/>
                  <w:vAlign w:val="center"/>
                </w:tcPr>
                <w:p w14:paraId="0E7A08A5">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距离</w:t>
                  </w:r>
                </w:p>
              </w:tc>
              <w:tc>
                <w:tcPr>
                  <w:tcW w:w="359" w:type="pct"/>
                  <w:noWrap w:val="0"/>
                  <w:vAlign w:val="center"/>
                </w:tcPr>
                <w:p w14:paraId="782C6064">
                  <w:pPr>
                    <w:pStyle w:val="55"/>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方位</w:t>
                  </w:r>
                </w:p>
              </w:tc>
            </w:tr>
            <w:tr w14:paraId="37D7A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386" w:type="pct"/>
                  <w:noWrap w:val="0"/>
                  <w:vAlign w:val="center"/>
                </w:tcPr>
                <w:p w14:paraId="6FD75FA3">
                  <w:pPr>
                    <w:pStyle w:val="5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lang w:val="en-US" w:eastAsia="zh-CN"/>
                    </w:rPr>
                    <w:t>常州市</w:t>
                  </w:r>
                </w:p>
              </w:tc>
              <w:tc>
                <w:tcPr>
                  <w:tcW w:w="944" w:type="pct"/>
                  <w:noWrap w:val="0"/>
                  <w:vAlign w:val="center"/>
                </w:tcPr>
                <w:p w14:paraId="1158915E">
                  <w:pPr>
                    <w:pStyle w:val="5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向阳水库水源涵养区</w:t>
                  </w:r>
                </w:p>
              </w:tc>
              <w:tc>
                <w:tcPr>
                  <w:tcW w:w="578" w:type="pct"/>
                  <w:noWrap w:val="0"/>
                  <w:vAlign w:val="center"/>
                </w:tcPr>
                <w:p w14:paraId="30C85146">
                  <w:pPr>
                    <w:pStyle w:val="5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水源涵养</w:t>
                  </w:r>
                </w:p>
              </w:tc>
              <w:tc>
                <w:tcPr>
                  <w:tcW w:w="849" w:type="pct"/>
                  <w:noWrap w:val="0"/>
                  <w:vAlign w:val="center"/>
                </w:tcPr>
                <w:p w14:paraId="3C0C0965">
                  <w:pPr>
                    <w:pStyle w:val="5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340" w:type="pct"/>
                  <w:noWrap w:val="0"/>
                  <w:vAlign w:val="center"/>
                </w:tcPr>
                <w:p w14:paraId="224D5D95">
                  <w:pPr>
                    <w:pStyle w:val="5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东以扬溧高速公路为界（除罗村集镇），南以市界为界，西以市界为界，北以X304县道、方山（金坛）森林公园为界，包括向阳水库湖面区域</w:t>
                  </w:r>
                </w:p>
              </w:tc>
              <w:tc>
                <w:tcPr>
                  <w:tcW w:w="541" w:type="pct"/>
                  <w:noWrap w:val="0"/>
                  <w:vAlign w:val="center"/>
                </w:tcPr>
                <w:p w14:paraId="41550F08">
                  <w:pPr>
                    <w:pStyle w:val="5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6130</w:t>
                  </w:r>
                  <w:r>
                    <w:rPr>
                      <w:rFonts w:hint="eastAsia" w:ascii="Times New Roman" w:hAnsi="Times New Roman" w:eastAsia="仿宋" w:cs="Times New Roman"/>
                      <w:color w:val="auto"/>
                      <w:sz w:val="21"/>
                      <w:szCs w:val="21"/>
                      <w:lang w:val="en-US" w:eastAsia="zh-CN"/>
                    </w:rPr>
                    <w:t>m</w:t>
                  </w:r>
                </w:p>
              </w:tc>
              <w:tc>
                <w:tcPr>
                  <w:tcW w:w="359" w:type="pct"/>
                  <w:noWrap w:val="0"/>
                  <w:vAlign w:val="center"/>
                </w:tcPr>
                <w:p w14:paraId="0279F669">
                  <w:pPr>
                    <w:pStyle w:val="5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S</w:t>
                  </w:r>
                  <w:r>
                    <w:rPr>
                      <w:rFonts w:hint="eastAsia" w:ascii="Times New Roman" w:hAnsi="Times New Roman" w:eastAsia="仿宋" w:cs="Times New Roman"/>
                      <w:color w:val="auto"/>
                      <w:sz w:val="21"/>
                      <w:szCs w:val="21"/>
                      <w:lang w:val="en-US" w:eastAsia="zh-CN"/>
                    </w:rPr>
                    <w:t>W</w:t>
                  </w:r>
                </w:p>
              </w:tc>
            </w:tr>
          </w:tbl>
          <w:p w14:paraId="143770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color w:val="auto"/>
              </w:rPr>
            </w:pPr>
            <w:r>
              <w:rPr>
                <w:rFonts w:hint="eastAsia" w:cs="Times New Roman"/>
                <w:color w:val="auto"/>
                <w:lang w:val="en-US" w:eastAsia="zh-CN"/>
              </w:rPr>
              <w:t>由上表可知</w:t>
            </w:r>
            <w:r>
              <w:rPr>
                <w:rFonts w:hint="default" w:cs="Times New Roman"/>
                <w:color w:val="auto"/>
              </w:rPr>
              <w:t>，与本项目距离最近的生态</w:t>
            </w:r>
            <w:r>
              <w:rPr>
                <w:rFonts w:hint="default" w:cs="Times New Roman"/>
                <w:color w:val="auto"/>
                <w:lang w:val="en-US" w:eastAsia="zh-CN"/>
              </w:rPr>
              <w:t>空间保护</w:t>
            </w:r>
            <w:r>
              <w:rPr>
                <w:rFonts w:hint="default" w:cs="Times New Roman"/>
                <w:color w:val="auto"/>
              </w:rPr>
              <w:t>区域为向阳水库水源涵养区，距本项目直线距离约</w:t>
            </w:r>
            <w:r>
              <w:rPr>
                <w:rFonts w:hint="eastAsia" w:cs="Times New Roman"/>
                <w:color w:val="auto"/>
                <w:lang w:val="en-US" w:eastAsia="zh-CN"/>
              </w:rPr>
              <w:t>6130</w:t>
            </w:r>
            <w:r>
              <w:rPr>
                <w:rFonts w:hint="default" w:cs="Times New Roman"/>
                <w:color w:val="auto"/>
              </w:rPr>
              <w:t>m。因此本项目不在生态</w:t>
            </w:r>
            <w:r>
              <w:rPr>
                <w:rFonts w:hint="default" w:cs="Times New Roman"/>
                <w:color w:val="auto"/>
                <w:lang w:val="en-US" w:eastAsia="zh-CN"/>
              </w:rPr>
              <w:t>空间保护</w:t>
            </w:r>
            <w:r>
              <w:rPr>
                <w:rFonts w:hint="default" w:cs="Times New Roman"/>
                <w:color w:val="auto"/>
              </w:rPr>
              <w:t>区域范围内，符合《省政府关于印发江苏省生态空间管控区域规划的通知》要求。</w:t>
            </w:r>
          </w:p>
          <w:p w14:paraId="5EACAF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cs="Times New Roman"/>
                <w:b/>
                <w:bCs/>
                <w:color w:val="auto"/>
                <w:lang w:eastAsia="zh-CN"/>
              </w:rPr>
            </w:pPr>
            <w:r>
              <w:rPr>
                <w:rFonts w:hint="default" w:cs="Times New Roman"/>
                <w:b/>
                <w:bCs/>
                <w:color w:val="auto"/>
                <w:lang w:eastAsia="zh-CN"/>
              </w:rPr>
              <w:t>（</w:t>
            </w:r>
            <w:r>
              <w:rPr>
                <w:rFonts w:hint="default" w:cs="Times New Roman"/>
                <w:b/>
                <w:bCs/>
                <w:color w:val="auto"/>
                <w:lang w:val="en-US" w:eastAsia="zh-CN"/>
              </w:rPr>
              <w:t>2</w:t>
            </w:r>
            <w:r>
              <w:rPr>
                <w:rFonts w:hint="default" w:cs="Times New Roman"/>
                <w:b/>
                <w:bCs/>
                <w:color w:val="auto"/>
                <w:lang w:eastAsia="zh-CN"/>
              </w:rPr>
              <w:t>）环境质量底线</w:t>
            </w:r>
          </w:p>
          <w:p w14:paraId="30D754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color w:val="auto"/>
              </w:rPr>
            </w:pPr>
            <w:r>
              <w:rPr>
                <w:rFonts w:hint="default" w:cs="Times New Roman"/>
                <w:color w:val="auto"/>
              </w:rPr>
              <w:t>根据《202</w:t>
            </w:r>
            <w:r>
              <w:rPr>
                <w:rFonts w:hint="eastAsia" w:cs="Times New Roman"/>
                <w:color w:val="auto"/>
                <w:lang w:val="en-US" w:eastAsia="zh-CN"/>
              </w:rPr>
              <w:t>3</w:t>
            </w:r>
            <w:r>
              <w:rPr>
                <w:rFonts w:hint="default" w:cs="Times New Roman"/>
                <w:color w:val="auto"/>
              </w:rPr>
              <w:t>年常州市生态环境状况公报》，202</w:t>
            </w:r>
            <w:r>
              <w:rPr>
                <w:rFonts w:hint="eastAsia" w:cs="Times New Roman"/>
                <w:color w:val="auto"/>
                <w:lang w:val="en-US" w:eastAsia="zh-CN"/>
              </w:rPr>
              <w:t>3</w:t>
            </w:r>
            <w:r>
              <w:rPr>
                <w:rFonts w:hint="default" w:cs="Times New Roman"/>
                <w:color w:val="auto"/>
              </w:rPr>
              <w:t>年度常州市环境空气中PM</w:t>
            </w:r>
            <w:r>
              <w:rPr>
                <w:rFonts w:hint="default" w:cs="Times New Roman"/>
                <w:color w:val="auto"/>
                <w:vertAlign w:val="subscript"/>
              </w:rPr>
              <w:t>2.5</w:t>
            </w:r>
            <w:r>
              <w:rPr>
                <w:rFonts w:hint="default" w:cs="Times New Roman"/>
                <w:color w:val="auto"/>
              </w:rPr>
              <w:t>日平均第95百分位数和O</w:t>
            </w:r>
            <w:r>
              <w:rPr>
                <w:rFonts w:hint="default" w:cs="Times New Roman"/>
                <w:color w:val="auto"/>
                <w:vertAlign w:val="subscript"/>
              </w:rPr>
              <w:t>3</w:t>
            </w:r>
            <w:r>
              <w:rPr>
                <w:rFonts w:hint="default" w:cs="Times New Roman"/>
                <w:color w:val="auto"/>
              </w:rPr>
              <w:t>日最大8小时滑动平均值的第90百分位数超标</w:t>
            </w:r>
            <w:r>
              <w:rPr>
                <w:rFonts w:hint="eastAsia" w:cs="Times New Roman"/>
                <w:color w:val="auto"/>
                <w:lang w:eastAsia="zh-CN"/>
              </w:rPr>
              <w:t>。</w:t>
            </w:r>
            <w:r>
              <w:rPr>
                <w:rFonts w:hint="default" w:cs="Times New Roman"/>
                <w:color w:val="auto"/>
              </w:rPr>
              <w:t>根据《环境影响评价技术导则 大气环境》（HJ2.2-2018），有一项指标不达标即为城市环境空气质量不达标，故常州市目前属于环境空气质量不达标区。</w:t>
            </w:r>
          </w:p>
          <w:p w14:paraId="390D81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color w:val="auto"/>
              </w:rPr>
            </w:pPr>
            <w:r>
              <w:rPr>
                <w:rFonts w:hint="default" w:cs="Times New Roman"/>
                <w:color w:val="auto"/>
              </w:rPr>
              <w:t>为加快改善环境空气质量，常州市先后</w:t>
            </w:r>
            <w:r>
              <w:rPr>
                <w:rFonts w:hint="eastAsia" w:cs="Times New Roman"/>
                <w:color w:val="auto"/>
                <w:lang w:val="en-US" w:eastAsia="zh-CN"/>
              </w:rPr>
              <w:t>实施</w:t>
            </w:r>
            <w:r>
              <w:rPr>
                <w:rFonts w:hint="default" w:cs="Times New Roman"/>
                <w:color w:val="auto"/>
              </w:rPr>
              <w:t>了</w:t>
            </w:r>
            <w:r>
              <w:rPr>
                <w:rFonts w:hint="eastAsia" w:cs="Times New Roman"/>
                <w:color w:val="auto"/>
                <w:lang w:eastAsia="zh-CN"/>
              </w:rPr>
              <w:t>“</w:t>
            </w:r>
            <w:r>
              <w:rPr>
                <w:rFonts w:hint="eastAsia" w:cs="Times New Roman"/>
                <w:color w:val="auto"/>
                <w:lang w:val="en-US" w:eastAsia="zh-CN"/>
              </w:rPr>
              <w:t>产业结构优化调整</w:t>
            </w:r>
            <w:r>
              <w:rPr>
                <w:rFonts w:hint="eastAsia" w:cs="Times New Roman"/>
                <w:color w:val="auto"/>
                <w:lang w:eastAsia="zh-CN"/>
              </w:rPr>
              <w:t>”、“</w:t>
            </w:r>
            <w:r>
              <w:rPr>
                <w:rFonts w:hint="eastAsia" w:cs="Times New Roman"/>
                <w:color w:val="auto"/>
                <w:lang w:val="en-US" w:eastAsia="zh-CN"/>
              </w:rPr>
              <w:t>挥发性有机物治理</w:t>
            </w:r>
            <w:r>
              <w:rPr>
                <w:rFonts w:hint="eastAsia" w:cs="Times New Roman"/>
                <w:color w:val="auto"/>
                <w:lang w:eastAsia="zh-CN"/>
              </w:rPr>
              <w:t>”、“</w:t>
            </w:r>
            <w:r>
              <w:rPr>
                <w:rFonts w:hint="eastAsia" w:cs="Times New Roman"/>
                <w:color w:val="auto"/>
                <w:lang w:val="en-US" w:eastAsia="zh-CN"/>
              </w:rPr>
              <w:t>工地扬尘裸土治理</w:t>
            </w:r>
            <w:r>
              <w:rPr>
                <w:rFonts w:hint="eastAsia" w:cs="Times New Roman"/>
                <w:color w:val="auto"/>
                <w:lang w:eastAsia="zh-CN"/>
              </w:rPr>
              <w:t>”、“</w:t>
            </w:r>
            <w:r>
              <w:rPr>
                <w:rFonts w:hint="eastAsia" w:cs="Times New Roman"/>
                <w:color w:val="auto"/>
                <w:lang w:val="en-US" w:eastAsia="zh-CN"/>
              </w:rPr>
              <w:t>港口码头污染防治</w:t>
            </w:r>
            <w:r>
              <w:rPr>
                <w:rFonts w:hint="eastAsia" w:cs="Times New Roman"/>
                <w:color w:val="auto"/>
                <w:lang w:eastAsia="zh-CN"/>
              </w:rPr>
              <w:t>”、“</w:t>
            </w:r>
            <w:r>
              <w:rPr>
                <w:rFonts w:hint="eastAsia" w:cs="Times New Roman"/>
                <w:color w:val="auto"/>
                <w:lang w:val="en-US" w:eastAsia="zh-CN"/>
              </w:rPr>
              <w:t>绿色车轮计划</w:t>
            </w:r>
            <w:r>
              <w:rPr>
                <w:rFonts w:hint="eastAsia" w:cs="Times New Roman"/>
                <w:color w:val="auto"/>
                <w:lang w:eastAsia="zh-CN"/>
              </w:rPr>
              <w:t>”、“</w:t>
            </w:r>
            <w:r>
              <w:rPr>
                <w:rFonts w:hint="eastAsia" w:cs="Times New Roman"/>
                <w:color w:val="auto"/>
                <w:lang w:val="en-US" w:eastAsia="zh-CN"/>
              </w:rPr>
              <w:t>移动源排气监管</w:t>
            </w:r>
            <w:r>
              <w:rPr>
                <w:rFonts w:hint="eastAsia" w:cs="Times New Roman"/>
                <w:color w:val="auto"/>
                <w:lang w:eastAsia="zh-CN"/>
              </w:rPr>
              <w:t>”</w:t>
            </w:r>
            <w:r>
              <w:rPr>
                <w:rFonts w:hint="eastAsia" w:cs="Times New Roman"/>
                <w:color w:val="auto"/>
                <w:lang w:val="en-US" w:eastAsia="zh-CN"/>
              </w:rPr>
              <w:t>等大气污染防治措施</w:t>
            </w:r>
            <w:r>
              <w:rPr>
                <w:rFonts w:hint="default" w:cs="Times New Roman"/>
                <w:color w:val="auto"/>
              </w:rPr>
              <w:t>，预期常州市大气环境空气质量将得到进一步改善。</w:t>
            </w:r>
          </w:p>
          <w:p w14:paraId="419C6D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环境质量现状监测结果表明，与项目关联的大气特征污染物可满足相关环境质量标准，西港河</w:t>
            </w:r>
            <w:r>
              <w:rPr>
                <w:rFonts w:hint="default" w:ascii="Times New Roman" w:hAnsi="Times New Roman" w:cs="Times New Roman"/>
                <w:color w:val="auto"/>
                <w:szCs w:val="21"/>
              </w:rPr>
              <w:t>各监测断面</w:t>
            </w:r>
            <w:r>
              <w:rPr>
                <w:rFonts w:hint="eastAsia" w:ascii="Times New Roman" w:hAnsi="Times New Roman" w:eastAsia="宋体" w:cs="Times New Roman"/>
                <w:b w:val="0"/>
                <w:bCs w:val="0"/>
                <w:color w:val="auto"/>
                <w:lang w:val="en-US" w:eastAsia="zh-CN"/>
              </w:rPr>
              <w:t>水质</w:t>
            </w:r>
            <w:r>
              <w:rPr>
                <w:rFonts w:hint="default" w:ascii="Times New Roman" w:hAnsi="Times New Roman" w:cs="Times New Roman"/>
                <w:color w:val="auto"/>
                <w:szCs w:val="21"/>
              </w:rPr>
              <w:t>均达到《地表水环境质量标准》（GB3838-2002）</w:t>
            </w:r>
            <w:r>
              <w:rPr>
                <w:rFonts w:hint="default" w:ascii="Times New Roman" w:hAnsi="Times New Roman" w:eastAsia="宋体" w:cs="Times New Roman"/>
                <w:color w:val="auto"/>
                <w:szCs w:val="21"/>
              </w:rPr>
              <w:t>Ⅲ</w:t>
            </w:r>
            <w:r>
              <w:rPr>
                <w:rFonts w:hint="default" w:ascii="Times New Roman" w:hAnsi="Times New Roman" w:cs="Times New Roman"/>
                <w:color w:val="auto"/>
                <w:szCs w:val="21"/>
              </w:rPr>
              <w:t>类水质标准要求</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尚有一定的环境容量。</w:t>
            </w:r>
            <w:r>
              <w:rPr>
                <w:rFonts w:hint="default" w:ascii="Times New Roman" w:hAnsi="Times New Roman" w:eastAsia="宋体" w:cs="Times New Roman"/>
                <w:color w:val="auto"/>
                <w:sz w:val="21"/>
                <w:szCs w:val="21"/>
              </w:rPr>
              <w:t>本项目废水、废气经处理后均可达标排放，</w:t>
            </w:r>
            <w:r>
              <w:rPr>
                <w:rFonts w:hint="default" w:ascii="Times New Roman" w:hAnsi="Times New Roman" w:eastAsia="宋体" w:cs="Times New Roman"/>
                <w:color w:val="auto"/>
                <w:sz w:val="21"/>
                <w:szCs w:val="21"/>
                <w:lang w:val="en-US" w:eastAsia="zh-CN"/>
              </w:rPr>
              <w:t>并按照相关要求落实替代方案，</w:t>
            </w:r>
            <w:r>
              <w:rPr>
                <w:rFonts w:hint="default" w:ascii="Times New Roman" w:hAnsi="Times New Roman" w:eastAsia="宋体" w:cs="Times New Roman"/>
                <w:color w:val="auto"/>
                <w:sz w:val="21"/>
                <w:szCs w:val="21"/>
              </w:rPr>
              <w:t>各类固废全部合规处置或利用，不外排。</w:t>
            </w:r>
          </w:p>
          <w:p w14:paraId="02902B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color w:val="auto"/>
                <w:lang w:eastAsia="zh-CN"/>
              </w:rPr>
            </w:pPr>
            <w:r>
              <w:rPr>
                <w:rFonts w:hint="default" w:cs="Times New Roman"/>
                <w:color w:val="auto"/>
                <w:lang w:eastAsia="zh-CN"/>
              </w:rPr>
              <w:t>公司通过全面落实各项污染治理措施，大力推行清洁生产，各类污染物能得到有效控制，污染负荷有限，不会造成项目所在区域的环境功能下降，不会突破项目所在地的环境质量底线。</w:t>
            </w:r>
          </w:p>
          <w:p w14:paraId="4305A4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cs="Times New Roman"/>
                <w:b/>
                <w:bCs/>
                <w:color w:val="auto"/>
                <w:lang w:eastAsia="zh-CN"/>
              </w:rPr>
            </w:pPr>
            <w:r>
              <w:rPr>
                <w:rFonts w:hint="default" w:cs="Times New Roman"/>
                <w:b/>
                <w:bCs/>
                <w:color w:val="auto"/>
                <w:lang w:eastAsia="zh-CN"/>
              </w:rPr>
              <w:t>（3）资源利用上线</w:t>
            </w:r>
          </w:p>
          <w:p w14:paraId="431F35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color w:val="auto"/>
              </w:rPr>
            </w:pPr>
            <w:r>
              <w:rPr>
                <w:rFonts w:hint="default" w:cs="Times New Roman"/>
                <w:color w:val="auto"/>
              </w:rPr>
              <w:t>本项目</w:t>
            </w:r>
            <w:r>
              <w:rPr>
                <w:rFonts w:hint="eastAsia" w:cs="Times New Roman"/>
                <w:color w:val="auto"/>
                <w:lang w:val="en-US" w:eastAsia="zh-CN"/>
              </w:rPr>
              <w:t>所在地不属于资源、能源紧缺区域</w:t>
            </w:r>
            <w:r>
              <w:rPr>
                <w:rFonts w:hint="eastAsia" w:cs="Times New Roman"/>
                <w:color w:val="auto"/>
                <w:lang w:eastAsia="zh-CN"/>
              </w:rPr>
              <w:t>，</w:t>
            </w:r>
            <w:r>
              <w:rPr>
                <w:rFonts w:hint="default" w:cs="Times New Roman"/>
                <w:color w:val="auto"/>
              </w:rPr>
              <w:t>项目水、电消耗量较低</w:t>
            </w:r>
            <w:r>
              <w:rPr>
                <w:rFonts w:hint="eastAsia" w:cs="Times New Roman"/>
                <w:color w:val="auto"/>
                <w:lang w:eastAsia="zh-CN"/>
              </w:rPr>
              <w:t>，</w:t>
            </w:r>
            <w:r>
              <w:rPr>
                <w:rFonts w:hint="default" w:cs="Times New Roman"/>
                <w:color w:val="auto"/>
              </w:rPr>
              <w:t>不会突破资源利用上线。</w:t>
            </w:r>
          </w:p>
          <w:p w14:paraId="4D6BEF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color w:val="auto"/>
              </w:rPr>
            </w:pPr>
          </w:p>
          <w:p w14:paraId="6B37FD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color w:val="auto"/>
              </w:rPr>
            </w:pPr>
          </w:p>
          <w:p w14:paraId="59E7A015">
            <w:pPr>
              <w:pStyle w:val="25"/>
              <w:keepNext w:val="0"/>
              <w:keepLines w:val="0"/>
              <w:suppressLineNumbers w:val="0"/>
              <w:spacing w:before="0" w:beforeAutospacing="0" w:after="0" w:afterAutospacing="0"/>
              <w:ind w:left="0" w:right="0"/>
              <w:rPr>
                <w:rFonts w:hint="default"/>
                <w:color w:val="auto"/>
              </w:rPr>
            </w:pPr>
          </w:p>
          <w:p w14:paraId="0C488E00">
            <w:pPr>
              <w:keepNext w:val="0"/>
              <w:keepLines w:val="0"/>
              <w:suppressLineNumbers w:val="0"/>
              <w:spacing w:before="0" w:beforeAutospacing="0" w:after="0" w:afterAutospacing="0"/>
              <w:ind w:left="0" w:right="0"/>
              <w:rPr>
                <w:rFonts w:hint="default" w:cs="Times New Roman"/>
                <w:color w:val="auto"/>
              </w:rPr>
            </w:pPr>
          </w:p>
          <w:p w14:paraId="45EC75FC">
            <w:pPr>
              <w:pStyle w:val="25"/>
              <w:keepNext w:val="0"/>
              <w:keepLines w:val="0"/>
              <w:suppressLineNumbers w:val="0"/>
              <w:spacing w:before="0" w:beforeAutospacing="0" w:after="0" w:afterAutospacing="0"/>
              <w:ind w:left="0" w:right="0"/>
              <w:rPr>
                <w:rFonts w:hint="default"/>
                <w:color w:val="auto"/>
              </w:rPr>
            </w:pPr>
          </w:p>
          <w:p w14:paraId="0A68D508">
            <w:pPr>
              <w:keepNext w:val="0"/>
              <w:keepLines w:val="0"/>
              <w:suppressLineNumbers w:val="0"/>
              <w:spacing w:before="0" w:beforeAutospacing="0" w:after="0" w:afterAutospacing="0"/>
              <w:ind w:left="0" w:right="0"/>
              <w:rPr>
                <w:rFonts w:hint="default" w:cs="Times New Roman"/>
                <w:color w:val="auto"/>
              </w:rPr>
            </w:pPr>
          </w:p>
          <w:p w14:paraId="46D62FEC">
            <w:pPr>
              <w:pStyle w:val="25"/>
              <w:keepNext w:val="0"/>
              <w:keepLines w:val="0"/>
              <w:suppressLineNumbers w:val="0"/>
              <w:spacing w:before="0" w:beforeAutospacing="0" w:after="0" w:afterAutospacing="0"/>
              <w:ind w:left="0" w:right="0"/>
              <w:rPr>
                <w:rFonts w:hint="default"/>
                <w:color w:val="auto"/>
              </w:rPr>
            </w:pPr>
          </w:p>
          <w:p w14:paraId="45D3EF85">
            <w:pPr>
              <w:keepNext w:val="0"/>
              <w:keepLines w:val="0"/>
              <w:suppressLineNumbers w:val="0"/>
              <w:spacing w:before="0" w:beforeAutospacing="0" w:after="0" w:afterAutospacing="0"/>
              <w:ind w:left="0" w:right="0"/>
              <w:rPr>
                <w:rFonts w:hint="default" w:cs="Times New Roman"/>
                <w:color w:val="auto"/>
              </w:rPr>
            </w:pPr>
          </w:p>
          <w:p w14:paraId="6FC1C2C8">
            <w:pPr>
              <w:pStyle w:val="25"/>
              <w:keepNext w:val="0"/>
              <w:keepLines w:val="0"/>
              <w:suppressLineNumbers w:val="0"/>
              <w:spacing w:before="0" w:beforeAutospacing="0" w:after="0" w:afterAutospacing="0"/>
              <w:ind w:left="0" w:right="0"/>
              <w:rPr>
                <w:rFonts w:hint="default"/>
                <w:color w:val="auto"/>
              </w:rPr>
            </w:pPr>
          </w:p>
          <w:p w14:paraId="4D512F9C">
            <w:pPr>
              <w:keepNext w:val="0"/>
              <w:keepLines w:val="0"/>
              <w:suppressLineNumbers w:val="0"/>
              <w:spacing w:before="0" w:beforeAutospacing="0" w:after="0" w:afterAutospacing="0"/>
              <w:ind w:left="0" w:right="0"/>
              <w:rPr>
                <w:rFonts w:hint="default" w:cs="Times New Roman"/>
                <w:color w:val="auto"/>
              </w:rPr>
            </w:pPr>
          </w:p>
          <w:p w14:paraId="0D04AFB2">
            <w:pPr>
              <w:pStyle w:val="25"/>
              <w:keepNext w:val="0"/>
              <w:keepLines w:val="0"/>
              <w:suppressLineNumbers w:val="0"/>
              <w:spacing w:before="0" w:beforeAutospacing="0" w:after="0" w:afterAutospacing="0"/>
              <w:ind w:left="0" w:right="0"/>
              <w:rPr>
                <w:rFonts w:hint="default"/>
                <w:color w:val="auto"/>
              </w:rPr>
            </w:pPr>
          </w:p>
          <w:p w14:paraId="4871BB1B">
            <w:pPr>
              <w:keepNext w:val="0"/>
              <w:keepLines w:val="0"/>
              <w:suppressLineNumbers w:val="0"/>
              <w:spacing w:before="0" w:beforeAutospacing="0" w:after="0" w:afterAutospacing="0"/>
              <w:ind w:left="0" w:right="0"/>
              <w:rPr>
                <w:rFonts w:hint="default" w:cs="Times New Roman"/>
                <w:color w:val="auto"/>
              </w:rPr>
            </w:pPr>
          </w:p>
          <w:p w14:paraId="40A6C21C">
            <w:pPr>
              <w:pStyle w:val="25"/>
              <w:keepNext w:val="0"/>
              <w:keepLines w:val="0"/>
              <w:suppressLineNumbers w:val="0"/>
              <w:spacing w:before="0" w:beforeAutospacing="0" w:after="0" w:afterAutospacing="0"/>
              <w:ind w:left="0" w:right="0"/>
              <w:rPr>
                <w:rFonts w:hint="default"/>
                <w:color w:val="auto"/>
              </w:rPr>
            </w:pPr>
          </w:p>
          <w:p w14:paraId="037AC028">
            <w:pPr>
              <w:keepNext w:val="0"/>
              <w:keepLines w:val="0"/>
              <w:suppressLineNumbers w:val="0"/>
              <w:spacing w:before="0" w:beforeAutospacing="0" w:after="0" w:afterAutospacing="0"/>
              <w:ind w:left="0" w:right="0"/>
              <w:rPr>
                <w:rFonts w:hint="default" w:cs="Times New Roman"/>
                <w:color w:val="auto"/>
              </w:rPr>
            </w:pPr>
          </w:p>
          <w:p w14:paraId="4F827924">
            <w:pPr>
              <w:pStyle w:val="25"/>
              <w:keepNext w:val="0"/>
              <w:keepLines w:val="0"/>
              <w:suppressLineNumbers w:val="0"/>
              <w:spacing w:before="0" w:beforeAutospacing="0" w:after="0" w:afterAutospacing="0"/>
              <w:ind w:left="0" w:right="0"/>
              <w:rPr>
                <w:rFonts w:hint="default"/>
                <w:color w:val="auto"/>
              </w:rPr>
            </w:pPr>
          </w:p>
          <w:p w14:paraId="1B312F02">
            <w:pPr>
              <w:keepNext w:val="0"/>
              <w:keepLines w:val="0"/>
              <w:suppressLineNumbers w:val="0"/>
              <w:spacing w:before="0" w:beforeAutospacing="0" w:after="0" w:afterAutospacing="0"/>
              <w:ind w:left="0" w:right="0"/>
              <w:rPr>
                <w:rFonts w:hint="default" w:cs="Times New Roman"/>
                <w:color w:val="auto"/>
              </w:rPr>
            </w:pPr>
          </w:p>
          <w:p w14:paraId="3AC215E8">
            <w:pPr>
              <w:pStyle w:val="25"/>
              <w:keepNext w:val="0"/>
              <w:keepLines w:val="0"/>
              <w:suppressLineNumbers w:val="0"/>
              <w:spacing w:before="0" w:beforeAutospacing="0" w:after="0" w:afterAutospacing="0"/>
              <w:ind w:left="0" w:right="0"/>
              <w:rPr>
                <w:rFonts w:hint="default"/>
                <w:color w:val="auto"/>
              </w:rPr>
            </w:pPr>
          </w:p>
          <w:p w14:paraId="21427A01">
            <w:pPr>
              <w:keepNext w:val="0"/>
              <w:keepLines w:val="0"/>
              <w:suppressLineNumbers w:val="0"/>
              <w:spacing w:before="0" w:beforeAutospacing="0" w:after="0" w:afterAutospacing="0"/>
              <w:ind w:left="0" w:right="0"/>
              <w:rPr>
                <w:rFonts w:hint="default" w:cs="Times New Roman"/>
                <w:color w:val="auto"/>
              </w:rPr>
            </w:pPr>
          </w:p>
          <w:p w14:paraId="1EA78B12">
            <w:pPr>
              <w:pStyle w:val="25"/>
              <w:keepNext w:val="0"/>
              <w:keepLines w:val="0"/>
              <w:suppressLineNumbers w:val="0"/>
              <w:spacing w:before="0" w:beforeAutospacing="0" w:after="0" w:afterAutospacing="0"/>
              <w:ind w:left="0" w:right="0"/>
              <w:rPr>
                <w:rFonts w:hint="default"/>
                <w:color w:val="auto"/>
              </w:rPr>
            </w:pPr>
          </w:p>
          <w:p w14:paraId="77626998">
            <w:pPr>
              <w:keepNext w:val="0"/>
              <w:keepLines w:val="0"/>
              <w:suppressLineNumbers w:val="0"/>
              <w:spacing w:before="0" w:beforeAutospacing="0" w:after="0" w:afterAutospacing="0"/>
              <w:ind w:left="0" w:right="0"/>
              <w:rPr>
                <w:rFonts w:hint="default" w:cs="Times New Roman"/>
                <w:color w:val="auto"/>
              </w:rPr>
            </w:pPr>
          </w:p>
          <w:p w14:paraId="7F71C699">
            <w:pPr>
              <w:pStyle w:val="25"/>
              <w:keepNext w:val="0"/>
              <w:keepLines w:val="0"/>
              <w:suppressLineNumbers w:val="0"/>
              <w:spacing w:before="0" w:beforeAutospacing="0" w:after="0" w:afterAutospacing="0"/>
              <w:ind w:left="0" w:right="0"/>
              <w:rPr>
                <w:rFonts w:hint="default"/>
                <w:color w:val="auto"/>
              </w:rPr>
            </w:pPr>
          </w:p>
          <w:p w14:paraId="4088FEAB">
            <w:pPr>
              <w:keepNext w:val="0"/>
              <w:keepLines w:val="0"/>
              <w:suppressLineNumbers w:val="0"/>
              <w:spacing w:before="0" w:beforeAutospacing="0" w:after="0" w:afterAutospacing="0"/>
              <w:ind w:left="0" w:right="0"/>
              <w:rPr>
                <w:rFonts w:hint="default" w:cs="Times New Roman"/>
                <w:color w:val="auto"/>
              </w:rPr>
            </w:pPr>
          </w:p>
          <w:p w14:paraId="702901D5">
            <w:pPr>
              <w:pStyle w:val="25"/>
              <w:keepNext w:val="0"/>
              <w:keepLines w:val="0"/>
              <w:suppressLineNumbers w:val="0"/>
              <w:spacing w:before="0" w:beforeAutospacing="0" w:after="0" w:afterAutospacing="0"/>
              <w:ind w:left="0" w:right="0"/>
              <w:rPr>
                <w:rFonts w:hint="default"/>
                <w:color w:val="auto"/>
              </w:rPr>
            </w:pPr>
          </w:p>
          <w:p w14:paraId="033284E2">
            <w:pPr>
              <w:keepNext w:val="0"/>
              <w:keepLines w:val="0"/>
              <w:suppressLineNumbers w:val="0"/>
              <w:spacing w:before="0" w:beforeAutospacing="0" w:after="0" w:afterAutospacing="0"/>
              <w:ind w:left="0" w:right="0"/>
              <w:rPr>
                <w:rFonts w:hint="default" w:cs="Times New Roman"/>
                <w:color w:val="auto"/>
              </w:rPr>
            </w:pPr>
          </w:p>
          <w:p w14:paraId="4CDF23AF">
            <w:pPr>
              <w:pStyle w:val="25"/>
              <w:keepNext w:val="0"/>
              <w:keepLines w:val="0"/>
              <w:suppressLineNumbers w:val="0"/>
              <w:spacing w:before="0" w:beforeAutospacing="0" w:after="0" w:afterAutospacing="0"/>
              <w:ind w:left="0" w:right="0"/>
              <w:rPr>
                <w:rFonts w:hint="default"/>
                <w:color w:val="auto"/>
              </w:rPr>
            </w:pPr>
          </w:p>
          <w:p w14:paraId="5A842D87">
            <w:pPr>
              <w:keepNext w:val="0"/>
              <w:keepLines w:val="0"/>
              <w:suppressLineNumbers w:val="0"/>
              <w:spacing w:before="0" w:beforeAutospacing="0" w:after="0" w:afterAutospacing="0"/>
              <w:ind w:left="0" w:right="0"/>
              <w:rPr>
                <w:rFonts w:hint="default" w:cs="Times New Roman"/>
                <w:color w:val="auto"/>
              </w:rPr>
            </w:pPr>
          </w:p>
          <w:p w14:paraId="53DDA652">
            <w:pPr>
              <w:pStyle w:val="25"/>
              <w:keepNext w:val="0"/>
              <w:keepLines w:val="0"/>
              <w:suppressLineNumbers w:val="0"/>
              <w:spacing w:before="0" w:beforeAutospacing="0" w:after="0" w:afterAutospacing="0"/>
              <w:ind w:left="0" w:right="0"/>
              <w:rPr>
                <w:rFonts w:hint="default"/>
                <w:color w:val="auto"/>
              </w:rPr>
            </w:pPr>
          </w:p>
          <w:p w14:paraId="37283086">
            <w:pPr>
              <w:keepNext w:val="0"/>
              <w:keepLines w:val="0"/>
              <w:suppressLineNumbers w:val="0"/>
              <w:spacing w:before="0" w:beforeAutospacing="0" w:after="0" w:afterAutospacing="0"/>
              <w:ind w:left="0" w:right="0"/>
              <w:rPr>
                <w:rFonts w:hint="default" w:cs="Times New Roman"/>
                <w:color w:val="auto"/>
              </w:rPr>
            </w:pPr>
          </w:p>
          <w:p w14:paraId="7AFAAF01">
            <w:pPr>
              <w:pStyle w:val="25"/>
              <w:keepNext w:val="0"/>
              <w:keepLines w:val="0"/>
              <w:suppressLineNumbers w:val="0"/>
              <w:spacing w:before="0" w:beforeAutospacing="0" w:after="0" w:afterAutospacing="0"/>
              <w:ind w:left="0" w:right="0"/>
              <w:rPr>
                <w:rFonts w:hint="default"/>
                <w:color w:val="auto"/>
              </w:rPr>
            </w:pPr>
          </w:p>
          <w:p w14:paraId="6264FDDC">
            <w:pPr>
              <w:keepNext w:val="0"/>
              <w:keepLines w:val="0"/>
              <w:suppressLineNumbers w:val="0"/>
              <w:spacing w:before="0" w:beforeAutospacing="0" w:after="0" w:afterAutospacing="0"/>
              <w:ind w:left="0" w:right="0"/>
              <w:rPr>
                <w:rFonts w:hint="default" w:cs="Times New Roman"/>
                <w:color w:val="auto"/>
              </w:rPr>
            </w:pPr>
          </w:p>
          <w:p w14:paraId="5908B8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eastAsia="宋体" w:cs="Times New Roman"/>
                <w:color w:val="auto"/>
                <w:lang w:eastAsia="zh-CN"/>
              </w:rPr>
            </w:pPr>
          </w:p>
        </w:tc>
      </w:tr>
    </w:tbl>
    <w:p w14:paraId="5BF41DFF">
      <w:pPr>
        <w:adjustRightInd w:val="0"/>
        <w:snapToGrid w:val="0"/>
        <w:jc w:val="center"/>
        <w:rPr>
          <w:rFonts w:hint="default" w:ascii="Times New Roman" w:hAnsi="Times New Roman" w:eastAsia="宋体" w:cs="Times New Roman"/>
          <w:color w:val="auto"/>
          <w:szCs w:val="21"/>
        </w:rPr>
        <w:sectPr>
          <w:footerReference r:id="rId7" w:type="default"/>
          <w:pgSz w:w="11906" w:h="16838"/>
          <w:pgMar w:top="1191" w:right="1400" w:bottom="1417" w:left="1088" w:header="851" w:footer="1077" w:gutter="0"/>
          <w:pgBorders>
            <w:top w:val="none" w:sz="0" w:space="0"/>
            <w:left w:val="none" w:sz="0" w:space="0"/>
            <w:bottom w:val="none" w:sz="0" w:space="0"/>
            <w:right w:val="none" w:sz="0" w:space="0"/>
          </w:pgBorders>
          <w:pgNumType w:fmt="decimal" w:start="1"/>
          <w:cols w:space="720" w:num="1"/>
          <w:rtlGutter w:val="0"/>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3973"/>
      </w:tblGrid>
      <w:tr w14:paraId="796C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9" w:hRule="atLeast"/>
        </w:trPr>
        <w:tc>
          <w:tcPr>
            <w:tcW w:w="579" w:type="dxa"/>
            <w:noWrap w:val="0"/>
            <w:vAlign w:val="center"/>
          </w:tcPr>
          <w:p w14:paraId="29D73F64">
            <w:pPr>
              <w:pStyle w:val="13"/>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黑体" w:cs="Times New Roman"/>
                <w:color w:val="auto"/>
                <w:sz w:val="30"/>
                <w:vertAlign w:val="baseline"/>
              </w:rPr>
            </w:pPr>
            <w:r>
              <w:rPr>
                <w:rFonts w:hint="default" w:ascii="Times New Roman" w:hAnsi="Times New Roman" w:eastAsia="宋体" w:cs="Times New Roman"/>
                <w:color w:val="auto"/>
                <w:kern w:val="2"/>
                <w:sz w:val="21"/>
                <w:szCs w:val="21"/>
                <w:lang w:val="en-US" w:eastAsia="zh-CN" w:bidi="ar-SA"/>
              </w:rPr>
              <w:t>其他符合性分析</w:t>
            </w:r>
          </w:p>
        </w:tc>
        <w:tc>
          <w:tcPr>
            <w:tcW w:w="13973" w:type="dxa"/>
            <w:noWrap w:val="0"/>
            <w:vAlign w:val="top"/>
          </w:tcPr>
          <w:p w14:paraId="29A982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（4）环境准入负面清单</w:t>
            </w:r>
          </w:p>
          <w:p w14:paraId="5FF794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本项目位于《2023年生态环境分区管控成果动态更新工作方案》（环办环评函﹝2023﹞81号）规定的</w:t>
            </w:r>
            <w:r>
              <w:rPr>
                <w:rFonts w:hint="default" w:ascii="Times New Roman" w:hAnsi="Times New Roman" w:eastAsia="宋体" w:cs="Times New Roman"/>
                <w:color w:val="auto"/>
                <w:lang w:eastAsia="zh-CN"/>
              </w:rPr>
              <w:t>重点管控单元--</w:t>
            </w:r>
            <w:r>
              <w:rPr>
                <w:rFonts w:hint="eastAsia" w:ascii="Times New Roman" w:hAnsi="Times New Roman" w:eastAsia="宋体" w:cs="Times New Roman"/>
                <w:color w:val="auto"/>
                <w:lang w:val="en-US" w:eastAsia="zh-CN"/>
              </w:rPr>
              <w:t>太湖流域，对照分析如下：</w:t>
            </w:r>
          </w:p>
          <w:p w14:paraId="1A63EA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表1-</w:t>
            </w:r>
            <w:r>
              <w:rPr>
                <w:rFonts w:hint="eastAsia" w:cs="Times New Roman"/>
                <w:b/>
                <w:color w:val="auto"/>
                <w:kern w:val="0"/>
                <w:sz w:val="21"/>
                <w:szCs w:val="21"/>
                <w:lang w:val="en-US" w:eastAsia="zh-CN"/>
              </w:rPr>
              <w:t>3</w:t>
            </w:r>
            <w:r>
              <w:rPr>
                <w:rFonts w:hint="default" w:ascii="Times New Roman" w:hAnsi="Times New Roman" w:eastAsia="宋体" w:cs="Times New Roman"/>
                <w:b/>
                <w:color w:val="auto"/>
                <w:kern w:val="0"/>
                <w:sz w:val="21"/>
                <w:szCs w:val="21"/>
              </w:rPr>
              <w:t xml:space="preserve">  项目与</w:t>
            </w:r>
            <w:r>
              <w:rPr>
                <w:rFonts w:hint="eastAsia" w:ascii="Times New Roman" w:hAnsi="Times New Roman" w:eastAsia="宋体" w:cs="Times New Roman"/>
                <w:b/>
                <w:color w:val="auto"/>
                <w:kern w:val="0"/>
                <w:sz w:val="21"/>
                <w:szCs w:val="21"/>
                <w:lang w:val="en-US" w:eastAsia="zh-CN"/>
              </w:rPr>
              <w:t>江苏省</w:t>
            </w:r>
            <w:r>
              <w:rPr>
                <w:rFonts w:hint="default" w:ascii="Times New Roman" w:hAnsi="Times New Roman" w:eastAsia="宋体" w:cs="Times New Roman"/>
                <w:b/>
                <w:color w:val="auto"/>
                <w:kern w:val="0"/>
                <w:sz w:val="21"/>
                <w:szCs w:val="21"/>
              </w:rPr>
              <w:t>重点管控单元（</w:t>
            </w:r>
            <w:r>
              <w:rPr>
                <w:rFonts w:hint="eastAsia" w:cs="Times New Roman"/>
                <w:b/>
                <w:color w:val="auto"/>
                <w:kern w:val="0"/>
                <w:sz w:val="21"/>
                <w:szCs w:val="21"/>
                <w:lang w:val="en-US" w:eastAsia="zh-CN"/>
              </w:rPr>
              <w:t>太湖流域</w:t>
            </w:r>
            <w:r>
              <w:rPr>
                <w:rFonts w:hint="default" w:ascii="Times New Roman" w:hAnsi="Times New Roman" w:eastAsia="宋体" w:cs="Times New Roman"/>
                <w:b/>
                <w:color w:val="auto"/>
                <w:kern w:val="0"/>
                <w:sz w:val="21"/>
                <w:szCs w:val="21"/>
              </w:rPr>
              <w:t>）生态环境准入清单相符性分析表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1795"/>
              <w:gridCol w:w="5360"/>
              <w:gridCol w:w="3197"/>
              <w:gridCol w:w="1642"/>
            </w:tblGrid>
            <w:tr w14:paraId="4E01A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pct"/>
                  <w:noWrap w:val="0"/>
                  <w:vAlign w:val="center"/>
                </w:tcPr>
                <w:p w14:paraId="2C6770DF">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eastAsia="zh-CN"/>
                    </w:rPr>
                  </w:pPr>
                  <w:r>
                    <w:rPr>
                      <w:rFonts w:hint="eastAsia" w:ascii="Times New Roman" w:hAnsi="Times New Roman" w:eastAsia="仿宋" w:cs="Times New Roman"/>
                      <w:color w:val="auto"/>
                      <w:szCs w:val="21"/>
                      <w:lang w:val="en-US" w:eastAsia="zh-CN"/>
                    </w:rPr>
                    <w:t>文件</w:t>
                  </w:r>
                </w:p>
              </w:tc>
              <w:tc>
                <w:tcPr>
                  <w:tcW w:w="2602" w:type="pct"/>
                  <w:gridSpan w:val="2"/>
                  <w:noWrap w:val="0"/>
                  <w:vAlign w:val="center"/>
                </w:tcPr>
                <w:p w14:paraId="73862A1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相关要求</w:t>
                  </w:r>
                </w:p>
              </w:tc>
              <w:tc>
                <w:tcPr>
                  <w:tcW w:w="1162" w:type="pct"/>
                  <w:noWrap w:val="0"/>
                  <w:vAlign w:val="center"/>
                </w:tcPr>
                <w:p w14:paraId="2781E35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对照分析</w:t>
                  </w:r>
                </w:p>
              </w:tc>
              <w:tc>
                <w:tcPr>
                  <w:tcW w:w="597" w:type="pct"/>
                  <w:noWrap w:val="0"/>
                  <w:vAlign w:val="center"/>
                </w:tcPr>
                <w:p w14:paraId="186330E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是否满足要求</w:t>
                  </w:r>
                </w:p>
              </w:tc>
            </w:tr>
            <w:tr w14:paraId="69316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pct"/>
                  <w:vMerge w:val="restart"/>
                  <w:noWrap w:val="0"/>
                  <w:vAlign w:val="center"/>
                </w:tcPr>
                <w:p w14:paraId="222EF37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《2023年生态环境分区管控成果动态更新工作方案》（环办环评函﹝2023﹞81号）</w:t>
                  </w:r>
                </w:p>
              </w:tc>
              <w:tc>
                <w:tcPr>
                  <w:tcW w:w="652" w:type="pct"/>
                  <w:noWrap w:val="0"/>
                  <w:vAlign w:val="center"/>
                </w:tcPr>
                <w:p w14:paraId="574FFA7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空间布局约束</w:t>
                  </w:r>
                </w:p>
              </w:tc>
              <w:tc>
                <w:tcPr>
                  <w:tcW w:w="1949" w:type="pct"/>
                  <w:noWrap w:val="0"/>
                  <w:vAlign w:val="center"/>
                </w:tcPr>
                <w:p w14:paraId="3FB04C32">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162" w:type="pct"/>
                  <w:noWrap w:val="0"/>
                  <w:vAlign w:val="center"/>
                </w:tcPr>
                <w:p w14:paraId="04249CA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本项目不属于禁止建设的企业和项目</w:t>
                  </w:r>
                </w:p>
              </w:tc>
              <w:tc>
                <w:tcPr>
                  <w:tcW w:w="597" w:type="pct"/>
                  <w:noWrap w:val="0"/>
                  <w:vAlign w:val="center"/>
                </w:tcPr>
                <w:p w14:paraId="6C1CBE0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w:t>
                  </w:r>
                </w:p>
              </w:tc>
            </w:tr>
            <w:tr w14:paraId="29BD8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pct"/>
                  <w:vMerge w:val="continue"/>
                  <w:noWrap w:val="0"/>
                  <w:vAlign w:val="center"/>
                </w:tcPr>
                <w:p w14:paraId="0D5E591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c>
                <w:tcPr>
                  <w:tcW w:w="652" w:type="pct"/>
                  <w:noWrap w:val="0"/>
                  <w:vAlign w:val="center"/>
                </w:tcPr>
                <w:p w14:paraId="2F83E72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污染物排放管控</w:t>
                  </w:r>
                </w:p>
              </w:tc>
              <w:tc>
                <w:tcPr>
                  <w:tcW w:w="1949" w:type="pct"/>
                  <w:noWrap w:val="0"/>
                  <w:vAlign w:val="center"/>
                </w:tcPr>
                <w:p w14:paraId="42849641">
                  <w:pPr>
                    <w:keepNext w:val="0"/>
                    <w:keepLines w:val="0"/>
                    <w:numPr>
                      <w:ilvl w:val="0"/>
                      <w:numId w:val="0"/>
                    </w:numPr>
                    <w:suppressLineNumbers w:val="0"/>
                    <w:spacing w:before="0" w:beforeAutospacing="0" w:after="0" w:afterAutospacing="0"/>
                    <w:ind w:left="0" w:right="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城镇污水处理厂、纺织工业、化学工业、造纸工业、钢铁工业、电镀工业和食品工业的污水处理设施执行《太湖地区城镇污水处理厂及重点工业行业主要水污染物排放限值》。</w:t>
                  </w:r>
                </w:p>
              </w:tc>
              <w:tc>
                <w:tcPr>
                  <w:tcW w:w="1162" w:type="pct"/>
                  <w:noWrap w:val="0"/>
                  <w:vAlign w:val="center"/>
                </w:tcPr>
                <w:p w14:paraId="77A9F98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本项目</w:t>
                  </w:r>
                  <w:r>
                    <w:rPr>
                      <w:rFonts w:hint="eastAsia" w:ascii="Times New Roman" w:hAnsi="Times New Roman" w:eastAsia="仿宋" w:cs="Times New Roman"/>
                      <w:color w:val="auto"/>
                      <w:szCs w:val="21"/>
                      <w:lang w:val="en-US" w:eastAsia="zh-CN"/>
                    </w:rPr>
                    <w:t>不属于上述工业</w:t>
                  </w:r>
                </w:p>
              </w:tc>
              <w:tc>
                <w:tcPr>
                  <w:tcW w:w="597" w:type="pct"/>
                  <w:noWrap w:val="0"/>
                  <w:vAlign w:val="center"/>
                </w:tcPr>
                <w:p w14:paraId="518B3A3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w:t>
                  </w:r>
                </w:p>
              </w:tc>
            </w:tr>
            <w:tr w14:paraId="5FF9A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pct"/>
                  <w:vMerge w:val="continue"/>
                  <w:noWrap w:val="0"/>
                  <w:vAlign w:val="center"/>
                </w:tcPr>
                <w:p w14:paraId="193C982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szCs w:val="21"/>
                    </w:rPr>
                  </w:pPr>
                </w:p>
              </w:tc>
              <w:tc>
                <w:tcPr>
                  <w:tcW w:w="652" w:type="pct"/>
                  <w:noWrap w:val="0"/>
                  <w:vAlign w:val="center"/>
                </w:tcPr>
                <w:p w14:paraId="330DD3A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环境风险防控</w:t>
                  </w:r>
                </w:p>
              </w:tc>
              <w:tc>
                <w:tcPr>
                  <w:tcW w:w="1949" w:type="pct"/>
                  <w:noWrap w:val="0"/>
                  <w:vAlign w:val="center"/>
                </w:tcPr>
                <w:p w14:paraId="1BC2205E">
                  <w:pPr>
                    <w:keepNext w:val="0"/>
                    <w:keepLines w:val="0"/>
                    <w:numPr>
                      <w:ilvl w:val="0"/>
                      <w:numId w:val="0"/>
                    </w:numPr>
                    <w:suppressLineNumbers w:val="0"/>
                    <w:spacing w:before="0" w:beforeAutospacing="0" w:after="0" w:afterAutospacing="0"/>
                    <w:ind w:left="0" w:right="0"/>
                    <w:jc w:val="both"/>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w:t>
                  </w:r>
                  <w:r>
                    <w:rPr>
                      <w:rFonts w:hint="default" w:ascii="Times New Roman" w:hAnsi="Times New Roman" w:eastAsia="仿宋" w:cs="Times New Roman"/>
                      <w:color w:val="auto"/>
                      <w:kern w:val="2"/>
                      <w:sz w:val="21"/>
                      <w:szCs w:val="21"/>
                      <w:lang w:val="en-US" w:eastAsia="zh-CN" w:bidi="ar-SA"/>
                    </w:rPr>
                    <w:t>运输剧毒物质、危险化学品的船舶不得进入太湖。</w:t>
                  </w:r>
                </w:p>
                <w:p w14:paraId="543D4B28">
                  <w:pPr>
                    <w:keepNext w:val="0"/>
                    <w:keepLines w:val="0"/>
                    <w:numPr>
                      <w:ilvl w:val="0"/>
                      <w:numId w:val="0"/>
                    </w:numPr>
                    <w:suppressLineNumbers w:val="0"/>
                    <w:spacing w:before="0" w:beforeAutospacing="0" w:after="0" w:afterAutospacing="0"/>
                    <w:ind w:left="0" w:right="0"/>
                    <w:jc w:val="both"/>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2.禁止向太湖流域水体排放或者倾倒油类、酸液、碱液、剧毒废渣废液、含放射性废渣废液、含病原体污水、工业废渣以及其他废弃物。</w:t>
                  </w:r>
                </w:p>
                <w:p w14:paraId="13115B05">
                  <w:pPr>
                    <w:keepNext w:val="0"/>
                    <w:keepLines w:val="0"/>
                    <w:numPr>
                      <w:ilvl w:val="0"/>
                      <w:numId w:val="0"/>
                    </w:numPr>
                    <w:suppressLineNumbers w:val="0"/>
                    <w:spacing w:before="0" w:beforeAutospacing="0" w:after="0" w:afterAutospacing="0"/>
                    <w:ind w:left="0" w:right="0"/>
                    <w:jc w:val="both"/>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3.加强太湖流域生态环境风险应急管控，着力提高防控太湖蓝藻水华风险预警和应急处置能力。</w:t>
                  </w:r>
                </w:p>
              </w:tc>
              <w:tc>
                <w:tcPr>
                  <w:tcW w:w="1162" w:type="pct"/>
                  <w:noWrap w:val="0"/>
                  <w:vAlign w:val="center"/>
                </w:tcPr>
                <w:p w14:paraId="6C8B7E5C">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本项目</w:t>
                  </w:r>
                  <w:r>
                    <w:rPr>
                      <w:rFonts w:hint="eastAsia" w:ascii="Times New Roman" w:hAnsi="Times New Roman" w:eastAsia="仿宋" w:cs="Times New Roman"/>
                      <w:color w:val="auto"/>
                      <w:szCs w:val="21"/>
                      <w:lang w:val="en-US" w:eastAsia="zh-CN"/>
                    </w:rPr>
                    <w:t>不涉及上述内容</w:t>
                  </w:r>
                </w:p>
              </w:tc>
              <w:tc>
                <w:tcPr>
                  <w:tcW w:w="597" w:type="pct"/>
                  <w:noWrap w:val="0"/>
                  <w:vAlign w:val="center"/>
                </w:tcPr>
                <w:p w14:paraId="1DE7A3E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w:t>
                  </w:r>
                </w:p>
              </w:tc>
            </w:tr>
            <w:tr w14:paraId="67982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pct"/>
                  <w:vMerge w:val="continue"/>
                  <w:noWrap w:val="0"/>
                  <w:vAlign w:val="center"/>
                </w:tcPr>
                <w:p w14:paraId="5691B5B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szCs w:val="21"/>
                    </w:rPr>
                  </w:pPr>
                </w:p>
              </w:tc>
              <w:tc>
                <w:tcPr>
                  <w:tcW w:w="652" w:type="pct"/>
                  <w:noWrap w:val="0"/>
                  <w:vAlign w:val="center"/>
                </w:tcPr>
                <w:p w14:paraId="472906B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资源开发效率要求</w:t>
                  </w:r>
                </w:p>
              </w:tc>
              <w:tc>
                <w:tcPr>
                  <w:tcW w:w="1949" w:type="pct"/>
                  <w:noWrap w:val="0"/>
                  <w:vAlign w:val="center"/>
                </w:tcPr>
                <w:p w14:paraId="0A5E0E63">
                  <w:pPr>
                    <w:keepNext w:val="0"/>
                    <w:keepLines w:val="0"/>
                    <w:numPr>
                      <w:ilvl w:val="0"/>
                      <w:numId w:val="0"/>
                    </w:numPr>
                    <w:suppressLineNumbers w:val="0"/>
                    <w:spacing w:before="0" w:beforeAutospacing="0" w:after="0" w:afterAutospacing="0"/>
                    <w:ind w:left="0" w:right="0"/>
                    <w:jc w:val="both"/>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1.</w:t>
                  </w:r>
                  <w:r>
                    <w:rPr>
                      <w:rFonts w:hint="default" w:ascii="Times New Roman" w:hAnsi="Times New Roman" w:eastAsia="仿宋" w:cs="Times New Roman"/>
                      <w:color w:val="auto"/>
                      <w:szCs w:val="21"/>
                    </w:rPr>
                    <w:t>太湖流域加强水资源配置与调度，优先满足居民生活用水，兼顾生产、生态用水以及航运等需要。</w:t>
                  </w:r>
                </w:p>
                <w:p w14:paraId="1AF38930">
                  <w:pPr>
                    <w:keepNext w:val="0"/>
                    <w:keepLines w:val="0"/>
                    <w:numPr>
                      <w:ilvl w:val="0"/>
                      <w:numId w:val="0"/>
                    </w:numPr>
                    <w:suppressLineNumbers w:val="0"/>
                    <w:spacing w:before="0" w:beforeAutospacing="0" w:after="0" w:afterAutospacing="0"/>
                    <w:ind w:left="0" w:right="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2.2020年底前，太湖流域所有省级以上开发区开展园区循环化改造。</w:t>
                  </w:r>
                </w:p>
              </w:tc>
              <w:tc>
                <w:tcPr>
                  <w:tcW w:w="1162" w:type="pct"/>
                  <w:noWrap w:val="0"/>
                  <w:vAlign w:val="center"/>
                </w:tcPr>
                <w:p w14:paraId="5C7C604C">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eastAsia="zh-CN"/>
                    </w:rPr>
                  </w:pPr>
                  <w:r>
                    <w:rPr>
                      <w:rFonts w:hint="eastAsia" w:ascii="Times New Roman" w:hAnsi="Times New Roman" w:eastAsia="仿宋" w:cs="Times New Roman"/>
                      <w:color w:val="auto"/>
                      <w:szCs w:val="21"/>
                      <w:lang w:val="en-US" w:eastAsia="zh-CN"/>
                    </w:rPr>
                    <w:t>相符</w:t>
                  </w:r>
                </w:p>
              </w:tc>
              <w:tc>
                <w:tcPr>
                  <w:tcW w:w="597" w:type="pct"/>
                  <w:noWrap w:val="0"/>
                  <w:vAlign w:val="center"/>
                </w:tcPr>
                <w:p w14:paraId="4415C06C">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是</w:t>
                  </w:r>
                </w:p>
              </w:tc>
            </w:tr>
          </w:tbl>
          <w:p w14:paraId="0AF13C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lang w:eastAsia="zh-CN"/>
              </w:rPr>
            </w:pPr>
            <w:r>
              <w:rPr>
                <w:rFonts w:hint="eastAsia" w:cs="Times New Roman"/>
                <w:color w:val="auto"/>
                <w:lang w:val="en-US" w:eastAsia="zh-CN"/>
              </w:rPr>
              <w:t>本项目位于《常州市生态环境分区管控动态更新成果（2023年版）》</w:t>
            </w:r>
            <w:r>
              <w:rPr>
                <w:rFonts w:hint="default" w:ascii="Times New Roman" w:hAnsi="Times New Roman" w:eastAsia="宋体" w:cs="Times New Roman"/>
                <w:color w:val="auto"/>
                <w:lang w:eastAsia="zh-CN"/>
              </w:rPr>
              <w:t>规定的</w:t>
            </w:r>
            <w:r>
              <w:rPr>
                <w:rFonts w:hint="eastAsia" w:cs="Times New Roman"/>
                <w:color w:val="auto"/>
                <w:lang w:val="en-US" w:eastAsia="zh-CN"/>
              </w:rPr>
              <w:t>一般</w:t>
            </w:r>
            <w:r>
              <w:rPr>
                <w:rFonts w:hint="default" w:ascii="Times New Roman" w:hAnsi="Times New Roman" w:eastAsia="宋体" w:cs="Times New Roman"/>
                <w:color w:val="auto"/>
                <w:lang w:eastAsia="zh-CN"/>
              </w:rPr>
              <w:t>管控单元</w:t>
            </w:r>
            <w:r>
              <w:rPr>
                <w:rFonts w:hint="eastAsia" w:ascii="Times New Roman" w:hAnsi="Times New Roman" w:eastAsia="宋体" w:cs="Times New Roman"/>
                <w:color w:val="auto"/>
                <w:lang w:eastAsia="zh-CN"/>
              </w:rPr>
              <w:t>－</w:t>
            </w:r>
            <w:r>
              <w:rPr>
                <w:rFonts w:hint="eastAsia" w:cs="Times New Roman"/>
                <w:color w:val="auto"/>
                <w:lang w:val="en-US" w:eastAsia="zh-CN"/>
              </w:rPr>
              <w:t>朱林镇</w:t>
            </w:r>
            <w:r>
              <w:rPr>
                <w:rFonts w:hint="default" w:ascii="Times New Roman" w:hAnsi="Times New Roman" w:eastAsia="宋体" w:cs="Times New Roman"/>
                <w:color w:val="auto"/>
                <w:lang w:eastAsia="zh-CN"/>
              </w:rPr>
              <w:t>，对照分析如下：</w:t>
            </w:r>
          </w:p>
          <w:p w14:paraId="3A9068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表1-</w:t>
            </w:r>
            <w:r>
              <w:rPr>
                <w:rFonts w:hint="eastAsia" w:cs="Times New Roman"/>
                <w:b/>
                <w:color w:val="auto"/>
                <w:kern w:val="0"/>
                <w:sz w:val="21"/>
                <w:szCs w:val="21"/>
                <w:lang w:val="en-US" w:eastAsia="zh-CN"/>
              </w:rPr>
              <w:t>4</w:t>
            </w:r>
            <w:r>
              <w:rPr>
                <w:rFonts w:hint="default" w:ascii="Times New Roman" w:hAnsi="Times New Roman" w:eastAsia="宋体" w:cs="Times New Roman"/>
                <w:b/>
                <w:color w:val="auto"/>
                <w:kern w:val="0"/>
                <w:sz w:val="21"/>
                <w:szCs w:val="21"/>
              </w:rPr>
              <w:t xml:space="preserve">  项目与常州市</w:t>
            </w:r>
            <w:r>
              <w:rPr>
                <w:rFonts w:hint="eastAsia" w:cs="Times New Roman"/>
                <w:b/>
                <w:color w:val="auto"/>
                <w:kern w:val="0"/>
                <w:sz w:val="21"/>
                <w:szCs w:val="21"/>
                <w:lang w:val="en-US" w:eastAsia="zh-CN"/>
              </w:rPr>
              <w:t>一般</w:t>
            </w:r>
            <w:r>
              <w:rPr>
                <w:rFonts w:hint="default" w:ascii="Times New Roman" w:hAnsi="Times New Roman" w:eastAsia="宋体" w:cs="Times New Roman"/>
                <w:b/>
                <w:color w:val="auto"/>
                <w:kern w:val="0"/>
                <w:sz w:val="21"/>
                <w:szCs w:val="21"/>
              </w:rPr>
              <w:t>管控单元（</w:t>
            </w:r>
            <w:r>
              <w:rPr>
                <w:rFonts w:hint="eastAsia" w:ascii="Times New Roman" w:hAnsi="Times New Roman" w:eastAsia="宋体" w:cs="Times New Roman"/>
                <w:b/>
                <w:color w:val="auto"/>
                <w:kern w:val="0"/>
                <w:sz w:val="21"/>
                <w:szCs w:val="21"/>
                <w:lang w:val="en-US" w:eastAsia="zh-CN"/>
              </w:rPr>
              <w:t>朱林</w:t>
            </w:r>
            <w:r>
              <w:rPr>
                <w:rFonts w:hint="default" w:ascii="Times New Roman" w:hAnsi="Times New Roman" w:eastAsia="宋体" w:cs="Times New Roman"/>
                <w:b/>
                <w:color w:val="auto"/>
                <w:kern w:val="0"/>
                <w:sz w:val="21"/>
                <w:szCs w:val="21"/>
                <w:lang w:val="en-US" w:eastAsia="zh-CN"/>
              </w:rPr>
              <w:t>镇</w:t>
            </w:r>
            <w:r>
              <w:rPr>
                <w:rFonts w:hint="default" w:ascii="Times New Roman" w:hAnsi="Times New Roman" w:eastAsia="宋体" w:cs="Times New Roman"/>
                <w:b/>
                <w:color w:val="auto"/>
                <w:kern w:val="0"/>
                <w:sz w:val="21"/>
                <w:szCs w:val="21"/>
              </w:rPr>
              <w:t>）生态环境准入清单相符性分析表</w:t>
            </w:r>
          </w:p>
          <w:tbl>
            <w:tblPr>
              <w:tblStyle w:val="27"/>
              <w:tblW w:w="137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779"/>
              <w:gridCol w:w="5640"/>
              <w:gridCol w:w="4335"/>
              <w:gridCol w:w="1583"/>
            </w:tblGrid>
            <w:tr w14:paraId="0BB49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2" w:type="dxa"/>
                  <w:noWrap w:val="0"/>
                  <w:vAlign w:val="center"/>
                </w:tcPr>
                <w:p w14:paraId="7861BCFE">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文件</w:t>
                  </w:r>
                </w:p>
              </w:tc>
              <w:tc>
                <w:tcPr>
                  <w:tcW w:w="6419" w:type="dxa"/>
                  <w:gridSpan w:val="2"/>
                  <w:noWrap w:val="0"/>
                  <w:vAlign w:val="center"/>
                </w:tcPr>
                <w:p w14:paraId="65C5A3A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相关要求</w:t>
                  </w:r>
                </w:p>
              </w:tc>
              <w:tc>
                <w:tcPr>
                  <w:tcW w:w="4335" w:type="dxa"/>
                  <w:noWrap w:val="0"/>
                  <w:vAlign w:val="center"/>
                </w:tcPr>
                <w:p w14:paraId="2977E63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对照分析</w:t>
                  </w:r>
                </w:p>
              </w:tc>
              <w:tc>
                <w:tcPr>
                  <w:tcW w:w="1583" w:type="dxa"/>
                  <w:noWrap w:val="0"/>
                  <w:vAlign w:val="center"/>
                </w:tcPr>
                <w:p w14:paraId="7955C13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是否满足要求</w:t>
                  </w:r>
                </w:p>
              </w:tc>
            </w:tr>
            <w:tr w14:paraId="581B9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2" w:type="dxa"/>
                  <w:vMerge w:val="restart"/>
                  <w:noWrap w:val="0"/>
                  <w:vAlign w:val="center"/>
                </w:tcPr>
                <w:p w14:paraId="07DD049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《常州市生态环境分区管控动态更新成果（2023年版）》</w:t>
                  </w:r>
                </w:p>
              </w:tc>
              <w:tc>
                <w:tcPr>
                  <w:tcW w:w="779" w:type="dxa"/>
                  <w:noWrap w:val="0"/>
                  <w:vAlign w:val="center"/>
                </w:tcPr>
                <w:p w14:paraId="0F622A9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空间布局约束</w:t>
                  </w:r>
                </w:p>
              </w:tc>
              <w:tc>
                <w:tcPr>
                  <w:tcW w:w="5640" w:type="dxa"/>
                  <w:noWrap w:val="0"/>
                  <w:vAlign w:val="center"/>
                </w:tcPr>
                <w:p w14:paraId="345D9BAB">
                  <w:pPr>
                    <w:keepNext w:val="0"/>
                    <w:keepLines w:val="0"/>
                    <w:numPr>
                      <w:ilvl w:val="0"/>
                      <w:numId w:val="2"/>
                    </w:numPr>
                    <w:suppressLineNumbers w:val="0"/>
                    <w:spacing w:before="0" w:beforeAutospacing="0" w:after="0" w:afterAutospacing="0"/>
                    <w:ind w:left="0" w:right="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各类开发建设活动应符合常州市总体规划、控制性详细规划、土地利用规划等相关要求。</w:t>
                  </w:r>
                </w:p>
                <w:p w14:paraId="1AAE43F1">
                  <w:pPr>
                    <w:keepNext w:val="0"/>
                    <w:keepLines w:val="0"/>
                    <w:numPr>
                      <w:ilvl w:val="0"/>
                      <w:numId w:val="2"/>
                    </w:numPr>
                    <w:suppressLineNumbers w:val="0"/>
                    <w:spacing w:before="0" w:beforeAutospacing="0" w:after="0" w:afterAutospacing="0"/>
                    <w:ind w:left="0" w:leftChars="0" w:right="0" w:firstLine="0" w:firstLineChars="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禁止引入列入《产业结构调整指导目录》、《江苏省产业结构调整限制、淘汰和禁止目录》、《江苏省工业和信息产业结构调整、限制、淘汰目录及能耗限额》淘汰类的产业。</w:t>
                  </w:r>
                </w:p>
                <w:p w14:paraId="659D4ADA">
                  <w:pPr>
                    <w:keepNext w:val="0"/>
                    <w:keepLines w:val="0"/>
                    <w:numPr>
                      <w:ilvl w:val="0"/>
                      <w:numId w:val="2"/>
                    </w:numPr>
                    <w:suppressLineNumbers w:val="0"/>
                    <w:spacing w:before="0" w:beforeAutospacing="0" w:after="0" w:afterAutospacing="0"/>
                    <w:ind w:left="0" w:leftChars="0" w:right="0" w:firstLine="0" w:firstLineChars="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禁止引入不符合《江苏省太湖流域水污染防治条例》要求的项目。</w:t>
                  </w:r>
                </w:p>
                <w:p w14:paraId="07C9ED4B">
                  <w:pPr>
                    <w:keepNext w:val="0"/>
                    <w:keepLines w:val="0"/>
                    <w:numPr>
                      <w:ilvl w:val="0"/>
                      <w:numId w:val="2"/>
                    </w:numPr>
                    <w:suppressLineNumbers w:val="0"/>
                    <w:spacing w:before="0" w:beforeAutospacing="0" w:after="0" w:afterAutospacing="0"/>
                    <w:ind w:left="0" w:leftChars="0" w:right="0" w:firstLine="0" w:firstLineChars="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不得新建、改建、扩建印染项目。</w:t>
                  </w:r>
                </w:p>
                <w:p w14:paraId="46271122">
                  <w:pPr>
                    <w:keepNext w:val="0"/>
                    <w:keepLines w:val="0"/>
                    <w:numPr>
                      <w:ilvl w:val="0"/>
                      <w:numId w:val="0"/>
                    </w:numPr>
                    <w:suppressLineNumbers w:val="0"/>
                    <w:spacing w:before="0" w:beforeAutospacing="0" w:after="0" w:afterAutospacing="0"/>
                    <w:ind w:left="0" w:leftChars="0" w:right="0" w:firstLine="0" w:firstLineChars="0"/>
                    <w:jc w:val="both"/>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（5）禁养区范围内禁止建设畜禽养殖场、养殖小区。</w:t>
                  </w:r>
                </w:p>
              </w:tc>
              <w:tc>
                <w:tcPr>
                  <w:tcW w:w="4335" w:type="dxa"/>
                  <w:noWrap w:val="0"/>
                  <w:vAlign w:val="center"/>
                </w:tcPr>
                <w:p w14:paraId="2492FEAD">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本项目位于</w:t>
                  </w:r>
                  <w:r>
                    <w:rPr>
                      <w:rFonts w:hint="eastAsia" w:ascii="Times New Roman" w:hAnsi="Times New Roman" w:eastAsia="仿宋" w:cs="Times New Roman"/>
                      <w:color w:val="auto"/>
                      <w:szCs w:val="21"/>
                      <w:lang w:val="en-US" w:eastAsia="zh-CN"/>
                    </w:rPr>
                    <w:t>常州市金坛区朱林镇西岗集镇港城路99号</w:t>
                  </w:r>
                  <w:r>
                    <w:rPr>
                      <w:rFonts w:hint="default" w:ascii="Times New Roman" w:hAnsi="Times New Roman" w:eastAsia="仿宋" w:cs="Times New Roman"/>
                      <w:color w:val="auto"/>
                      <w:szCs w:val="21"/>
                      <w:lang w:val="en-US" w:eastAsia="zh-CN"/>
                    </w:rPr>
                    <w:t>，根据《常州市金坛区国土空间规划近期实施方案》，项目所在地规划用地类型为</w:t>
                  </w:r>
                  <w:r>
                    <w:rPr>
                      <w:rFonts w:hint="eastAsia" w:ascii="Times New Roman" w:hAnsi="Times New Roman" w:eastAsia="仿宋" w:cs="Times New Roman"/>
                      <w:color w:val="auto"/>
                      <w:szCs w:val="21"/>
                      <w:lang w:val="en-US" w:eastAsia="zh-CN"/>
                    </w:rPr>
                    <w:t>建设</w:t>
                  </w:r>
                  <w:r>
                    <w:rPr>
                      <w:rFonts w:hint="default" w:ascii="Times New Roman" w:hAnsi="Times New Roman" w:eastAsia="仿宋" w:cs="Times New Roman"/>
                      <w:color w:val="auto"/>
                      <w:szCs w:val="21"/>
                      <w:lang w:val="en-US" w:eastAsia="zh-CN"/>
                    </w:rPr>
                    <w:t>用地。本项目主要生产加工</w:t>
                  </w:r>
                  <w:r>
                    <w:rPr>
                      <w:rFonts w:hint="eastAsia" w:ascii="Times New Roman" w:hAnsi="Times New Roman" w:eastAsia="仿宋" w:cs="Times New Roman"/>
                      <w:color w:val="auto"/>
                      <w:szCs w:val="21"/>
                      <w:lang w:val="en-US" w:eastAsia="zh-CN"/>
                    </w:rPr>
                    <w:t>橡胶辊轮</w:t>
                  </w:r>
                  <w:r>
                    <w:rPr>
                      <w:rFonts w:hint="default" w:ascii="Times New Roman" w:hAnsi="Times New Roman" w:eastAsia="仿宋" w:cs="Times New Roman"/>
                      <w:color w:val="auto"/>
                      <w:szCs w:val="21"/>
                      <w:lang w:val="en-US" w:eastAsia="zh-CN"/>
                    </w:rPr>
                    <w:t>，不属于</w:t>
                  </w:r>
                  <w:r>
                    <w:rPr>
                      <w:rFonts w:hint="eastAsia" w:ascii="Times New Roman" w:hAnsi="Times New Roman" w:eastAsia="仿宋" w:cs="Times New Roman"/>
                      <w:color w:val="auto"/>
                      <w:szCs w:val="21"/>
                      <w:lang w:val="en-US" w:eastAsia="zh-CN"/>
                    </w:rPr>
                    <w:t>朱林镇</w:t>
                  </w:r>
                  <w:r>
                    <w:rPr>
                      <w:rFonts w:hint="default" w:ascii="Times New Roman" w:hAnsi="Times New Roman" w:eastAsia="仿宋" w:cs="Times New Roman"/>
                      <w:color w:val="auto"/>
                      <w:szCs w:val="21"/>
                      <w:lang w:val="en-US" w:eastAsia="zh-CN"/>
                    </w:rPr>
                    <w:t>限制和禁止类项目</w:t>
                  </w:r>
                </w:p>
              </w:tc>
              <w:tc>
                <w:tcPr>
                  <w:tcW w:w="1583" w:type="dxa"/>
                  <w:noWrap w:val="0"/>
                  <w:vAlign w:val="center"/>
                </w:tcPr>
                <w:p w14:paraId="0D905C9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w:t>
                  </w:r>
                </w:p>
              </w:tc>
            </w:tr>
            <w:tr w14:paraId="687B8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2" w:type="dxa"/>
                  <w:vMerge w:val="continue"/>
                  <w:noWrap w:val="0"/>
                  <w:vAlign w:val="center"/>
                </w:tcPr>
                <w:p w14:paraId="03158D2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c>
                <w:tcPr>
                  <w:tcW w:w="779" w:type="dxa"/>
                  <w:noWrap w:val="0"/>
                  <w:vAlign w:val="center"/>
                </w:tcPr>
                <w:p w14:paraId="0CC7244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污染物排放管控</w:t>
                  </w:r>
                </w:p>
              </w:tc>
              <w:tc>
                <w:tcPr>
                  <w:tcW w:w="5640" w:type="dxa"/>
                  <w:noWrap w:val="0"/>
                  <w:vAlign w:val="center"/>
                </w:tcPr>
                <w:p w14:paraId="61A92969">
                  <w:pPr>
                    <w:keepNext w:val="0"/>
                    <w:keepLines w:val="0"/>
                    <w:numPr>
                      <w:ilvl w:val="0"/>
                      <w:numId w:val="3"/>
                    </w:numPr>
                    <w:suppressLineNumbers w:val="0"/>
                    <w:spacing w:before="0" w:beforeAutospacing="0" w:after="0" w:afterAutospacing="0"/>
                    <w:ind w:left="0" w:right="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落实污染物总量控制制度，根据区域环境质量改善目标，削减污染物排放总量。</w:t>
                  </w:r>
                </w:p>
                <w:p w14:paraId="22EE9909">
                  <w:pPr>
                    <w:keepNext w:val="0"/>
                    <w:keepLines w:val="0"/>
                    <w:numPr>
                      <w:ilvl w:val="0"/>
                      <w:numId w:val="3"/>
                    </w:numPr>
                    <w:suppressLineNumbers w:val="0"/>
                    <w:spacing w:before="0" w:beforeAutospacing="0" w:after="0" w:afterAutospacing="0"/>
                    <w:ind w:left="0" w:leftChars="0" w:right="0" w:firstLine="0" w:firstLineChars="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进一步开展管网排查，提升污水收集效率。强化餐饮油烟治理，加强噪声污染防治，严格施工扬尘监管，加强土壤和地下水污染防治与修复。</w:t>
                  </w:r>
                </w:p>
                <w:p w14:paraId="75CBDEBD">
                  <w:pPr>
                    <w:keepNext w:val="0"/>
                    <w:keepLines w:val="0"/>
                    <w:numPr>
                      <w:ilvl w:val="0"/>
                      <w:numId w:val="0"/>
                    </w:numPr>
                    <w:suppressLineNumbers w:val="0"/>
                    <w:spacing w:before="0" w:beforeAutospacing="0" w:after="0" w:afterAutospacing="0"/>
                    <w:ind w:left="0" w:leftChars="0" w:right="0" w:firstLine="0" w:firstLineChars="0"/>
                    <w:jc w:val="both"/>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（3）加强农业面源污染治理，严格控制化肥农药施加量，合理水产养殖布局，控制水产养殖污染，逐步削减农业面源污染物排放量。</w:t>
                  </w:r>
                </w:p>
              </w:tc>
              <w:tc>
                <w:tcPr>
                  <w:tcW w:w="4335" w:type="dxa"/>
                  <w:noWrap w:val="0"/>
                  <w:vAlign w:val="center"/>
                </w:tcPr>
                <w:p w14:paraId="27A0663C">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本项目生活污水接管至</w:t>
                  </w:r>
                  <w:r>
                    <w:rPr>
                      <w:rFonts w:hint="eastAsia" w:ascii="Times New Roman" w:hAnsi="Times New Roman" w:eastAsia="仿宋" w:cs="Times New Roman"/>
                      <w:color w:val="auto"/>
                      <w:szCs w:val="21"/>
                      <w:lang w:val="en-US" w:eastAsia="zh-CN"/>
                    </w:rPr>
                    <w:t>金坛区朱林镇三星村李巷农村生活污水处理站</w:t>
                  </w:r>
                  <w:r>
                    <w:rPr>
                      <w:rFonts w:hint="default" w:ascii="Times New Roman" w:hAnsi="Times New Roman" w:eastAsia="仿宋" w:cs="Times New Roman"/>
                      <w:color w:val="auto"/>
                      <w:szCs w:val="21"/>
                    </w:rPr>
                    <w:t>集中处理，尾水排入</w:t>
                  </w:r>
                  <w:r>
                    <w:rPr>
                      <w:rFonts w:hint="eastAsia" w:ascii="Times New Roman" w:hAnsi="Times New Roman" w:eastAsia="仿宋" w:cs="Times New Roman"/>
                      <w:color w:val="auto"/>
                      <w:szCs w:val="21"/>
                      <w:lang w:val="en-US" w:eastAsia="zh-CN"/>
                    </w:rPr>
                    <w:t>西港河</w:t>
                  </w:r>
                  <w:r>
                    <w:rPr>
                      <w:rFonts w:hint="eastAsia"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水污染物总量在污水处理厂内平衡；本项目生产过程产生的废气经有效收集处理后达标排放，废气污染物总量需向</w:t>
                  </w:r>
                  <w:r>
                    <w:rPr>
                      <w:rFonts w:hint="eastAsia" w:ascii="Times New Roman" w:hAnsi="Times New Roman" w:eastAsia="仿宋" w:cs="Times New Roman"/>
                      <w:color w:val="auto"/>
                      <w:szCs w:val="21"/>
                      <w:lang w:val="en-US" w:eastAsia="zh-CN"/>
                    </w:rPr>
                    <w:t>金坛</w:t>
                  </w:r>
                  <w:r>
                    <w:rPr>
                      <w:rFonts w:hint="default" w:ascii="Times New Roman" w:hAnsi="Times New Roman" w:eastAsia="仿宋" w:cs="Times New Roman"/>
                      <w:color w:val="auto"/>
                      <w:szCs w:val="21"/>
                    </w:rPr>
                    <w:t>区申请获得，在</w:t>
                  </w:r>
                  <w:r>
                    <w:rPr>
                      <w:rFonts w:hint="eastAsia" w:ascii="Times New Roman" w:hAnsi="Times New Roman" w:eastAsia="仿宋" w:cs="Times New Roman"/>
                      <w:color w:val="auto"/>
                      <w:szCs w:val="21"/>
                      <w:lang w:val="en-US" w:eastAsia="zh-CN"/>
                    </w:rPr>
                    <w:t>金坛区</w:t>
                  </w:r>
                  <w:r>
                    <w:rPr>
                      <w:rFonts w:hint="default" w:ascii="Times New Roman" w:hAnsi="Times New Roman" w:eastAsia="仿宋" w:cs="Times New Roman"/>
                      <w:color w:val="auto"/>
                      <w:szCs w:val="21"/>
                    </w:rPr>
                    <w:t>区域内平衡</w:t>
                  </w:r>
                  <w:r>
                    <w:rPr>
                      <w:rFonts w:hint="eastAsia" w:ascii="Times New Roman" w:hAnsi="Times New Roman" w:eastAsia="仿宋" w:cs="Times New Roman"/>
                      <w:color w:val="auto"/>
                      <w:szCs w:val="21"/>
                      <w:lang w:eastAsia="zh-CN"/>
                    </w:rPr>
                    <w:t>；</w:t>
                  </w:r>
                  <w:r>
                    <w:rPr>
                      <w:rFonts w:hint="eastAsia" w:ascii="Times New Roman" w:hAnsi="Times New Roman" w:eastAsia="仿宋" w:cs="Times New Roman"/>
                      <w:color w:val="auto"/>
                      <w:szCs w:val="21"/>
                      <w:lang w:val="en-US" w:eastAsia="zh-CN"/>
                    </w:rPr>
                    <w:t>本项目固体废物合规处置，不外排</w:t>
                  </w:r>
                </w:p>
              </w:tc>
              <w:tc>
                <w:tcPr>
                  <w:tcW w:w="1583" w:type="dxa"/>
                  <w:noWrap w:val="0"/>
                  <w:vAlign w:val="center"/>
                </w:tcPr>
                <w:p w14:paraId="60139E4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w:t>
                  </w:r>
                </w:p>
              </w:tc>
            </w:tr>
            <w:tr w14:paraId="461E7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2" w:type="dxa"/>
                  <w:vMerge w:val="continue"/>
                  <w:noWrap w:val="0"/>
                  <w:vAlign w:val="center"/>
                </w:tcPr>
                <w:p w14:paraId="1999F77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szCs w:val="21"/>
                    </w:rPr>
                  </w:pPr>
                </w:p>
              </w:tc>
              <w:tc>
                <w:tcPr>
                  <w:tcW w:w="779" w:type="dxa"/>
                  <w:noWrap w:val="0"/>
                  <w:vAlign w:val="center"/>
                </w:tcPr>
                <w:p w14:paraId="38837CB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环境风险防控</w:t>
                  </w:r>
                </w:p>
              </w:tc>
              <w:tc>
                <w:tcPr>
                  <w:tcW w:w="5640" w:type="dxa"/>
                  <w:noWrap w:val="0"/>
                  <w:vAlign w:val="center"/>
                </w:tcPr>
                <w:p w14:paraId="2F6468F2">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（1）加强环境风险防范应急体系建设，加强环境应急预案管理，定期开展应急演练，持续开展环境安全隐患排查整治，提升应急监测能力，加强应急物资管理。</w:t>
                  </w:r>
                </w:p>
                <w:p w14:paraId="7BA4E588">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（2）合理布局商业、居住、科教等功能区块，严格控制噪声、恶臭、油烟等污染排放较大的建设项目布局。</w:t>
                  </w:r>
                </w:p>
              </w:tc>
              <w:tc>
                <w:tcPr>
                  <w:tcW w:w="4335" w:type="dxa"/>
                  <w:noWrap w:val="0"/>
                  <w:vAlign w:val="center"/>
                </w:tcPr>
                <w:p w14:paraId="50487269">
                  <w:pPr>
                    <w:keepNext w:val="0"/>
                    <w:keepLines w:val="0"/>
                    <w:suppressLineNumbers w:val="0"/>
                    <w:spacing w:before="0" w:beforeAutospacing="0" w:after="0" w:afterAutospacing="0"/>
                    <w:ind w:left="0" w:right="0"/>
                    <w:jc w:val="both"/>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本项目将</w:t>
                  </w:r>
                  <w:r>
                    <w:rPr>
                      <w:rFonts w:hint="default" w:ascii="Times New Roman" w:hAnsi="Times New Roman" w:eastAsia="仿宋" w:cs="Times New Roman"/>
                      <w:color w:val="auto"/>
                      <w:szCs w:val="21"/>
                      <w:lang w:val="en-US" w:eastAsia="zh-CN"/>
                    </w:rPr>
                    <w:t>制定并严格落实相关风险防范措施</w:t>
                  </w:r>
                  <w:r>
                    <w:rPr>
                      <w:rFonts w:hint="default" w:ascii="Times New Roman" w:hAnsi="Times New Roman" w:eastAsia="仿宋" w:cs="Times New Roman"/>
                      <w:color w:val="auto"/>
                      <w:szCs w:val="21"/>
                    </w:rPr>
                    <w:t>，并与园区应急体系衔接，防止发生环境污染事故</w:t>
                  </w:r>
                </w:p>
              </w:tc>
              <w:tc>
                <w:tcPr>
                  <w:tcW w:w="1583" w:type="dxa"/>
                  <w:noWrap w:val="0"/>
                  <w:vAlign w:val="center"/>
                </w:tcPr>
                <w:p w14:paraId="2A954E4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w:t>
                  </w:r>
                </w:p>
              </w:tc>
            </w:tr>
            <w:tr w14:paraId="30145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2" w:type="dxa"/>
                  <w:vMerge w:val="continue"/>
                  <w:noWrap w:val="0"/>
                  <w:vAlign w:val="center"/>
                </w:tcPr>
                <w:p w14:paraId="70D3D9C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szCs w:val="21"/>
                    </w:rPr>
                  </w:pPr>
                </w:p>
              </w:tc>
              <w:tc>
                <w:tcPr>
                  <w:tcW w:w="779" w:type="dxa"/>
                  <w:noWrap w:val="0"/>
                  <w:vAlign w:val="center"/>
                </w:tcPr>
                <w:p w14:paraId="0A9142B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资源开发效率要求</w:t>
                  </w:r>
                </w:p>
              </w:tc>
              <w:tc>
                <w:tcPr>
                  <w:tcW w:w="5640" w:type="dxa"/>
                  <w:noWrap w:val="0"/>
                  <w:vAlign w:val="center"/>
                </w:tcPr>
                <w:p w14:paraId="146607C4">
                  <w:pPr>
                    <w:keepNext w:val="0"/>
                    <w:keepLines w:val="0"/>
                    <w:numPr>
                      <w:ilvl w:val="0"/>
                      <w:numId w:val="4"/>
                    </w:numPr>
                    <w:suppressLineNumbers w:val="0"/>
                    <w:spacing w:before="0" w:beforeAutospacing="0" w:after="0" w:afterAutospacing="0"/>
                    <w:ind w:left="0" w:right="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优化能源结构，加强能源清洁利用。</w:t>
                  </w:r>
                </w:p>
                <w:p w14:paraId="3BAB5ADB">
                  <w:pPr>
                    <w:keepNext w:val="0"/>
                    <w:keepLines w:val="0"/>
                    <w:numPr>
                      <w:ilvl w:val="0"/>
                      <w:numId w:val="4"/>
                    </w:numPr>
                    <w:suppressLineNumbers w:val="0"/>
                    <w:spacing w:before="0" w:beforeAutospacing="0" w:after="0" w:afterAutospacing="0"/>
                    <w:ind w:left="0" w:leftChars="0" w:right="0" w:firstLine="0" w:firstLineChars="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万元GDP能耗、万元GDP用水量等指标达到市定目标。</w:t>
                  </w:r>
                </w:p>
                <w:p w14:paraId="1DFB1B10">
                  <w:pPr>
                    <w:keepNext w:val="0"/>
                    <w:keepLines w:val="0"/>
                    <w:numPr>
                      <w:ilvl w:val="0"/>
                      <w:numId w:val="4"/>
                    </w:numPr>
                    <w:suppressLineNumbers w:val="0"/>
                    <w:spacing w:before="0" w:beforeAutospacing="0" w:after="0" w:afterAutospacing="0"/>
                    <w:ind w:left="0" w:leftChars="0" w:right="0" w:firstLine="0" w:firstLineChars="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提高土地利用效率、节约集约利用土地资源。</w:t>
                  </w:r>
                </w:p>
                <w:p w14:paraId="4B962BD3">
                  <w:pPr>
                    <w:keepNext w:val="0"/>
                    <w:keepLines w:val="0"/>
                    <w:numPr>
                      <w:ilvl w:val="0"/>
                      <w:numId w:val="0"/>
                    </w:numPr>
                    <w:suppressLineNumbers w:val="0"/>
                    <w:spacing w:before="0" w:beforeAutospacing="0" w:after="0" w:afterAutospacing="0"/>
                    <w:ind w:left="0" w:leftChars="0" w:right="0" w:firstLine="0" w:firstLineChars="0"/>
                    <w:jc w:val="both"/>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（4）严格按照《高污染燃料目录》要求，落实相应的禁燃区管控要求。</w:t>
                  </w:r>
                </w:p>
              </w:tc>
              <w:tc>
                <w:tcPr>
                  <w:tcW w:w="4335" w:type="dxa"/>
                  <w:noWrap w:val="0"/>
                  <w:vAlign w:val="center"/>
                </w:tcPr>
                <w:p w14:paraId="42C9C8F3">
                  <w:pPr>
                    <w:keepNext w:val="0"/>
                    <w:keepLines w:val="0"/>
                    <w:suppressLineNumbers w:val="0"/>
                    <w:spacing w:before="0" w:beforeAutospacing="0" w:after="0" w:afterAutospacing="0"/>
                    <w:ind w:left="0" w:right="0"/>
                    <w:jc w:val="both"/>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本项目使用能源为电能，不涉及生产废水</w:t>
                  </w:r>
                  <w:r>
                    <w:rPr>
                      <w:rFonts w:hint="eastAsia" w:ascii="Times New Roman" w:hAnsi="Times New Roman" w:eastAsia="仿宋" w:cs="Times New Roman"/>
                      <w:color w:val="auto"/>
                      <w:szCs w:val="21"/>
                      <w:lang w:val="en-US" w:eastAsia="zh-CN"/>
                    </w:rPr>
                    <w:t>产生及</w:t>
                  </w:r>
                  <w:r>
                    <w:rPr>
                      <w:rFonts w:hint="default" w:ascii="Times New Roman" w:hAnsi="Times New Roman" w:eastAsia="仿宋" w:cs="Times New Roman"/>
                      <w:color w:val="auto"/>
                      <w:szCs w:val="21"/>
                    </w:rPr>
                    <w:t>排放，不涉及燃料的销售</w:t>
                  </w:r>
                </w:p>
              </w:tc>
              <w:tc>
                <w:tcPr>
                  <w:tcW w:w="1583" w:type="dxa"/>
                  <w:noWrap w:val="0"/>
                  <w:vAlign w:val="center"/>
                </w:tcPr>
                <w:p w14:paraId="46021209">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是</w:t>
                  </w:r>
                </w:p>
              </w:tc>
            </w:tr>
          </w:tbl>
          <w:p w14:paraId="3574665A">
            <w:pPr>
              <w:pStyle w:val="13"/>
              <w:keepNext w:val="0"/>
              <w:keepLines w:val="0"/>
              <w:widowControl w:val="0"/>
              <w:numPr>
                <w:ilvl w:val="0"/>
                <w:numId w:val="0"/>
              </w:numPr>
              <w:suppressLineNumbers w:val="0"/>
              <w:spacing w:before="0" w:beforeAutospacing="0" w:after="0" w:afterAutospacing="0" w:line="360" w:lineRule="auto"/>
              <w:ind w:left="0" w:right="0" w:firstLine="422" w:firstLineChars="200"/>
              <w:jc w:val="both"/>
              <w:rPr>
                <w:rFonts w:hint="default" w:ascii="Times New Roman" w:hAnsi="Times New Roman" w:eastAsia="黑体" w:cs="Times New Roman"/>
                <w:color w:val="auto"/>
                <w:sz w:val="30"/>
                <w:vertAlign w:val="baseline"/>
              </w:rPr>
            </w:pPr>
            <w:r>
              <w:rPr>
                <w:rFonts w:hint="eastAsia" w:eastAsia="宋体" w:cs="Times New Roman"/>
                <w:b/>
                <w:bCs/>
                <w:color w:val="auto"/>
                <w:lang w:val="en-US" w:eastAsia="zh-CN"/>
              </w:rPr>
              <w:t>由上表可知</w:t>
            </w:r>
            <w:r>
              <w:rPr>
                <w:rFonts w:hint="default" w:ascii="Times New Roman" w:hAnsi="Times New Roman" w:eastAsia="宋体" w:cs="Times New Roman"/>
                <w:b/>
                <w:bCs/>
                <w:color w:val="auto"/>
                <w:lang w:eastAsia="zh-CN"/>
              </w:rPr>
              <w:t>，本项目建设满足</w:t>
            </w:r>
            <w:r>
              <w:rPr>
                <w:rFonts w:hint="eastAsia" w:ascii="Times New Roman" w:hAnsi="Times New Roman" w:eastAsia="宋体" w:cs="Times New Roman"/>
                <w:b/>
                <w:bCs/>
                <w:color w:val="auto"/>
                <w:lang w:eastAsia="zh-CN"/>
              </w:rPr>
              <w:t>“</w:t>
            </w:r>
            <w:r>
              <w:rPr>
                <w:rFonts w:hint="default" w:ascii="Times New Roman" w:hAnsi="Times New Roman" w:eastAsia="宋体" w:cs="Times New Roman"/>
                <w:b/>
                <w:bCs/>
                <w:color w:val="auto"/>
                <w:lang w:eastAsia="zh-CN"/>
              </w:rPr>
              <w:t>三线一单</w:t>
            </w:r>
            <w:r>
              <w:rPr>
                <w:rFonts w:hint="eastAsia" w:ascii="Times New Roman" w:hAnsi="Times New Roman" w:eastAsia="宋体" w:cs="Times New Roman"/>
                <w:b/>
                <w:bCs/>
                <w:color w:val="auto"/>
                <w:lang w:eastAsia="zh-CN"/>
              </w:rPr>
              <w:t>”</w:t>
            </w:r>
            <w:r>
              <w:rPr>
                <w:rFonts w:hint="default" w:ascii="Times New Roman" w:hAnsi="Times New Roman" w:eastAsia="宋体" w:cs="Times New Roman"/>
                <w:b/>
                <w:bCs/>
                <w:color w:val="auto"/>
                <w:lang w:eastAsia="zh-CN"/>
              </w:rPr>
              <w:t>管控要求。</w:t>
            </w:r>
          </w:p>
        </w:tc>
      </w:tr>
    </w:tbl>
    <w:p w14:paraId="31F92712">
      <w:pPr>
        <w:pStyle w:val="13"/>
        <w:widowControl w:val="0"/>
        <w:numPr>
          <w:ilvl w:val="0"/>
          <w:numId w:val="0"/>
        </w:numPr>
        <w:jc w:val="both"/>
        <w:rPr>
          <w:rFonts w:hint="default" w:ascii="Times New Roman" w:hAnsi="Times New Roman" w:eastAsia="黑体" w:cs="Times New Roman"/>
          <w:color w:val="auto"/>
          <w:sz w:val="30"/>
        </w:rPr>
        <w:sectPr>
          <w:pgSz w:w="16838" w:h="11906" w:orient="landscape"/>
          <w:pgMar w:top="1088" w:right="1191" w:bottom="1400" w:left="1417"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9209"/>
      </w:tblGrid>
      <w:tr w14:paraId="5DFA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1" w:hRule="atLeast"/>
        </w:trPr>
        <w:tc>
          <w:tcPr>
            <w:tcW w:w="482" w:type="dxa"/>
            <w:noWrap w:val="0"/>
            <w:vAlign w:val="center"/>
          </w:tcPr>
          <w:p w14:paraId="50324BD5">
            <w:pPr>
              <w:pStyle w:val="13"/>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黑体" w:cs="Times New Roman"/>
                <w:color w:val="auto"/>
                <w:sz w:val="30"/>
                <w:vertAlign w:val="baseline"/>
              </w:rPr>
            </w:pPr>
            <w:r>
              <w:rPr>
                <w:rFonts w:hint="default" w:ascii="Times New Roman" w:hAnsi="Times New Roman" w:cs="Times New Roman"/>
                <w:b w:val="0"/>
                <w:bCs w:val="0"/>
                <w:color w:val="auto"/>
                <w:kern w:val="0"/>
                <w:sz w:val="21"/>
                <w:szCs w:val="21"/>
              </w:rPr>
              <w:t>其他符合性分析</w:t>
            </w:r>
          </w:p>
        </w:tc>
        <w:tc>
          <w:tcPr>
            <w:tcW w:w="9152" w:type="dxa"/>
            <w:noWrap w:val="0"/>
            <w:vAlign w:val="top"/>
          </w:tcPr>
          <w:p w14:paraId="350629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eastAsia="zh-CN"/>
              </w:rPr>
              <w:t>、与相关产业政策相符性分析</w:t>
            </w:r>
          </w:p>
          <w:p w14:paraId="702BA3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本项目产业政策相符性分析见表1-</w:t>
            </w:r>
            <w:r>
              <w:rPr>
                <w:rFonts w:hint="eastAsia" w:cs="Times New Roman"/>
                <w:color w:val="auto"/>
                <w:lang w:val="en-US" w:eastAsia="zh-CN"/>
              </w:rPr>
              <w:t>5</w:t>
            </w:r>
            <w:r>
              <w:rPr>
                <w:rFonts w:hint="default" w:ascii="Times New Roman" w:hAnsi="Times New Roman" w:eastAsia="宋体" w:cs="Times New Roman"/>
                <w:color w:val="auto"/>
                <w:lang w:eastAsia="zh-CN"/>
              </w:rPr>
              <w:t>。</w:t>
            </w:r>
          </w:p>
          <w:p w14:paraId="3A357D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表1-</w:t>
            </w:r>
            <w:r>
              <w:rPr>
                <w:rFonts w:hint="eastAsia" w:cs="Times New Roman"/>
                <w:b/>
                <w:color w:val="auto"/>
                <w:kern w:val="0"/>
                <w:sz w:val="21"/>
                <w:szCs w:val="21"/>
                <w:lang w:val="en-US" w:eastAsia="zh-CN"/>
              </w:rPr>
              <w:t>5</w:t>
            </w:r>
            <w:r>
              <w:rPr>
                <w:rFonts w:hint="default" w:ascii="Times New Roman" w:hAnsi="Times New Roman" w:eastAsia="宋体" w:cs="Times New Roman"/>
                <w:b/>
                <w:color w:val="auto"/>
                <w:kern w:val="0"/>
                <w:sz w:val="21"/>
                <w:szCs w:val="21"/>
              </w:rPr>
              <w:t xml:space="preserve"> </w:t>
            </w:r>
            <w:r>
              <w:rPr>
                <w:rFonts w:hint="eastAsia" w:cs="Times New Roman"/>
                <w:b/>
                <w:color w:val="auto"/>
                <w:kern w:val="0"/>
                <w:sz w:val="21"/>
                <w:szCs w:val="21"/>
                <w:lang w:val="en-US" w:eastAsia="zh-CN"/>
              </w:rPr>
              <w:t xml:space="preserve"> </w:t>
            </w:r>
            <w:r>
              <w:rPr>
                <w:rFonts w:hint="default" w:ascii="Times New Roman" w:hAnsi="Times New Roman" w:eastAsia="宋体" w:cs="Times New Roman"/>
                <w:b/>
                <w:color w:val="auto"/>
                <w:kern w:val="0"/>
                <w:sz w:val="21"/>
                <w:szCs w:val="21"/>
              </w:rPr>
              <w:t>项目与国家及地方产业政策相符性分析表</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454"/>
              <w:gridCol w:w="3513"/>
              <w:gridCol w:w="3975"/>
              <w:gridCol w:w="1020"/>
            </w:tblGrid>
            <w:tr w14:paraId="075DD1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trPr>
              <w:tc>
                <w:tcPr>
                  <w:tcW w:w="454" w:type="dxa"/>
                  <w:noWrap w:val="0"/>
                  <w:vAlign w:val="center"/>
                </w:tcPr>
                <w:p w14:paraId="5D073C0F">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序号</w:t>
                  </w:r>
                </w:p>
              </w:tc>
              <w:tc>
                <w:tcPr>
                  <w:tcW w:w="3513" w:type="dxa"/>
                  <w:noWrap w:val="0"/>
                  <w:vAlign w:val="center"/>
                </w:tcPr>
                <w:p w14:paraId="7495CEBA">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相关政策</w:t>
                  </w:r>
                </w:p>
              </w:tc>
              <w:tc>
                <w:tcPr>
                  <w:tcW w:w="3975" w:type="dxa"/>
                  <w:noWrap w:val="0"/>
                  <w:vAlign w:val="center"/>
                </w:tcPr>
                <w:p w14:paraId="44C753ED">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对照简析</w:t>
                  </w:r>
                </w:p>
              </w:tc>
              <w:tc>
                <w:tcPr>
                  <w:tcW w:w="1020" w:type="dxa"/>
                  <w:noWrap w:val="0"/>
                  <w:vAlign w:val="center"/>
                </w:tcPr>
                <w:p w14:paraId="53AEC1B8">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是否满足要求</w:t>
                  </w:r>
                </w:p>
              </w:tc>
            </w:tr>
            <w:tr w14:paraId="02FE38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trPr>
              <w:tc>
                <w:tcPr>
                  <w:tcW w:w="454" w:type="dxa"/>
                  <w:noWrap w:val="0"/>
                  <w:vAlign w:val="center"/>
                </w:tcPr>
                <w:p w14:paraId="685D1CA3">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w:t>
                  </w:r>
                </w:p>
              </w:tc>
              <w:tc>
                <w:tcPr>
                  <w:tcW w:w="3513" w:type="dxa"/>
                  <w:noWrap w:val="0"/>
                  <w:vAlign w:val="center"/>
                </w:tcPr>
                <w:p w14:paraId="32A0F2C6">
                  <w:pPr>
                    <w:keepNext w:val="0"/>
                    <w:keepLines w:val="0"/>
                    <w:suppressLineNumbers w:val="0"/>
                    <w:spacing w:before="0" w:beforeAutospacing="0" w:after="0" w:afterAutospacing="0" w:line="300" w:lineRule="exact"/>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szCs w:val="21"/>
                    </w:rPr>
                    <w:t>《产业结构调整指导目录（20</w:t>
                  </w:r>
                  <w:r>
                    <w:rPr>
                      <w:rFonts w:hint="eastAsia" w:eastAsia="仿宋" w:cs="Times New Roman"/>
                      <w:color w:val="auto"/>
                      <w:szCs w:val="21"/>
                      <w:lang w:val="en-US" w:eastAsia="zh-CN"/>
                    </w:rPr>
                    <w:t>24</w:t>
                  </w:r>
                  <w:r>
                    <w:rPr>
                      <w:rFonts w:hint="default" w:ascii="Times New Roman" w:hAnsi="Times New Roman" w:eastAsia="仿宋" w:cs="Times New Roman"/>
                      <w:color w:val="auto"/>
                      <w:szCs w:val="21"/>
                    </w:rPr>
                    <w:t>年本）》</w:t>
                  </w:r>
                </w:p>
              </w:tc>
              <w:tc>
                <w:tcPr>
                  <w:tcW w:w="3975" w:type="dxa"/>
                  <w:noWrap w:val="0"/>
                  <w:vAlign w:val="center"/>
                </w:tcPr>
                <w:p w14:paraId="1728A76D">
                  <w:pPr>
                    <w:keepNext w:val="0"/>
                    <w:keepLines w:val="0"/>
                    <w:suppressLineNumbers w:val="0"/>
                    <w:spacing w:before="0" w:beforeAutospacing="0" w:after="0" w:afterAutospacing="0" w:line="300" w:lineRule="exact"/>
                    <w:ind w:left="0" w:right="0"/>
                    <w:jc w:val="both"/>
                    <w:rPr>
                      <w:rFonts w:hint="eastAsia" w:ascii="Times New Roman" w:hAnsi="Times New Roman" w:eastAsia="仿宋" w:cs="Times New Roman"/>
                      <w:color w:val="auto"/>
                      <w:kern w:val="0"/>
                      <w:szCs w:val="21"/>
                      <w:lang w:eastAsia="zh-CN"/>
                    </w:rPr>
                  </w:pPr>
                  <w:r>
                    <w:rPr>
                      <w:rFonts w:hint="default" w:ascii="Times New Roman" w:hAnsi="Times New Roman" w:eastAsia="仿宋" w:cs="Times New Roman"/>
                      <w:bCs/>
                      <w:color w:val="auto"/>
                      <w:szCs w:val="21"/>
                    </w:rPr>
                    <w:t>经查《产业结构调整指导目录（20</w:t>
                  </w:r>
                  <w:r>
                    <w:rPr>
                      <w:rFonts w:hint="eastAsia" w:eastAsia="仿宋" w:cs="Times New Roman"/>
                      <w:bCs/>
                      <w:color w:val="auto"/>
                      <w:szCs w:val="21"/>
                      <w:lang w:val="en-US" w:eastAsia="zh-CN"/>
                    </w:rPr>
                    <w:t>24</w:t>
                  </w:r>
                  <w:r>
                    <w:rPr>
                      <w:rFonts w:hint="default" w:ascii="Times New Roman" w:hAnsi="Times New Roman" w:eastAsia="仿宋" w:cs="Times New Roman"/>
                      <w:bCs/>
                      <w:color w:val="auto"/>
                      <w:szCs w:val="21"/>
                    </w:rPr>
                    <w:t>年本）》，本项目为</w:t>
                  </w:r>
                  <w:r>
                    <w:rPr>
                      <w:rFonts w:hint="eastAsia" w:eastAsia="仿宋" w:cs="Times New Roman"/>
                      <w:bCs/>
                      <w:color w:val="auto"/>
                      <w:szCs w:val="21"/>
                      <w:lang w:eastAsia="zh-CN"/>
                    </w:rPr>
                    <w:t>“</w:t>
                  </w:r>
                  <w:r>
                    <w:rPr>
                      <w:rFonts w:hint="eastAsia" w:eastAsia="仿宋" w:cs="Times New Roman"/>
                      <w:bCs/>
                      <w:color w:val="auto"/>
                      <w:szCs w:val="21"/>
                      <w:lang w:val="en-US" w:eastAsia="zh-CN"/>
                    </w:rPr>
                    <w:t>允许类</w:t>
                  </w:r>
                  <w:r>
                    <w:rPr>
                      <w:rFonts w:hint="eastAsia" w:eastAsia="仿宋" w:cs="Times New Roman"/>
                      <w:bCs/>
                      <w:color w:val="auto"/>
                      <w:szCs w:val="21"/>
                      <w:lang w:eastAsia="zh-CN"/>
                    </w:rPr>
                    <w:t>”</w:t>
                  </w:r>
                </w:p>
              </w:tc>
              <w:tc>
                <w:tcPr>
                  <w:tcW w:w="1020" w:type="dxa"/>
                  <w:noWrap w:val="0"/>
                  <w:vAlign w:val="center"/>
                </w:tcPr>
                <w:p w14:paraId="73E1ABC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是</w:t>
                  </w:r>
                </w:p>
              </w:tc>
            </w:tr>
            <w:tr w14:paraId="3C15BC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trPr>
              <w:tc>
                <w:tcPr>
                  <w:tcW w:w="454" w:type="dxa"/>
                  <w:noWrap w:val="0"/>
                  <w:vAlign w:val="center"/>
                </w:tcPr>
                <w:p w14:paraId="16AAF21A">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w:t>
                  </w:r>
                </w:p>
              </w:tc>
              <w:tc>
                <w:tcPr>
                  <w:tcW w:w="3513" w:type="dxa"/>
                  <w:noWrap w:val="0"/>
                  <w:vAlign w:val="center"/>
                </w:tcPr>
                <w:p w14:paraId="4F83245C">
                  <w:pPr>
                    <w:keepNext w:val="0"/>
                    <w:keepLines w:val="0"/>
                    <w:widowControl/>
                    <w:suppressLineNumbers w:val="0"/>
                    <w:adjustRightInd w:val="0"/>
                    <w:snapToGrid w:val="0"/>
                    <w:spacing w:before="0" w:beforeAutospacing="0" w:after="0" w:afterAutospacing="0" w:line="340" w:lineRule="exact"/>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Cs/>
                      <w:color w:val="auto"/>
                      <w:kern w:val="0"/>
                      <w:szCs w:val="21"/>
                    </w:rPr>
                    <w:t>《市场准入负面清单（202</w:t>
                  </w:r>
                  <w:r>
                    <w:rPr>
                      <w:rFonts w:hint="eastAsia" w:eastAsia="仿宋" w:cs="Times New Roman"/>
                      <w:bCs/>
                      <w:color w:val="auto"/>
                      <w:kern w:val="0"/>
                      <w:szCs w:val="21"/>
                      <w:lang w:val="en-US" w:eastAsia="zh-CN"/>
                    </w:rPr>
                    <w:t>2</w:t>
                  </w:r>
                  <w:r>
                    <w:rPr>
                      <w:rFonts w:hint="default" w:ascii="Times New Roman" w:hAnsi="Times New Roman" w:eastAsia="仿宋" w:cs="Times New Roman"/>
                      <w:bCs/>
                      <w:color w:val="auto"/>
                      <w:kern w:val="0"/>
                      <w:szCs w:val="21"/>
                    </w:rPr>
                    <w:t>年版）》（发改体改规〔202</w:t>
                  </w:r>
                  <w:r>
                    <w:rPr>
                      <w:rFonts w:hint="eastAsia" w:eastAsia="仿宋" w:cs="Times New Roman"/>
                      <w:bCs/>
                      <w:color w:val="auto"/>
                      <w:kern w:val="0"/>
                      <w:szCs w:val="21"/>
                      <w:lang w:val="en-US" w:eastAsia="zh-CN"/>
                    </w:rPr>
                    <w:t>2</w:t>
                  </w:r>
                  <w:r>
                    <w:rPr>
                      <w:rFonts w:hint="default" w:ascii="Times New Roman" w:hAnsi="Times New Roman" w:eastAsia="仿宋" w:cs="Times New Roman"/>
                      <w:bCs/>
                      <w:color w:val="auto"/>
                      <w:kern w:val="0"/>
                      <w:szCs w:val="21"/>
                    </w:rPr>
                    <w:t>〕</w:t>
                  </w:r>
                  <w:r>
                    <w:rPr>
                      <w:rFonts w:hint="eastAsia" w:eastAsia="仿宋" w:cs="Times New Roman"/>
                      <w:bCs/>
                      <w:color w:val="auto"/>
                      <w:kern w:val="0"/>
                      <w:szCs w:val="21"/>
                      <w:lang w:val="en-US" w:eastAsia="zh-CN"/>
                    </w:rPr>
                    <w:t>397</w:t>
                  </w:r>
                  <w:r>
                    <w:rPr>
                      <w:rFonts w:hint="default" w:ascii="Times New Roman" w:hAnsi="Times New Roman" w:eastAsia="仿宋" w:cs="Times New Roman"/>
                      <w:bCs/>
                      <w:color w:val="auto"/>
                      <w:kern w:val="0"/>
                      <w:szCs w:val="21"/>
                    </w:rPr>
                    <w:t>号）</w:t>
                  </w:r>
                </w:p>
              </w:tc>
              <w:tc>
                <w:tcPr>
                  <w:tcW w:w="3975" w:type="dxa"/>
                  <w:noWrap w:val="0"/>
                  <w:vAlign w:val="center"/>
                </w:tcPr>
                <w:p w14:paraId="4F13A995">
                  <w:pPr>
                    <w:keepNext w:val="0"/>
                    <w:keepLines w:val="0"/>
                    <w:suppressLineNumbers w:val="0"/>
                    <w:adjustRightInd w:val="0"/>
                    <w:snapToGrid w:val="0"/>
                    <w:spacing w:before="0" w:beforeAutospacing="0" w:after="0" w:afterAutospacing="0" w:line="340" w:lineRule="exact"/>
                    <w:ind w:left="0" w:right="0"/>
                    <w:jc w:val="both"/>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Cs/>
                      <w:color w:val="auto"/>
                      <w:kern w:val="0"/>
                      <w:szCs w:val="21"/>
                    </w:rPr>
                    <w:t>经查《市场准入负面清单（202</w:t>
                  </w:r>
                  <w:r>
                    <w:rPr>
                      <w:rFonts w:hint="eastAsia" w:eastAsia="仿宋" w:cs="Times New Roman"/>
                      <w:bCs/>
                      <w:color w:val="auto"/>
                      <w:kern w:val="0"/>
                      <w:szCs w:val="21"/>
                      <w:lang w:val="en-US" w:eastAsia="zh-CN"/>
                    </w:rPr>
                    <w:t>2</w:t>
                  </w:r>
                  <w:r>
                    <w:rPr>
                      <w:rFonts w:hint="default" w:ascii="Times New Roman" w:hAnsi="Times New Roman" w:eastAsia="仿宋" w:cs="Times New Roman"/>
                      <w:bCs/>
                      <w:color w:val="auto"/>
                      <w:kern w:val="0"/>
                      <w:szCs w:val="21"/>
                    </w:rPr>
                    <w:t>年版）》，本项目不属于其中禁止事项之列</w:t>
                  </w:r>
                </w:p>
              </w:tc>
              <w:tc>
                <w:tcPr>
                  <w:tcW w:w="1020" w:type="dxa"/>
                  <w:noWrap w:val="0"/>
                  <w:vAlign w:val="center"/>
                </w:tcPr>
                <w:p w14:paraId="3F24E206">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是</w:t>
                  </w:r>
                </w:p>
              </w:tc>
            </w:tr>
            <w:tr w14:paraId="34999BD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trPr>
              <w:tc>
                <w:tcPr>
                  <w:tcW w:w="454" w:type="dxa"/>
                  <w:noWrap w:val="0"/>
                  <w:vAlign w:val="center"/>
                </w:tcPr>
                <w:p w14:paraId="61581E2A">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3</w:t>
                  </w:r>
                </w:p>
              </w:tc>
              <w:tc>
                <w:tcPr>
                  <w:tcW w:w="3513" w:type="dxa"/>
                  <w:noWrap w:val="0"/>
                  <w:vAlign w:val="center"/>
                </w:tcPr>
                <w:p w14:paraId="1E7139EB">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《自然资源要素支撑产业高质量发展指导目录（2024年本）》</w:t>
                  </w:r>
                  <w:r>
                    <w:rPr>
                      <w:rFonts w:hint="eastAsia" w:eastAsia="仿宋" w:cs="Times New Roman"/>
                      <w:color w:val="auto"/>
                      <w:kern w:val="0"/>
                      <w:sz w:val="21"/>
                      <w:szCs w:val="21"/>
                      <w:lang w:val="en-US" w:eastAsia="zh-CN" w:bidi="ar-SA"/>
                    </w:rPr>
                    <w:t>（自然资发〔2024〕273号）</w:t>
                  </w:r>
                </w:p>
              </w:tc>
              <w:tc>
                <w:tcPr>
                  <w:tcW w:w="3975" w:type="dxa"/>
                  <w:noWrap w:val="0"/>
                  <w:vAlign w:val="center"/>
                </w:tcPr>
                <w:p w14:paraId="727BB4B7">
                  <w:pPr>
                    <w:keepNext w:val="0"/>
                    <w:keepLines w:val="0"/>
                    <w:suppressLineNumbers w:val="0"/>
                    <w:autoSpaceDE w:val="0"/>
                    <w:autoSpaceDN w:val="0"/>
                    <w:adjustRightInd w:val="0"/>
                    <w:spacing w:before="0" w:beforeAutospacing="0" w:after="0" w:afterAutospacing="0" w:line="360" w:lineRule="exact"/>
                    <w:ind w:left="0" w:right="0"/>
                    <w:jc w:val="both"/>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Cs/>
                      <w:color w:val="auto"/>
                      <w:kern w:val="0"/>
                      <w:szCs w:val="21"/>
                    </w:rPr>
                    <w:t>经查，本项目不属于目录中限制用地或禁止用地项目</w:t>
                  </w:r>
                </w:p>
              </w:tc>
              <w:tc>
                <w:tcPr>
                  <w:tcW w:w="1020" w:type="dxa"/>
                  <w:noWrap w:val="0"/>
                  <w:vAlign w:val="center"/>
                </w:tcPr>
                <w:p w14:paraId="2316FB70">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是</w:t>
                  </w:r>
                </w:p>
              </w:tc>
            </w:tr>
            <w:tr w14:paraId="32A8C5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trPr>
              <w:tc>
                <w:tcPr>
                  <w:tcW w:w="454" w:type="dxa"/>
                  <w:noWrap w:val="0"/>
                  <w:vAlign w:val="center"/>
                </w:tcPr>
                <w:p w14:paraId="7EF5E42C">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4</w:t>
                  </w:r>
                </w:p>
              </w:tc>
              <w:tc>
                <w:tcPr>
                  <w:tcW w:w="3513" w:type="dxa"/>
                  <w:noWrap w:val="0"/>
                  <w:vAlign w:val="center"/>
                </w:tcPr>
                <w:p w14:paraId="2BCCCF1C">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eastAsia="zh-CN"/>
                    </w:rPr>
                    <w:t>《&lt;长江经济带发展负面清单指南（试行，2022版）&gt;江苏省实施细则》（苏长江办〔2022〕55号）</w:t>
                  </w:r>
                </w:p>
              </w:tc>
              <w:tc>
                <w:tcPr>
                  <w:tcW w:w="3975" w:type="dxa"/>
                  <w:noWrap w:val="0"/>
                  <w:vAlign w:val="center"/>
                </w:tcPr>
                <w:p w14:paraId="7AA984B1">
                  <w:pPr>
                    <w:keepNext w:val="0"/>
                    <w:keepLines w:val="0"/>
                    <w:suppressLineNumbers w:val="0"/>
                    <w:autoSpaceDE w:val="0"/>
                    <w:autoSpaceDN w:val="0"/>
                    <w:adjustRightInd w:val="0"/>
                    <w:spacing w:before="0" w:beforeAutospacing="0" w:after="0" w:afterAutospacing="0" w:line="360" w:lineRule="exact"/>
                    <w:ind w:left="0" w:right="0"/>
                    <w:jc w:val="both"/>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经查，</w:t>
                  </w:r>
                  <w:r>
                    <w:rPr>
                      <w:rFonts w:hint="default" w:ascii="Times New Roman" w:hAnsi="Times New Roman" w:eastAsia="仿宋" w:cs="Times New Roman"/>
                      <w:color w:val="auto"/>
                      <w:kern w:val="0"/>
                      <w:szCs w:val="21"/>
                    </w:rPr>
                    <w:t>本项目</w:t>
                  </w:r>
                  <w:r>
                    <w:rPr>
                      <w:rFonts w:hint="eastAsia" w:ascii="Times New Roman" w:hAnsi="Times New Roman" w:eastAsia="仿宋" w:cs="Times New Roman"/>
                      <w:color w:val="auto"/>
                      <w:kern w:val="0"/>
                      <w:szCs w:val="21"/>
                      <w:lang w:val="en-US" w:eastAsia="zh-CN"/>
                    </w:rPr>
                    <w:t>从事</w:t>
                  </w:r>
                  <w:r>
                    <w:rPr>
                      <w:rFonts w:hint="eastAsia" w:eastAsia="仿宋" w:cs="Times New Roman"/>
                      <w:color w:val="auto"/>
                      <w:kern w:val="0"/>
                      <w:szCs w:val="21"/>
                      <w:lang w:val="en-US" w:eastAsia="zh-CN"/>
                    </w:rPr>
                    <w:t>橡胶辊轮制造</w:t>
                  </w:r>
                  <w:r>
                    <w:rPr>
                      <w:rFonts w:hint="default" w:ascii="Times New Roman" w:hAnsi="Times New Roman" w:eastAsia="仿宋" w:cs="Times New Roman"/>
                      <w:color w:val="auto"/>
                      <w:kern w:val="0"/>
                      <w:szCs w:val="21"/>
                    </w:rPr>
                    <w:t>，不在生态红线范围内，不在饮用水源保护区，</w:t>
                  </w:r>
                  <w:r>
                    <w:rPr>
                      <w:rFonts w:hint="eastAsia" w:ascii="Times New Roman" w:hAnsi="Times New Roman" w:eastAsia="仿宋" w:cs="Times New Roman"/>
                      <w:color w:val="auto"/>
                      <w:kern w:val="0"/>
                      <w:szCs w:val="21"/>
                      <w:lang w:val="en-US" w:eastAsia="zh-CN"/>
                    </w:rPr>
                    <w:t>不属于上述法律法规和相关政策明令禁止的落后产能项目，不属于严重过剩产能行业项目，不在上述禁止范围内</w:t>
                  </w:r>
                </w:p>
              </w:tc>
              <w:tc>
                <w:tcPr>
                  <w:tcW w:w="1020" w:type="dxa"/>
                  <w:noWrap w:val="0"/>
                  <w:vAlign w:val="center"/>
                </w:tcPr>
                <w:p w14:paraId="3261C76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是</w:t>
                  </w:r>
                </w:p>
              </w:tc>
            </w:tr>
            <w:tr w14:paraId="3E33D9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trPr>
              <w:tc>
                <w:tcPr>
                  <w:tcW w:w="454" w:type="dxa"/>
                  <w:noWrap w:val="0"/>
                  <w:vAlign w:val="center"/>
                </w:tcPr>
                <w:p w14:paraId="3A2D4FB3">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5</w:t>
                  </w:r>
                </w:p>
              </w:tc>
              <w:tc>
                <w:tcPr>
                  <w:tcW w:w="3513" w:type="dxa"/>
                  <w:noWrap w:val="0"/>
                  <w:vAlign w:val="center"/>
                </w:tcPr>
                <w:p w14:paraId="16313E91">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bCs/>
                      <w:color w:val="auto"/>
                      <w:szCs w:val="21"/>
                    </w:rPr>
                    <w:t>《</w:t>
                  </w:r>
                  <w:r>
                    <w:rPr>
                      <w:rFonts w:hint="eastAsia" w:eastAsia="仿宋" w:cs="Times New Roman"/>
                      <w:bCs/>
                      <w:color w:val="auto"/>
                      <w:szCs w:val="21"/>
                      <w:lang w:val="en-US" w:eastAsia="zh-CN"/>
                    </w:rPr>
                    <w:t>环境</w:t>
                  </w:r>
                  <w:r>
                    <w:rPr>
                      <w:rFonts w:hint="eastAsia" w:eastAsia="仿宋" w:cs="Times New Roman"/>
                      <w:bCs/>
                      <w:color w:val="auto"/>
                      <w:szCs w:val="21"/>
                    </w:rPr>
                    <w:t>保护综合名录（2021年版）》</w:t>
                  </w:r>
                </w:p>
              </w:tc>
              <w:tc>
                <w:tcPr>
                  <w:tcW w:w="3975" w:type="dxa"/>
                  <w:noWrap w:val="0"/>
                  <w:vAlign w:val="center"/>
                </w:tcPr>
                <w:p w14:paraId="231CDF3E">
                  <w:pPr>
                    <w:keepNext w:val="0"/>
                    <w:keepLines w:val="0"/>
                    <w:suppressLineNumbers w:val="0"/>
                    <w:autoSpaceDE w:val="0"/>
                    <w:autoSpaceDN w:val="0"/>
                    <w:adjustRightInd w:val="0"/>
                    <w:spacing w:before="0" w:beforeAutospacing="0" w:after="0" w:afterAutospacing="0" w:line="360" w:lineRule="exact"/>
                    <w:ind w:left="0" w:right="0"/>
                    <w:jc w:val="both"/>
                    <w:rPr>
                      <w:rFonts w:hint="default" w:ascii="Times New Roman" w:hAnsi="Times New Roman" w:eastAsia="仿宋" w:cs="Times New Roman"/>
                      <w:bCs/>
                      <w:color w:val="auto"/>
                      <w:kern w:val="0"/>
                      <w:szCs w:val="21"/>
                      <w:lang w:val="en-US" w:eastAsia="zh-CN"/>
                    </w:rPr>
                  </w:pPr>
                  <w:r>
                    <w:rPr>
                      <w:rFonts w:hint="eastAsia" w:ascii="Times New Roman" w:hAnsi="Times New Roman" w:eastAsia="仿宋" w:cs="Times New Roman"/>
                      <w:bCs/>
                      <w:color w:val="auto"/>
                      <w:kern w:val="0"/>
                      <w:szCs w:val="21"/>
                      <w:lang w:val="en-US" w:eastAsia="zh-CN"/>
                    </w:rPr>
                    <w:t>经查，本项目</w:t>
                  </w:r>
                  <w:r>
                    <w:rPr>
                      <w:rFonts w:hint="eastAsia" w:ascii="Times New Roman" w:hAnsi="Times New Roman" w:eastAsia="仿宋" w:cs="Times New Roman"/>
                      <w:bCs/>
                      <w:color w:val="auto"/>
                      <w:kern w:val="0"/>
                      <w:szCs w:val="21"/>
                    </w:rPr>
                    <w:t>不属于“高污染”和“高污染、高环境风险”类别项目</w:t>
                  </w:r>
                </w:p>
              </w:tc>
              <w:tc>
                <w:tcPr>
                  <w:tcW w:w="1020" w:type="dxa"/>
                  <w:noWrap w:val="0"/>
                  <w:vAlign w:val="center"/>
                </w:tcPr>
                <w:p w14:paraId="51168E5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是</w:t>
                  </w:r>
                </w:p>
              </w:tc>
            </w:tr>
            <w:tr w14:paraId="31A431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trPr>
              <w:tc>
                <w:tcPr>
                  <w:tcW w:w="454" w:type="dxa"/>
                  <w:noWrap w:val="0"/>
                  <w:vAlign w:val="center"/>
                </w:tcPr>
                <w:p w14:paraId="694B4043">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6</w:t>
                  </w:r>
                </w:p>
              </w:tc>
              <w:tc>
                <w:tcPr>
                  <w:tcW w:w="3513" w:type="dxa"/>
                  <w:noWrap w:val="0"/>
                  <w:vAlign w:val="center"/>
                </w:tcPr>
                <w:p w14:paraId="4CBA1012">
                  <w:pPr>
                    <w:keepNext w:val="0"/>
                    <w:keepLines w:val="0"/>
                    <w:suppressLineNumbers w:val="0"/>
                    <w:autoSpaceDE w:val="0"/>
                    <w:autoSpaceDN w:val="0"/>
                    <w:adjustRightInd w:val="0"/>
                    <w:spacing w:before="0" w:beforeAutospacing="0" w:after="0" w:afterAutospacing="0" w:line="360" w:lineRule="exact"/>
                    <w:ind w:left="0" w:right="0"/>
                    <w:jc w:val="center"/>
                    <w:rPr>
                      <w:rFonts w:hint="eastAsia" w:eastAsia="仿宋" w:cs="Times New Roman"/>
                      <w:bCs/>
                      <w:color w:val="auto"/>
                      <w:szCs w:val="21"/>
                    </w:rPr>
                  </w:pPr>
                  <w:r>
                    <w:rPr>
                      <w:rFonts w:hint="eastAsia" w:eastAsia="仿宋" w:cs="Times New Roman"/>
                      <w:bCs/>
                      <w:color w:val="auto"/>
                      <w:szCs w:val="21"/>
                      <w:lang w:eastAsia="zh-CN"/>
                    </w:rPr>
                    <w:t>《</w:t>
                  </w:r>
                  <w:r>
                    <w:rPr>
                      <w:rFonts w:hint="eastAsia" w:eastAsia="仿宋" w:cs="Times New Roman"/>
                      <w:bCs/>
                      <w:color w:val="auto"/>
                      <w:szCs w:val="21"/>
                    </w:rPr>
                    <w:t>关于加强高耗能、高排放建设项目生态环境源头防控的指导意见</w:t>
                  </w:r>
                  <w:r>
                    <w:rPr>
                      <w:rFonts w:hint="eastAsia" w:eastAsia="仿宋" w:cs="Times New Roman"/>
                      <w:bCs/>
                      <w:color w:val="auto"/>
                      <w:szCs w:val="21"/>
                      <w:lang w:eastAsia="zh-CN"/>
                    </w:rPr>
                    <w:t>》</w:t>
                  </w:r>
                  <w:r>
                    <w:rPr>
                      <w:rFonts w:hint="eastAsia" w:eastAsia="仿宋" w:cs="Times New Roman"/>
                      <w:bCs/>
                      <w:color w:val="auto"/>
                      <w:szCs w:val="21"/>
                    </w:rPr>
                    <w:t>（环环评</w:t>
                  </w:r>
                  <w:r>
                    <w:rPr>
                      <w:rFonts w:hint="eastAsia" w:eastAsia="仿宋" w:cs="Times New Roman"/>
                      <w:color w:val="auto"/>
                      <w:kern w:val="0"/>
                      <w:szCs w:val="21"/>
                      <w:lang w:eastAsia="zh-CN"/>
                    </w:rPr>
                    <w:t>〔</w:t>
                  </w:r>
                  <w:r>
                    <w:rPr>
                      <w:rFonts w:hint="eastAsia" w:eastAsia="仿宋" w:cs="Times New Roman"/>
                      <w:bCs/>
                      <w:color w:val="auto"/>
                      <w:szCs w:val="21"/>
                    </w:rPr>
                    <w:t>2021</w:t>
                  </w:r>
                  <w:r>
                    <w:rPr>
                      <w:rFonts w:hint="eastAsia" w:eastAsia="仿宋" w:cs="Times New Roman"/>
                      <w:color w:val="auto"/>
                      <w:kern w:val="0"/>
                      <w:szCs w:val="21"/>
                      <w:lang w:eastAsia="zh-CN"/>
                    </w:rPr>
                    <w:t>〕</w:t>
                  </w:r>
                  <w:r>
                    <w:rPr>
                      <w:rFonts w:hint="eastAsia" w:eastAsia="仿宋" w:cs="Times New Roman"/>
                      <w:bCs/>
                      <w:color w:val="auto"/>
                      <w:szCs w:val="21"/>
                    </w:rPr>
                    <w:t>45号）</w:t>
                  </w:r>
                </w:p>
              </w:tc>
              <w:tc>
                <w:tcPr>
                  <w:tcW w:w="3975" w:type="dxa"/>
                  <w:noWrap w:val="0"/>
                  <w:vAlign w:val="center"/>
                </w:tcPr>
                <w:p w14:paraId="6AF5C9E3">
                  <w:pPr>
                    <w:keepNext w:val="0"/>
                    <w:keepLines w:val="0"/>
                    <w:suppressLineNumbers w:val="0"/>
                    <w:autoSpaceDE w:val="0"/>
                    <w:autoSpaceDN w:val="0"/>
                    <w:adjustRightInd w:val="0"/>
                    <w:spacing w:before="0" w:beforeAutospacing="0" w:after="0" w:afterAutospacing="0" w:line="360" w:lineRule="exact"/>
                    <w:ind w:left="0" w:right="0"/>
                    <w:jc w:val="both"/>
                    <w:rPr>
                      <w:rFonts w:hint="default" w:ascii="Times New Roman" w:hAnsi="Times New Roman" w:eastAsia="仿宋" w:cs="Times New Roman"/>
                      <w:bCs/>
                      <w:color w:val="auto"/>
                      <w:kern w:val="0"/>
                      <w:szCs w:val="21"/>
                      <w:lang w:val="en-US" w:eastAsia="zh-CN"/>
                    </w:rPr>
                  </w:pPr>
                  <w:r>
                    <w:rPr>
                      <w:rFonts w:hint="eastAsia" w:ascii="Times New Roman" w:hAnsi="Times New Roman" w:eastAsia="仿宋" w:cs="Times New Roman"/>
                      <w:bCs/>
                      <w:color w:val="auto"/>
                      <w:kern w:val="0"/>
                      <w:szCs w:val="21"/>
                      <w:lang w:val="en-US" w:eastAsia="zh-CN"/>
                    </w:rPr>
                    <w:t>经查，“两高”项目暂按煤电、石化、化工、钢铁、有色金属冶炼、建材等六个行业类别统计，本项目不属于“两高”项目</w:t>
                  </w:r>
                </w:p>
              </w:tc>
              <w:tc>
                <w:tcPr>
                  <w:tcW w:w="1020" w:type="dxa"/>
                  <w:noWrap w:val="0"/>
                  <w:vAlign w:val="center"/>
                </w:tcPr>
                <w:p w14:paraId="5F9245E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是</w:t>
                  </w:r>
                </w:p>
              </w:tc>
            </w:tr>
            <w:tr w14:paraId="3D7D92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trPr>
              <w:tc>
                <w:tcPr>
                  <w:tcW w:w="454" w:type="dxa"/>
                  <w:noWrap w:val="0"/>
                  <w:vAlign w:val="center"/>
                </w:tcPr>
                <w:p w14:paraId="4AEF987F">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7</w:t>
                  </w:r>
                </w:p>
              </w:tc>
              <w:tc>
                <w:tcPr>
                  <w:tcW w:w="3513" w:type="dxa"/>
                  <w:noWrap w:val="0"/>
                  <w:vAlign w:val="center"/>
                </w:tcPr>
                <w:p w14:paraId="73533F8E">
                  <w:pPr>
                    <w:keepNext w:val="0"/>
                    <w:keepLines w:val="0"/>
                    <w:suppressLineNumbers w:val="0"/>
                    <w:autoSpaceDE w:val="0"/>
                    <w:autoSpaceDN w:val="0"/>
                    <w:adjustRightInd w:val="0"/>
                    <w:spacing w:before="0" w:beforeAutospacing="0" w:after="0" w:afterAutospacing="0" w:line="360" w:lineRule="exact"/>
                    <w:ind w:left="0" w:right="0"/>
                    <w:jc w:val="center"/>
                    <w:rPr>
                      <w:rFonts w:hint="eastAsia" w:eastAsia="仿宋" w:cs="Times New Roman"/>
                      <w:bCs/>
                      <w:color w:val="auto"/>
                      <w:szCs w:val="21"/>
                      <w:lang w:eastAsia="zh-CN"/>
                    </w:rPr>
                  </w:pPr>
                  <w:r>
                    <w:rPr>
                      <w:rFonts w:hint="eastAsia" w:eastAsia="仿宋" w:cs="Times New Roman"/>
                      <w:bCs/>
                      <w:color w:val="auto"/>
                      <w:szCs w:val="21"/>
                      <w:lang w:eastAsia="zh-CN"/>
                    </w:rPr>
                    <w:t>关于印发《江苏省“两高”项目管理目录（2024年版）》的通知（苏发改规发</w:t>
                  </w:r>
                  <w:r>
                    <w:rPr>
                      <w:rFonts w:hint="eastAsia" w:eastAsia="仿宋" w:cs="Times New Roman"/>
                      <w:color w:val="auto"/>
                      <w:kern w:val="0"/>
                      <w:szCs w:val="21"/>
                      <w:lang w:eastAsia="zh-CN"/>
                    </w:rPr>
                    <w:t>〔</w:t>
                  </w:r>
                  <w:r>
                    <w:rPr>
                      <w:rFonts w:hint="eastAsia" w:eastAsia="仿宋" w:cs="Times New Roman"/>
                      <w:bCs/>
                      <w:color w:val="auto"/>
                      <w:szCs w:val="21"/>
                      <w:lang w:eastAsia="zh-CN"/>
                    </w:rPr>
                    <w:t>2024</w:t>
                  </w:r>
                  <w:r>
                    <w:rPr>
                      <w:rFonts w:hint="eastAsia" w:eastAsia="仿宋" w:cs="Times New Roman"/>
                      <w:color w:val="auto"/>
                      <w:kern w:val="0"/>
                      <w:szCs w:val="21"/>
                      <w:lang w:eastAsia="zh-CN"/>
                    </w:rPr>
                    <w:t>〕</w:t>
                  </w:r>
                  <w:r>
                    <w:rPr>
                      <w:rFonts w:hint="eastAsia" w:eastAsia="仿宋" w:cs="Times New Roman"/>
                      <w:bCs/>
                      <w:color w:val="auto"/>
                      <w:szCs w:val="21"/>
                      <w:lang w:eastAsia="zh-CN"/>
                    </w:rPr>
                    <w:t>4号）</w:t>
                  </w:r>
                </w:p>
              </w:tc>
              <w:tc>
                <w:tcPr>
                  <w:tcW w:w="3975" w:type="dxa"/>
                  <w:noWrap w:val="0"/>
                  <w:vAlign w:val="center"/>
                </w:tcPr>
                <w:p w14:paraId="54751ACA">
                  <w:pPr>
                    <w:keepNext w:val="0"/>
                    <w:keepLines w:val="0"/>
                    <w:suppressLineNumbers w:val="0"/>
                    <w:autoSpaceDE w:val="0"/>
                    <w:autoSpaceDN w:val="0"/>
                    <w:adjustRightInd w:val="0"/>
                    <w:spacing w:before="0" w:beforeAutospacing="0" w:after="0" w:afterAutospacing="0" w:line="360" w:lineRule="exact"/>
                    <w:ind w:left="0" w:right="0"/>
                    <w:jc w:val="both"/>
                    <w:rPr>
                      <w:rFonts w:hint="default" w:ascii="Times New Roman" w:hAnsi="Times New Roman" w:eastAsia="仿宋" w:cs="Times New Roman"/>
                      <w:bCs/>
                      <w:color w:val="auto"/>
                      <w:kern w:val="0"/>
                      <w:szCs w:val="21"/>
                      <w:lang w:val="en-US" w:eastAsia="zh-CN"/>
                    </w:rPr>
                  </w:pPr>
                  <w:r>
                    <w:rPr>
                      <w:rFonts w:hint="eastAsia" w:ascii="Times New Roman" w:hAnsi="Times New Roman" w:eastAsia="仿宋" w:cs="Times New Roman"/>
                      <w:bCs/>
                      <w:color w:val="auto"/>
                      <w:kern w:val="0"/>
                      <w:szCs w:val="21"/>
                      <w:lang w:val="en-US" w:eastAsia="zh-CN"/>
                    </w:rPr>
                    <w:t>经查，本项目不属于“两高”行业</w:t>
                  </w:r>
                </w:p>
              </w:tc>
              <w:tc>
                <w:tcPr>
                  <w:tcW w:w="1020" w:type="dxa"/>
                  <w:noWrap w:val="0"/>
                  <w:vAlign w:val="center"/>
                </w:tcPr>
                <w:p w14:paraId="028C171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是</w:t>
                  </w:r>
                </w:p>
              </w:tc>
            </w:tr>
            <w:tr w14:paraId="1F49C5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trPr>
              <w:tc>
                <w:tcPr>
                  <w:tcW w:w="454" w:type="dxa"/>
                  <w:noWrap w:val="0"/>
                  <w:vAlign w:val="center"/>
                </w:tcPr>
                <w:p w14:paraId="269531D3">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8</w:t>
                  </w:r>
                </w:p>
              </w:tc>
              <w:tc>
                <w:tcPr>
                  <w:tcW w:w="3513" w:type="dxa"/>
                  <w:noWrap w:val="0"/>
                  <w:vAlign w:val="center"/>
                </w:tcPr>
                <w:p w14:paraId="32C5E6E1">
                  <w:pPr>
                    <w:keepNext w:val="0"/>
                    <w:keepLines w:val="0"/>
                    <w:suppressLineNumbers w:val="0"/>
                    <w:autoSpaceDE w:val="0"/>
                    <w:autoSpaceDN w:val="0"/>
                    <w:adjustRightInd w:val="0"/>
                    <w:spacing w:before="0" w:beforeAutospacing="0" w:after="0" w:afterAutospacing="0" w:line="360" w:lineRule="exact"/>
                    <w:ind w:left="0" w:right="0"/>
                    <w:jc w:val="center"/>
                    <w:rPr>
                      <w:rFonts w:hint="eastAsia" w:eastAsia="仿宋" w:cs="Times New Roman"/>
                      <w:bCs/>
                      <w:color w:val="auto"/>
                      <w:szCs w:val="21"/>
                      <w:lang w:eastAsia="zh-CN"/>
                    </w:rPr>
                  </w:pPr>
                  <w:r>
                    <w:rPr>
                      <w:rFonts w:hint="eastAsia" w:eastAsia="仿宋" w:cs="Times New Roman"/>
                      <w:bCs/>
                      <w:color w:val="auto"/>
                      <w:szCs w:val="21"/>
                      <w:lang w:eastAsia="zh-CN"/>
                    </w:rPr>
                    <w:t>《</w:t>
                  </w:r>
                  <w:r>
                    <w:rPr>
                      <w:rFonts w:hint="eastAsia" w:eastAsia="仿宋" w:cs="Times New Roman"/>
                      <w:bCs/>
                      <w:color w:val="auto"/>
                      <w:szCs w:val="21"/>
                      <w:lang w:val="en-US" w:eastAsia="zh-CN"/>
                    </w:rPr>
                    <w:t>江苏省太湖流域禁止和限制的产业产品目录（2024年本）</w:t>
                  </w:r>
                  <w:r>
                    <w:rPr>
                      <w:rFonts w:hint="eastAsia" w:eastAsia="仿宋" w:cs="Times New Roman"/>
                      <w:bCs/>
                      <w:color w:val="auto"/>
                      <w:szCs w:val="21"/>
                      <w:lang w:eastAsia="zh-CN"/>
                    </w:rPr>
                    <w:t>》</w:t>
                  </w:r>
                </w:p>
              </w:tc>
              <w:tc>
                <w:tcPr>
                  <w:tcW w:w="3975" w:type="dxa"/>
                  <w:noWrap w:val="0"/>
                  <w:vAlign w:val="center"/>
                </w:tcPr>
                <w:p w14:paraId="71F3AECD">
                  <w:pPr>
                    <w:keepNext w:val="0"/>
                    <w:keepLines w:val="0"/>
                    <w:suppressLineNumbers w:val="0"/>
                    <w:autoSpaceDE w:val="0"/>
                    <w:autoSpaceDN w:val="0"/>
                    <w:adjustRightInd w:val="0"/>
                    <w:spacing w:before="0" w:beforeAutospacing="0" w:after="0" w:afterAutospacing="0" w:line="360" w:lineRule="exact"/>
                    <w:ind w:left="0" w:right="0"/>
                    <w:jc w:val="both"/>
                    <w:rPr>
                      <w:rFonts w:hint="default" w:ascii="Times New Roman" w:hAnsi="Times New Roman" w:eastAsia="仿宋" w:cs="Times New Roman"/>
                      <w:bCs/>
                      <w:color w:val="auto"/>
                      <w:kern w:val="0"/>
                      <w:szCs w:val="21"/>
                      <w:lang w:val="en-US" w:eastAsia="zh-CN"/>
                    </w:rPr>
                  </w:pPr>
                  <w:r>
                    <w:rPr>
                      <w:rFonts w:hint="eastAsia" w:eastAsia="仿宋" w:cs="Times New Roman"/>
                      <w:bCs/>
                      <w:color w:val="auto"/>
                      <w:kern w:val="0"/>
                      <w:szCs w:val="21"/>
                      <w:lang w:val="en-US" w:eastAsia="zh-CN"/>
                    </w:rPr>
                    <w:t>经查，</w:t>
                  </w:r>
                  <w:r>
                    <w:rPr>
                      <w:rFonts w:hint="default" w:ascii="Times New Roman" w:hAnsi="Times New Roman" w:eastAsia="仿宋" w:cs="Times New Roman"/>
                      <w:bCs/>
                      <w:color w:val="auto"/>
                      <w:kern w:val="0"/>
                      <w:szCs w:val="21"/>
                    </w:rPr>
                    <w:t>本项目不属于目录中禁止</w:t>
                  </w:r>
                  <w:r>
                    <w:rPr>
                      <w:rFonts w:hint="eastAsia" w:ascii="Times New Roman" w:hAnsi="Times New Roman" w:eastAsia="仿宋" w:cs="Times New Roman"/>
                      <w:bCs/>
                      <w:color w:val="auto"/>
                      <w:kern w:val="0"/>
                      <w:szCs w:val="21"/>
                      <w:lang w:val="en-US" w:eastAsia="zh-CN"/>
                    </w:rPr>
                    <w:t>和限制的</w:t>
                  </w:r>
                  <w:r>
                    <w:rPr>
                      <w:rFonts w:hint="default" w:ascii="Times New Roman" w:hAnsi="Times New Roman" w:eastAsia="仿宋" w:cs="Times New Roman"/>
                      <w:bCs/>
                      <w:color w:val="auto"/>
                      <w:kern w:val="0"/>
                      <w:szCs w:val="21"/>
                    </w:rPr>
                    <w:t>项目</w:t>
                  </w:r>
                </w:p>
              </w:tc>
              <w:tc>
                <w:tcPr>
                  <w:tcW w:w="1020" w:type="dxa"/>
                  <w:noWrap w:val="0"/>
                  <w:vAlign w:val="center"/>
                </w:tcPr>
                <w:p w14:paraId="474BDF8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是</w:t>
                  </w:r>
                </w:p>
              </w:tc>
            </w:tr>
          </w:tbl>
          <w:p w14:paraId="774252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eastAsia="zh-CN"/>
              </w:rPr>
            </w:pPr>
            <w:r>
              <w:rPr>
                <w:rFonts w:hint="eastAsia" w:cs="Times New Roman"/>
                <w:b/>
                <w:bCs/>
                <w:color w:val="auto"/>
                <w:lang w:val="en-US" w:eastAsia="zh-CN"/>
              </w:rPr>
              <w:t>由上表可知</w:t>
            </w:r>
            <w:r>
              <w:rPr>
                <w:rFonts w:hint="default" w:ascii="Times New Roman" w:hAnsi="Times New Roman" w:eastAsia="宋体" w:cs="Times New Roman"/>
                <w:b/>
                <w:bCs/>
                <w:color w:val="auto"/>
                <w:lang w:eastAsia="zh-CN"/>
              </w:rPr>
              <w:t>，本项目</w:t>
            </w:r>
            <w:r>
              <w:rPr>
                <w:rFonts w:hint="eastAsia" w:cs="Times New Roman"/>
                <w:b/>
                <w:bCs/>
                <w:color w:val="auto"/>
                <w:lang w:val="en-US" w:eastAsia="zh-CN"/>
              </w:rPr>
              <w:t>的建设符合</w:t>
            </w:r>
            <w:r>
              <w:rPr>
                <w:rFonts w:hint="default" w:ascii="Times New Roman" w:hAnsi="Times New Roman" w:eastAsia="宋体" w:cs="Times New Roman"/>
                <w:b/>
                <w:bCs/>
                <w:color w:val="auto"/>
                <w:lang w:eastAsia="zh-CN"/>
              </w:rPr>
              <w:t>国家及地方相关产业政策要求。</w:t>
            </w:r>
          </w:p>
          <w:p w14:paraId="5C52E9FC">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jc w:val="both"/>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w:t>
            </w:r>
            <w:r>
              <w:rPr>
                <w:rFonts w:hint="default" w:ascii="Times New Roman" w:hAnsi="Times New Roman" w:cs="Times New Roman"/>
                <w:b/>
                <w:bCs/>
                <w:color w:val="auto"/>
                <w:spacing w:val="0"/>
                <w:sz w:val="21"/>
                <w:szCs w:val="21"/>
                <w:lang w:val="en-US" w:eastAsia="zh-CN"/>
              </w:rPr>
              <w:t>与相关环保政策的相符性分析</w:t>
            </w:r>
          </w:p>
          <w:p w14:paraId="15342CD6">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jc w:val="both"/>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sz w:val="21"/>
                <w:szCs w:val="21"/>
                <w:highlight w:val="none"/>
                <w:lang w:val="en-US" w:eastAsia="zh-CN"/>
              </w:rPr>
              <w:t>①</w:t>
            </w:r>
            <w:r>
              <w:rPr>
                <w:rFonts w:hint="default" w:ascii="Times New Roman" w:hAnsi="Times New Roman" w:eastAsia="宋体" w:cs="Times New Roman"/>
                <w:b/>
                <w:color w:val="auto"/>
                <w:sz w:val="21"/>
                <w:szCs w:val="24"/>
                <w:highlight w:val="none"/>
              </w:rPr>
              <w:t>与</w:t>
            </w:r>
            <w:r>
              <w:rPr>
                <w:rFonts w:hint="default" w:ascii="Times New Roman" w:hAnsi="Times New Roman" w:eastAsia="宋体" w:cs="Times New Roman"/>
                <w:b/>
                <w:bCs/>
                <w:color w:val="auto"/>
                <w:highlight w:val="none"/>
              </w:rPr>
              <w:t>《江苏省太湖水污染防治条例》（</w:t>
            </w:r>
            <w:r>
              <w:rPr>
                <w:rFonts w:hint="eastAsia" w:ascii="Times New Roman" w:hAnsi="Times New Roman" w:eastAsia="宋体" w:cs="Times New Roman"/>
                <w:b/>
                <w:bCs/>
                <w:color w:val="auto"/>
                <w:highlight w:val="none"/>
                <w:lang w:val="en-US" w:eastAsia="zh-CN"/>
              </w:rPr>
              <w:t>2021年修正</w:t>
            </w:r>
            <w:r>
              <w:rPr>
                <w:rFonts w:hint="default" w:ascii="Times New Roman" w:hAnsi="Times New Roman" w:eastAsia="宋体" w:cs="Times New Roman"/>
                <w:b/>
                <w:bCs/>
                <w:color w:val="auto"/>
                <w:highlight w:val="none"/>
              </w:rPr>
              <w:t>）</w:t>
            </w:r>
            <w:r>
              <w:rPr>
                <w:rFonts w:hint="eastAsia" w:ascii="Times New Roman" w:hAnsi="Times New Roman" w:eastAsia="宋体" w:cs="Times New Roman"/>
                <w:b/>
                <w:bCs/>
                <w:color w:val="auto"/>
                <w:highlight w:val="none"/>
                <w:lang w:val="en-US" w:eastAsia="zh-CN"/>
              </w:rPr>
              <w:t>的对照分析</w:t>
            </w:r>
          </w:p>
          <w:p w14:paraId="1DB730C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b/>
                <w:color w:val="auto"/>
                <w:kern w:val="0"/>
                <w:sz w:val="21"/>
                <w:szCs w:val="21"/>
              </w:rPr>
              <w:t>表1-</w:t>
            </w:r>
            <w:r>
              <w:rPr>
                <w:rFonts w:hint="eastAsia" w:cs="Times New Roman"/>
                <w:b/>
                <w:color w:val="auto"/>
                <w:kern w:val="0"/>
                <w:sz w:val="21"/>
                <w:szCs w:val="21"/>
                <w:lang w:val="en-US" w:eastAsia="zh-CN"/>
              </w:rPr>
              <w:t>6</w:t>
            </w:r>
            <w:r>
              <w:rPr>
                <w:rFonts w:hint="default" w:ascii="Times New Roman" w:hAnsi="Times New Roman" w:eastAsia="宋体" w:cs="Times New Roman"/>
                <w:b/>
                <w:color w:val="auto"/>
                <w:kern w:val="0"/>
                <w:sz w:val="21"/>
                <w:szCs w:val="21"/>
              </w:rPr>
              <w:t xml:space="preserve">  </w:t>
            </w:r>
            <w:r>
              <w:rPr>
                <w:rFonts w:hint="default" w:ascii="Times New Roman" w:hAnsi="Times New Roman" w:eastAsia="宋体" w:cs="Times New Roman"/>
                <w:b/>
                <w:bCs/>
                <w:color w:val="auto"/>
                <w:highlight w:val="none"/>
              </w:rPr>
              <w:t>《江苏省太湖水污染防治条例》（</w:t>
            </w:r>
            <w:r>
              <w:rPr>
                <w:rFonts w:hint="eastAsia" w:ascii="Times New Roman" w:hAnsi="Times New Roman" w:eastAsia="宋体" w:cs="Times New Roman"/>
                <w:b/>
                <w:bCs/>
                <w:color w:val="auto"/>
                <w:highlight w:val="none"/>
                <w:lang w:val="en-US" w:eastAsia="zh-CN"/>
              </w:rPr>
              <w:t>2021年修正</w:t>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color w:val="auto"/>
                <w:kern w:val="0"/>
                <w:sz w:val="21"/>
                <w:szCs w:val="21"/>
              </w:rPr>
              <w:t>分析</w:t>
            </w:r>
            <w:r>
              <w:rPr>
                <w:rFonts w:hint="eastAsia" w:cs="Times New Roman"/>
                <w:b/>
                <w:color w:val="auto"/>
                <w:kern w:val="0"/>
                <w:sz w:val="21"/>
                <w:szCs w:val="21"/>
                <w:lang w:val="en-US" w:eastAsia="zh-CN"/>
              </w:rPr>
              <w:t>判定对照表</w:t>
            </w:r>
          </w:p>
          <w:tbl>
            <w:tblPr>
              <w:tblStyle w:val="28"/>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47"/>
              <w:gridCol w:w="3931"/>
              <w:gridCol w:w="2413"/>
              <w:gridCol w:w="1698"/>
            </w:tblGrid>
            <w:tr w14:paraId="679833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713" w:type="pct"/>
                  <w:gridSpan w:val="2"/>
                  <w:tcBorders>
                    <w:tl2br w:val="nil"/>
                    <w:tr2bl w:val="nil"/>
                  </w:tcBorders>
                  <w:noWrap w:val="0"/>
                  <w:vAlign w:val="center"/>
                </w:tcPr>
                <w:p w14:paraId="006B100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相关要求</w:t>
                  </w:r>
                </w:p>
              </w:tc>
              <w:tc>
                <w:tcPr>
                  <w:tcW w:w="1342" w:type="pct"/>
                  <w:tcBorders>
                    <w:tl2br w:val="nil"/>
                    <w:tr2bl w:val="nil"/>
                  </w:tcBorders>
                  <w:noWrap w:val="0"/>
                  <w:vAlign w:val="center"/>
                </w:tcPr>
                <w:p w14:paraId="5706793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对照分析</w:t>
                  </w:r>
                </w:p>
              </w:tc>
              <w:tc>
                <w:tcPr>
                  <w:tcW w:w="944" w:type="pct"/>
                  <w:tcBorders>
                    <w:tl2br w:val="nil"/>
                    <w:tr2bl w:val="nil"/>
                  </w:tcBorders>
                  <w:noWrap w:val="0"/>
                  <w:vAlign w:val="center"/>
                </w:tcPr>
                <w:p w14:paraId="52372E7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是否满足要求</w:t>
                  </w:r>
                </w:p>
              </w:tc>
            </w:tr>
            <w:tr w14:paraId="5DC4C2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27" w:type="pct"/>
                  <w:tcBorders>
                    <w:tl2br w:val="nil"/>
                    <w:tr2bl w:val="nil"/>
                  </w:tcBorders>
                  <w:noWrap w:val="0"/>
                  <w:vAlign w:val="center"/>
                </w:tcPr>
                <w:p w14:paraId="6863059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rPr>
                    <w:t>第四十三条</w:t>
                  </w:r>
                </w:p>
              </w:tc>
              <w:tc>
                <w:tcPr>
                  <w:tcW w:w="2185" w:type="pct"/>
                  <w:tcBorders>
                    <w:tl2br w:val="nil"/>
                    <w:tr2bl w:val="nil"/>
                  </w:tcBorders>
                  <w:noWrap w:val="0"/>
                  <w:vAlign w:val="center"/>
                </w:tcPr>
                <w:p w14:paraId="180EB4E8">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rPr>
                    <w:t>太湖流域一、二、三级保护区禁止下列行为：</w:t>
                  </w:r>
                </w:p>
                <w:p w14:paraId="130EE251">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rPr>
                    <w:t>（一）新建、改建、扩建化学制浆造纸、制革、酿造、染料、印染、电镀以及其他排放含磷、氮等污染物的企业和项目，城镇污水集中处理等环境基础设施项目和第四十六条规定的情形除外；</w:t>
                  </w:r>
                </w:p>
                <w:p w14:paraId="37F87C01">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rPr>
                    <w:t>（二）销售、使用含磷洗涤用品；</w:t>
                  </w:r>
                </w:p>
                <w:p w14:paraId="035AACAD">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rPr>
                    <w:t>（三）向水体排放或者倾倒油类、酸液、碱液、剧毒废渣废液、含放射性废渣废液、含病原体污水、工业废渣以及其他废弃物；</w:t>
                  </w:r>
                </w:p>
                <w:p w14:paraId="76EA3BF8">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rPr>
                    <w:t>（四）在水体清洗装贮过油类或者有毒有害污染物的车辆、船舶和容器等；</w:t>
                  </w:r>
                </w:p>
                <w:p w14:paraId="5B2EE989">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rPr>
                    <w:t>（五）使用农药等有毒物毒杀水生生物；</w:t>
                  </w:r>
                </w:p>
                <w:p w14:paraId="3BD45FF4">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rPr>
                    <w:t>（六）向水体直接排放人畜粪便、倾倒垃圾；</w:t>
                  </w:r>
                </w:p>
                <w:p w14:paraId="6406130E">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rPr>
                    <w:t>（七）围湖造地；</w:t>
                  </w:r>
                </w:p>
                <w:p w14:paraId="20E97E37">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rPr>
                    <w:t>（八）违法开山采石，或者进行破坏林木、植被、水生生物的活动；</w:t>
                  </w:r>
                </w:p>
                <w:p w14:paraId="33E317F0">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rPr>
                    <w:t>（九）法律、法规禁止的其他行为。</w:t>
                  </w:r>
                </w:p>
              </w:tc>
              <w:tc>
                <w:tcPr>
                  <w:tcW w:w="1342" w:type="pct"/>
                  <w:tcBorders>
                    <w:tl2br w:val="nil"/>
                    <w:tr2bl w:val="nil"/>
                  </w:tcBorders>
                  <w:noWrap w:val="0"/>
                  <w:vAlign w:val="center"/>
                </w:tcPr>
                <w:p w14:paraId="7A7ECD0C">
                  <w:pPr>
                    <w:keepNext w:val="0"/>
                    <w:keepLines w:val="0"/>
                    <w:suppressLineNumbers w:val="0"/>
                    <w:autoSpaceDE w:val="0"/>
                    <w:autoSpaceDN w:val="0"/>
                    <w:adjustRightInd w:val="0"/>
                    <w:spacing w:before="0" w:beforeAutospacing="0" w:after="0" w:afterAutospacing="0"/>
                    <w:ind w:left="0" w:right="0"/>
                    <w:jc w:val="both"/>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rPr>
                    <w:t>根据《省政府办公厅关于公布江苏省太湖流域三级保护区范围的通知》（苏政办发</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rPr>
                    <w:t>2012</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rPr>
                    <w:t>221号），本项目位于太湖流域三级保护区内</w:t>
                  </w:r>
                  <w:r>
                    <w:rPr>
                      <w:rFonts w:hint="eastAsia" w:ascii="Times New Roman" w:hAnsi="Times New Roman" w:eastAsia="仿宋" w:cs="Times New Roman"/>
                      <w:color w:val="auto"/>
                      <w:sz w:val="21"/>
                      <w:szCs w:val="21"/>
                      <w:highlight w:val="none"/>
                      <w:lang w:val="en-US" w:eastAsia="zh-CN"/>
                    </w:rPr>
                    <w:t>，属于</w:t>
                  </w:r>
                  <w:r>
                    <w:rPr>
                      <w:rFonts w:hint="eastAsia" w:eastAsia="仿宋" w:cs="Times New Roman"/>
                      <w:color w:val="auto"/>
                      <w:sz w:val="21"/>
                      <w:szCs w:val="21"/>
                      <w:highlight w:val="none"/>
                      <w:lang w:val="en-US" w:eastAsia="zh-CN"/>
                    </w:rPr>
                    <w:t>橡胶辊轮制造</w:t>
                  </w:r>
                  <w:r>
                    <w:rPr>
                      <w:rFonts w:hint="eastAsia" w:ascii="Times New Roman" w:hAnsi="Times New Roman" w:eastAsia="仿宋" w:cs="Times New Roman"/>
                      <w:color w:val="auto"/>
                      <w:sz w:val="21"/>
                      <w:szCs w:val="21"/>
                      <w:highlight w:val="none"/>
                      <w:lang w:val="en-US" w:eastAsia="zh-CN"/>
                    </w:rPr>
                    <w:t>；不涉及化学制浆造纸、制革、酿造、染料、印染、电镀工艺，不使用含磷洗涤用品，不涉及上述禁止的其他行为；本项目无生产废水产生及排放，生活污水经</w:t>
                  </w:r>
                  <w:r>
                    <w:rPr>
                      <w:rFonts w:hint="eastAsia" w:eastAsia="仿宋" w:cs="Times New Roman"/>
                      <w:color w:val="auto"/>
                      <w:sz w:val="21"/>
                      <w:szCs w:val="21"/>
                      <w:highlight w:val="none"/>
                      <w:lang w:val="en-US" w:eastAsia="zh-CN"/>
                    </w:rPr>
                    <w:t>厂区污水管网接</w:t>
                  </w:r>
                  <w:r>
                    <w:rPr>
                      <w:rFonts w:hint="eastAsia" w:ascii="Times New Roman" w:hAnsi="Times New Roman" w:eastAsia="仿宋" w:cs="Times New Roman"/>
                      <w:color w:val="auto"/>
                      <w:sz w:val="21"/>
                      <w:szCs w:val="21"/>
                      <w:highlight w:val="none"/>
                      <w:lang w:val="en-US" w:eastAsia="zh-CN"/>
                    </w:rPr>
                    <w:t>入</w:t>
                  </w:r>
                  <w:r>
                    <w:rPr>
                      <w:rFonts w:hint="eastAsia" w:eastAsia="仿宋" w:cs="Times New Roman"/>
                      <w:color w:val="auto"/>
                      <w:sz w:val="21"/>
                      <w:szCs w:val="21"/>
                      <w:highlight w:val="none"/>
                      <w:lang w:val="en-US" w:eastAsia="zh-CN"/>
                    </w:rPr>
                    <w:t>金坛区朱林镇三星村李巷农村生活污水处理站</w:t>
                  </w:r>
                  <w:r>
                    <w:rPr>
                      <w:rFonts w:hint="eastAsia" w:ascii="Times New Roman" w:hAnsi="Times New Roman" w:eastAsia="仿宋" w:cs="Times New Roman"/>
                      <w:color w:val="auto"/>
                      <w:sz w:val="21"/>
                      <w:szCs w:val="21"/>
                      <w:highlight w:val="none"/>
                      <w:lang w:val="en-US" w:eastAsia="zh-CN"/>
                    </w:rPr>
                    <w:t>集中处理。</w:t>
                  </w:r>
                </w:p>
              </w:tc>
              <w:tc>
                <w:tcPr>
                  <w:tcW w:w="944" w:type="pct"/>
                  <w:tcBorders>
                    <w:tl2br w:val="nil"/>
                    <w:tr2bl w:val="nil"/>
                  </w:tcBorders>
                  <w:noWrap w:val="0"/>
                  <w:vAlign w:val="center"/>
                </w:tcPr>
                <w:p w14:paraId="6DE4A1DA">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是</w:t>
                  </w:r>
                </w:p>
              </w:tc>
            </w:tr>
          </w:tbl>
          <w:p w14:paraId="5AF962B3">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jc w:val="both"/>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②与</w:t>
            </w:r>
            <w:r>
              <w:rPr>
                <w:rFonts w:hint="default" w:ascii="Times New Roman" w:hAnsi="Times New Roman" w:eastAsia="宋体" w:cs="Times New Roman"/>
                <w:b/>
                <w:bCs/>
                <w:color w:val="auto"/>
                <w:highlight w:val="none"/>
              </w:rPr>
              <w:t>《太湖流域管理条例》</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rPr>
              <w:t>国务院令第604号</w:t>
            </w:r>
            <w:r>
              <w:rPr>
                <w:rFonts w:hint="default" w:ascii="Times New Roman" w:hAnsi="Times New Roman" w:eastAsia="宋体" w:cs="Times New Roman"/>
                <w:b/>
                <w:bCs/>
                <w:color w:val="auto"/>
                <w:highlight w:val="none"/>
                <w:lang w:eastAsia="zh-CN"/>
              </w:rPr>
              <w:t>）</w:t>
            </w:r>
            <w:r>
              <w:rPr>
                <w:rFonts w:hint="eastAsia" w:ascii="Times New Roman" w:hAnsi="Times New Roman" w:eastAsia="宋体" w:cs="Times New Roman"/>
                <w:b/>
                <w:bCs/>
                <w:color w:val="auto"/>
                <w:highlight w:val="none"/>
                <w:lang w:val="en-US" w:eastAsia="zh-CN"/>
              </w:rPr>
              <w:t>的对照分析</w:t>
            </w:r>
          </w:p>
          <w:p w14:paraId="187A86F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b/>
                <w:color w:val="auto"/>
                <w:kern w:val="0"/>
                <w:sz w:val="21"/>
                <w:szCs w:val="21"/>
              </w:rPr>
              <w:t>表1-</w:t>
            </w:r>
            <w:r>
              <w:rPr>
                <w:rFonts w:hint="eastAsia" w:cs="Times New Roman"/>
                <w:b/>
                <w:color w:val="auto"/>
                <w:kern w:val="0"/>
                <w:sz w:val="21"/>
                <w:szCs w:val="21"/>
                <w:lang w:val="en-US" w:eastAsia="zh-CN"/>
              </w:rPr>
              <w:t>7</w:t>
            </w:r>
            <w:r>
              <w:rPr>
                <w:rFonts w:hint="default" w:ascii="Times New Roman" w:hAnsi="Times New Roman" w:eastAsia="宋体" w:cs="Times New Roman"/>
                <w:b/>
                <w:color w:val="auto"/>
                <w:kern w:val="0"/>
                <w:sz w:val="21"/>
                <w:szCs w:val="21"/>
              </w:rPr>
              <w:t xml:space="preserve">  </w:t>
            </w:r>
            <w:r>
              <w:rPr>
                <w:rFonts w:hint="default" w:ascii="Times New Roman" w:hAnsi="Times New Roman" w:eastAsia="宋体" w:cs="Times New Roman"/>
                <w:b/>
                <w:bCs/>
                <w:color w:val="auto"/>
                <w:highlight w:val="none"/>
              </w:rPr>
              <w:t>《太湖流域管理条例》</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rPr>
              <w:t>国务院令第604号</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color w:val="auto"/>
                <w:kern w:val="0"/>
                <w:sz w:val="21"/>
                <w:szCs w:val="21"/>
              </w:rPr>
              <w:t>分析</w:t>
            </w:r>
            <w:r>
              <w:rPr>
                <w:rFonts w:hint="eastAsia" w:cs="Times New Roman"/>
                <w:b/>
                <w:color w:val="auto"/>
                <w:kern w:val="0"/>
                <w:sz w:val="21"/>
                <w:szCs w:val="21"/>
                <w:lang w:val="en-US" w:eastAsia="zh-CN"/>
              </w:rPr>
              <w:t>判定对照表</w:t>
            </w:r>
          </w:p>
          <w:tbl>
            <w:tblPr>
              <w:tblStyle w:val="28"/>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09"/>
              <w:gridCol w:w="3569"/>
              <w:gridCol w:w="2413"/>
              <w:gridCol w:w="1697"/>
            </w:tblGrid>
            <w:tr w14:paraId="725E49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713" w:type="pct"/>
                  <w:gridSpan w:val="2"/>
                  <w:tcBorders>
                    <w:tl2br w:val="nil"/>
                    <w:tr2bl w:val="nil"/>
                  </w:tcBorders>
                  <w:noWrap w:val="0"/>
                  <w:vAlign w:val="center"/>
                </w:tcPr>
                <w:p w14:paraId="34C5618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相关要求</w:t>
                  </w:r>
                </w:p>
              </w:tc>
              <w:tc>
                <w:tcPr>
                  <w:tcW w:w="1342" w:type="pct"/>
                  <w:tcBorders>
                    <w:tl2br w:val="nil"/>
                    <w:tr2bl w:val="nil"/>
                  </w:tcBorders>
                  <w:noWrap w:val="0"/>
                  <w:vAlign w:val="center"/>
                </w:tcPr>
                <w:p w14:paraId="2BAEF2B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对照分析</w:t>
                  </w:r>
                </w:p>
              </w:tc>
              <w:tc>
                <w:tcPr>
                  <w:tcW w:w="944" w:type="pct"/>
                  <w:tcBorders>
                    <w:tl2br w:val="nil"/>
                    <w:tr2bl w:val="nil"/>
                  </w:tcBorders>
                  <w:noWrap w:val="0"/>
                  <w:vAlign w:val="center"/>
                </w:tcPr>
                <w:p w14:paraId="7270AB9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是否满足要求</w:t>
                  </w:r>
                </w:p>
              </w:tc>
            </w:tr>
            <w:tr w14:paraId="631D3C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28" w:type="pct"/>
                  <w:tcBorders>
                    <w:tl2br w:val="nil"/>
                    <w:tr2bl w:val="nil"/>
                  </w:tcBorders>
                  <w:noWrap w:val="0"/>
                  <w:vAlign w:val="center"/>
                </w:tcPr>
                <w:p w14:paraId="7B457E3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第二十八条</w:t>
                  </w:r>
                </w:p>
              </w:tc>
              <w:tc>
                <w:tcPr>
                  <w:tcW w:w="1985" w:type="pct"/>
                  <w:tcBorders>
                    <w:tl2br w:val="nil"/>
                    <w:tr2bl w:val="nil"/>
                  </w:tcBorders>
                  <w:noWrap w:val="0"/>
                  <w:vAlign w:val="center"/>
                </w:tcPr>
                <w:p w14:paraId="5158EA3E">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排污单位排放水污染物，不得超过经核定的水污染物排放总量，并应当按照规定设置便于检查、采样的规范化排污口，悬挂标志牌；不得私设暗管或者采取其他规避监管的方式排放水污染物。</w:t>
                  </w:r>
                </w:p>
                <w:p w14:paraId="3903660C">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禁止在太湖流域设置不符合国家产业政策和水环境综合治理要求的造纸、制革、酒精、淀粉、冶金、酿造、印染、电镀等排放水污染物的生产项目，现有的生产项目不能实现达标排放的，应当依法关闭。</w:t>
                  </w:r>
                </w:p>
              </w:tc>
              <w:tc>
                <w:tcPr>
                  <w:tcW w:w="1342" w:type="pct"/>
                  <w:vMerge w:val="restart"/>
                  <w:tcBorders>
                    <w:tl2br w:val="nil"/>
                    <w:tr2bl w:val="nil"/>
                  </w:tcBorders>
                  <w:noWrap w:val="0"/>
                  <w:vAlign w:val="center"/>
                </w:tcPr>
                <w:p w14:paraId="41D6D17D">
                  <w:pPr>
                    <w:keepNext w:val="0"/>
                    <w:keepLines w:val="0"/>
                    <w:suppressLineNumbers w:val="0"/>
                    <w:spacing w:before="0" w:beforeAutospacing="0" w:after="0" w:afterAutospacing="0"/>
                    <w:ind w:left="0" w:right="0"/>
                    <w:jc w:val="both"/>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本项目不属于条款中所示的范围内，本项目不属于化工、医药及水产养殖项目，不新建排污口，不属于《太湖流域管理条例》第二十八条、第二十九条，第三十条规定的禁止的行为</w:t>
                  </w:r>
                  <w:r>
                    <w:rPr>
                      <w:rFonts w:hint="eastAsia" w:ascii="Times New Roman" w:hAnsi="Times New Roman" w:eastAsia="仿宋" w:cs="Times New Roman"/>
                      <w:color w:val="auto"/>
                      <w:sz w:val="21"/>
                      <w:szCs w:val="21"/>
                      <w:highlight w:val="none"/>
                      <w:lang w:eastAsia="zh-CN"/>
                    </w:rPr>
                    <w:t>。</w:t>
                  </w:r>
                </w:p>
              </w:tc>
              <w:tc>
                <w:tcPr>
                  <w:tcW w:w="944" w:type="pct"/>
                  <w:vMerge w:val="restart"/>
                  <w:tcBorders>
                    <w:tl2br w:val="nil"/>
                    <w:tr2bl w:val="nil"/>
                  </w:tcBorders>
                  <w:noWrap w:val="0"/>
                  <w:vAlign w:val="center"/>
                </w:tcPr>
                <w:p w14:paraId="4904A22A">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是</w:t>
                  </w:r>
                </w:p>
              </w:tc>
            </w:tr>
            <w:tr w14:paraId="7D065D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28" w:type="pct"/>
                  <w:tcBorders>
                    <w:tl2br w:val="nil"/>
                    <w:tr2bl w:val="nil"/>
                  </w:tcBorders>
                  <w:noWrap w:val="0"/>
                  <w:vAlign w:val="center"/>
                </w:tcPr>
                <w:p w14:paraId="1A85411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第二十九条</w:t>
                  </w:r>
                </w:p>
              </w:tc>
              <w:tc>
                <w:tcPr>
                  <w:tcW w:w="1985" w:type="pct"/>
                  <w:tcBorders>
                    <w:tl2br w:val="nil"/>
                    <w:tr2bl w:val="nil"/>
                  </w:tcBorders>
                  <w:noWrap w:val="0"/>
                  <w:vAlign w:val="center"/>
                </w:tcPr>
                <w:p w14:paraId="154D26E7">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新孟河、望虞河以外的其他主要入太湖河道，自河口1万m上溯至5万m河道岸线内及其岸线两侧各1000m范围内，禁止下列行为：</w:t>
                  </w:r>
                </w:p>
                <w:p w14:paraId="6992D04E">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（一）新建、扩建化工、医药生产项目；</w:t>
                  </w:r>
                </w:p>
                <w:p w14:paraId="6B69A4C8">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（二）新建、扩建污水集中处理设施排污口以外的排污口；</w:t>
                  </w:r>
                </w:p>
                <w:p w14:paraId="3A9E95EB">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（三）扩大水产养殖规模。</w:t>
                  </w:r>
                </w:p>
              </w:tc>
              <w:tc>
                <w:tcPr>
                  <w:tcW w:w="1342" w:type="pct"/>
                  <w:vMerge w:val="continue"/>
                  <w:tcBorders>
                    <w:tl2br w:val="nil"/>
                    <w:tr2bl w:val="nil"/>
                  </w:tcBorders>
                  <w:noWrap w:val="0"/>
                  <w:vAlign w:val="center"/>
                </w:tcPr>
                <w:p w14:paraId="3A0042A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944" w:type="pct"/>
                  <w:vMerge w:val="continue"/>
                  <w:tcBorders>
                    <w:tl2br w:val="nil"/>
                    <w:tr2bl w:val="nil"/>
                  </w:tcBorders>
                  <w:noWrap w:val="0"/>
                  <w:vAlign w:val="center"/>
                </w:tcPr>
                <w:p w14:paraId="37E714A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r>
            <w:tr w14:paraId="5FEB52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28" w:type="pct"/>
                  <w:tcBorders>
                    <w:tl2br w:val="nil"/>
                    <w:tr2bl w:val="nil"/>
                  </w:tcBorders>
                  <w:noWrap w:val="0"/>
                  <w:vAlign w:val="center"/>
                </w:tcPr>
                <w:p w14:paraId="2AFB187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第三十条</w:t>
                  </w:r>
                </w:p>
              </w:tc>
              <w:tc>
                <w:tcPr>
                  <w:tcW w:w="1985" w:type="pct"/>
                  <w:tcBorders>
                    <w:tl2br w:val="nil"/>
                    <w:tr2bl w:val="nil"/>
                  </w:tcBorders>
                  <w:noWrap w:val="0"/>
                  <w:vAlign w:val="center"/>
                </w:tcPr>
                <w:p w14:paraId="435D3680">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太湖岸线内和岸线周边5000m范围内，淀山湖岸线内和岸线周边2000m范围内，太浦河、新孟河、望虞河岸线内和岸线两侧各1000m范围内，其他主要入太湖河道自河口上溯至1万m河道岸线内及其岸线两侧各1000m范围内，禁止下列行为：</w:t>
                  </w:r>
                </w:p>
                <w:p w14:paraId="2B64C743">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（一）设置剧毒物质、危险化学品的贮存、输送设施和废物回收场、垃圾场；</w:t>
                  </w:r>
                </w:p>
                <w:p w14:paraId="0631E383">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（二）设置水上餐饮经营设施；</w:t>
                  </w:r>
                </w:p>
                <w:p w14:paraId="736D1AFB">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（三）新建、扩建高尔夫球场；</w:t>
                  </w:r>
                </w:p>
                <w:p w14:paraId="3E58735A">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（四）新建、扩建畜禽养殖场；</w:t>
                  </w:r>
                </w:p>
                <w:p w14:paraId="1CA98760">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（五）新建、扩建向水体排放污染物的建设项目；</w:t>
                  </w:r>
                </w:p>
                <w:p w14:paraId="0B5BD882">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（六）本条例第二十九条规定的行为。</w:t>
                  </w:r>
                </w:p>
                <w:p w14:paraId="15DD8DAE">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已经设置前款第一项、第二项规定设施的，当地县级人民政府应当责令拆除或者关闭。</w:t>
                  </w:r>
                </w:p>
              </w:tc>
              <w:tc>
                <w:tcPr>
                  <w:tcW w:w="1342" w:type="pct"/>
                  <w:vMerge w:val="continue"/>
                  <w:tcBorders>
                    <w:tl2br w:val="nil"/>
                    <w:tr2bl w:val="nil"/>
                  </w:tcBorders>
                  <w:noWrap w:val="0"/>
                  <w:vAlign w:val="center"/>
                </w:tcPr>
                <w:p w14:paraId="0C3A981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944" w:type="pct"/>
                  <w:vMerge w:val="continue"/>
                  <w:tcBorders>
                    <w:tl2br w:val="nil"/>
                    <w:tr2bl w:val="nil"/>
                  </w:tcBorders>
                  <w:noWrap w:val="0"/>
                  <w:vAlign w:val="center"/>
                </w:tcPr>
                <w:p w14:paraId="591D326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r>
          </w:tbl>
          <w:p w14:paraId="350989EC">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③与</w:t>
            </w:r>
            <w:r>
              <w:rPr>
                <w:rFonts w:hint="default" w:ascii="Times New Roman" w:hAnsi="Times New Roman" w:eastAsia="宋体" w:cs="Times New Roman"/>
                <w:b/>
                <w:bCs/>
                <w:color w:val="auto"/>
                <w:highlight w:val="none"/>
                <w:lang w:eastAsia="zh-CN"/>
              </w:rPr>
              <w:t>《江苏省水污染防治条例》（江苏省人大常委会公告第48号）</w:t>
            </w:r>
            <w:r>
              <w:rPr>
                <w:rFonts w:hint="default" w:ascii="Times New Roman" w:hAnsi="Times New Roman" w:eastAsia="宋体" w:cs="Times New Roman"/>
                <w:b/>
                <w:bCs/>
                <w:color w:val="auto"/>
                <w:highlight w:val="none"/>
                <w:lang w:val="en-US" w:eastAsia="zh-CN"/>
              </w:rPr>
              <w:t>的对照分析</w:t>
            </w:r>
          </w:p>
          <w:p w14:paraId="2723F2F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color w:val="auto"/>
                <w:kern w:val="0"/>
                <w:sz w:val="21"/>
                <w:szCs w:val="21"/>
              </w:rPr>
              <w:t>表1-</w:t>
            </w:r>
            <w:r>
              <w:rPr>
                <w:rFonts w:hint="eastAsia" w:cs="Times New Roman"/>
                <w:b/>
                <w:color w:val="auto"/>
                <w:kern w:val="0"/>
                <w:sz w:val="21"/>
                <w:szCs w:val="21"/>
                <w:lang w:val="en-US" w:eastAsia="zh-CN"/>
              </w:rPr>
              <w:t>8</w:t>
            </w:r>
            <w:r>
              <w:rPr>
                <w:rFonts w:hint="default" w:ascii="Times New Roman" w:hAnsi="Times New Roman" w:eastAsia="宋体" w:cs="Times New Roman"/>
                <w:b/>
                <w:color w:val="auto"/>
                <w:kern w:val="0"/>
                <w:sz w:val="21"/>
                <w:szCs w:val="21"/>
              </w:rPr>
              <w:t xml:space="preserve">  </w:t>
            </w:r>
            <w:r>
              <w:rPr>
                <w:rFonts w:hint="default" w:ascii="Times New Roman" w:hAnsi="Times New Roman" w:eastAsia="宋体" w:cs="Times New Roman"/>
                <w:b/>
                <w:bCs/>
                <w:color w:val="auto"/>
                <w:highlight w:val="none"/>
                <w:lang w:eastAsia="zh-CN"/>
              </w:rPr>
              <w:t>《江苏省水污染防治条例》（江苏省人大常委会公告第48号）</w:t>
            </w:r>
            <w:r>
              <w:rPr>
                <w:rFonts w:hint="default" w:ascii="Times New Roman" w:hAnsi="Times New Roman" w:eastAsia="宋体" w:cs="Times New Roman"/>
                <w:b/>
                <w:color w:val="auto"/>
                <w:kern w:val="0"/>
                <w:sz w:val="21"/>
                <w:szCs w:val="21"/>
              </w:rPr>
              <w:t>分析</w:t>
            </w:r>
            <w:r>
              <w:rPr>
                <w:rFonts w:hint="default" w:ascii="Times New Roman" w:hAnsi="Times New Roman" w:cs="Times New Roman"/>
                <w:b/>
                <w:color w:val="auto"/>
                <w:kern w:val="0"/>
                <w:sz w:val="21"/>
                <w:szCs w:val="21"/>
                <w:lang w:val="en-US" w:eastAsia="zh-CN"/>
              </w:rPr>
              <w:t>判定对照表</w:t>
            </w:r>
          </w:p>
          <w:tbl>
            <w:tblPr>
              <w:tblStyle w:val="28"/>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09"/>
              <w:gridCol w:w="3569"/>
              <w:gridCol w:w="2413"/>
              <w:gridCol w:w="1697"/>
            </w:tblGrid>
            <w:tr w14:paraId="1614EC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713" w:type="pct"/>
                  <w:gridSpan w:val="2"/>
                  <w:tcBorders>
                    <w:tl2br w:val="nil"/>
                    <w:tr2bl w:val="nil"/>
                  </w:tcBorders>
                  <w:noWrap w:val="0"/>
                  <w:vAlign w:val="center"/>
                </w:tcPr>
                <w:p w14:paraId="76FAF2D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相关要求</w:t>
                  </w:r>
                </w:p>
              </w:tc>
              <w:tc>
                <w:tcPr>
                  <w:tcW w:w="1342" w:type="pct"/>
                  <w:tcBorders>
                    <w:tl2br w:val="nil"/>
                    <w:tr2bl w:val="nil"/>
                  </w:tcBorders>
                  <w:noWrap w:val="0"/>
                  <w:vAlign w:val="center"/>
                </w:tcPr>
                <w:p w14:paraId="3318665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对照分析</w:t>
                  </w:r>
                </w:p>
              </w:tc>
              <w:tc>
                <w:tcPr>
                  <w:tcW w:w="944" w:type="pct"/>
                  <w:tcBorders>
                    <w:tl2br w:val="nil"/>
                    <w:tr2bl w:val="nil"/>
                  </w:tcBorders>
                  <w:noWrap w:val="0"/>
                  <w:vAlign w:val="center"/>
                </w:tcPr>
                <w:p w14:paraId="1F4614A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是否满足要求</w:t>
                  </w:r>
                </w:p>
              </w:tc>
            </w:tr>
            <w:tr w14:paraId="15A783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28" w:type="pct"/>
                  <w:tcBorders>
                    <w:tl2br w:val="nil"/>
                    <w:tr2bl w:val="nil"/>
                  </w:tcBorders>
                  <w:noWrap w:val="0"/>
                  <w:vAlign w:val="center"/>
                </w:tcPr>
                <w:p w14:paraId="4C04B9C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4"/>
                      <w:highlight w:val="none"/>
                      <w:lang w:eastAsia="zh-CN"/>
                    </w:rPr>
                    <w:t>第二十三条</w:t>
                  </w:r>
                </w:p>
              </w:tc>
              <w:tc>
                <w:tcPr>
                  <w:tcW w:w="1985" w:type="pct"/>
                  <w:tcBorders>
                    <w:tl2br w:val="nil"/>
                    <w:tr2bl w:val="nil"/>
                  </w:tcBorders>
                  <w:noWrap w:val="0"/>
                  <w:vAlign w:val="center"/>
                </w:tcPr>
                <w:p w14:paraId="34DD77A2">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t>禁止工业企业、宾馆、餐饮、洗涤等企业事业单位以及个人使用各类含磷洗涤用品。</w:t>
                  </w:r>
                </w:p>
              </w:tc>
              <w:tc>
                <w:tcPr>
                  <w:tcW w:w="1342" w:type="pct"/>
                  <w:vMerge w:val="restart"/>
                  <w:tcBorders>
                    <w:tl2br w:val="nil"/>
                    <w:tr2bl w:val="nil"/>
                  </w:tcBorders>
                  <w:noWrap w:val="0"/>
                  <w:vAlign w:val="center"/>
                </w:tcPr>
                <w:p w14:paraId="3A4BF6D4">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本项目不使用含磷洗涤用品，不涉及工业废水排放，厂区内已实行</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雨污分流、清污分流</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w:t>
                  </w:r>
                  <w:r>
                    <w:rPr>
                      <w:rFonts w:hint="default" w:ascii="Times New Roman" w:hAnsi="Times New Roman" w:eastAsia="仿宋" w:cs="Times New Roman"/>
                      <w:color w:val="auto"/>
                      <w:sz w:val="21"/>
                      <w:szCs w:val="21"/>
                      <w:highlight w:val="none"/>
                      <w:lang w:val="en-US" w:eastAsia="zh-CN"/>
                    </w:rPr>
                    <w:t>拟</w:t>
                  </w:r>
                  <w:r>
                    <w:rPr>
                      <w:rFonts w:hint="default" w:ascii="Times New Roman" w:hAnsi="Times New Roman" w:eastAsia="仿宋" w:cs="Times New Roman"/>
                      <w:color w:val="auto"/>
                      <w:sz w:val="21"/>
                      <w:szCs w:val="21"/>
                      <w:highlight w:val="none"/>
                    </w:rPr>
                    <w:t>在</w:t>
                  </w:r>
                  <w:r>
                    <w:rPr>
                      <w:rFonts w:hint="default" w:ascii="Times New Roman" w:hAnsi="Times New Roman" w:eastAsia="仿宋" w:cs="Times New Roman"/>
                      <w:color w:val="auto"/>
                      <w:sz w:val="21"/>
                      <w:szCs w:val="21"/>
                      <w:highlight w:val="none"/>
                      <w:lang w:val="en-US" w:eastAsia="zh-CN"/>
                    </w:rPr>
                    <w:t>雨水口、</w:t>
                  </w:r>
                  <w:r>
                    <w:rPr>
                      <w:rFonts w:hint="default" w:ascii="Times New Roman" w:hAnsi="Times New Roman" w:eastAsia="仿宋" w:cs="Times New Roman"/>
                      <w:color w:val="auto"/>
                      <w:sz w:val="21"/>
                      <w:szCs w:val="21"/>
                      <w:highlight w:val="none"/>
                    </w:rPr>
                    <w:t>接管口设置标识牌。</w:t>
                  </w:r>
                </w:p>
              </w:tc>
              <w:tc>
                <w:tcPr>
                  <w:tcW w:w="944" w:type="pct"/>
                  <w:vMerge w:val="restart"/>
                  <w:tcBorders>
                    <w:tl2br w:val="nil"/>
                    <w:tr2bl w:val="nil"/>
                  </w:tcBorders>
                  <w:noWrap w:val="0"/>
                  <w:vAlign w:val="center"/>
                </w:tcPr>
                <w:p w14:paraId="2CD7626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是</w:t>
                  </w:r>
                </w:p>
              </w:tc>
            </w:tr>
            <w:tr w14:paraId="0FB502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28" w:type="pct"/>
                  <w:tcBorders>
                    <w:tl2br w:val="nil"/>
                    <w:tr2bl w:val="nil"/>
                  </w:tcBorders>
                  <w:noWrap w:val="0"/>
                  <w:vAlign w:val="center"/>
                </w:tcPr>
                <w:p w14:paraId="48B02E9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4"/>
                      <w:highlight w:val="none"/>
                      <w:lang w:eastAsia="zh-CN"/>
                    </w:rPr>
                    <w:t>第二十六条</w:t>
                  </w:r>
                </w:p>
              </w:tc>
              <w:tc>
                <w:tcPr>
                  <w:tcW w:w="1985" w:type="pct"/>
                  <w:tcBorders>
                    <w:tl2br w:val="nil"/>
                    <w:tr2bl w:val="nil"/>
                  </w:tcBorders>
                  <w:noWrap w:val="0"/>
                  <w:vAlign w:val="center"/>
                </w:tcPr>
                <w:p w14:paraId="0FD04EFC">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向污水集中处理设施排放工业废水的，应当按照国家和省有关规定进行预处理，符合国家、省有关标准和污水集中处理设施的接纳要求。污水集中处理设施尾水，可以采取生态净化等方式处理后排放。</w:t>
                  </w:r>
                </w:p>
                <w:p w14:paraId="4358CFAB">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t>实行工业废水与生活污水分质处理，对不符合城镇污水集中处理设施接纳要求的工业废水，限期退出城镇污水管网。</w:t>
                  </w:r>
                </w:p>
              </w:tc>
              <w:tc>
                <w:tcPr>
                  <w:tcW w:w="1342" w:type="pct"/>
                  <w:vMerge w:val="continue"/>
                  <w:tcBorders>
                    <w:tl2br w:val="nil"/>
                    <w:tr2bl w:val="nil"/>
                  </w:tcBorders>
                  <w:noWrap w:val="0"/>
                  <w:vAlign w:val="center"/>
                </w:tcPr>
                <w:p w14:paraId="0AC3D6A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944" w:type="pct"/>
                  <w:vMerge w:val="continue"/>
                  <w:tcBorders>
                    <w:tl2br w:val="nil"/>
                    <w:tr2bl w:val="nil"/>
                  </w:tcBorders>
                  <w:noWrap w:val="0"/>
                  <w:vAlign w:val="center"/>
                </w:tcPr>
                <w:p w14:paraId="5DE8EB8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r>
            <w:tr w14:paraId="7234EF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28" w:type="pct"/>
                  <w:tcBorders>
                    <w:tl2br w:val="nil"/>
                    <w:tr2bl w:val="nil"/>
                  </w:tcBorders>
                  <w:noWrap w:val="0"/>
                  <w:vAlign w:val="center"/>
                </w:tcPr>
                <w:p w14:paraId="05E6689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4"/>
                      <w:highlight w:val="none"/>
                      <w:lang w:eastAsia="zh-CN"/>
                    </w:rPr>
                    <w:t>第二十九条</w:t>
                  </w:r>
                </w:p>
              </w:tc>
              <w:tc>
                <w:tcPr>
                  <w:tcW w:w="1985" w:type="pct"/>
                  <w:tcBorders>
                    <w:tl2br w:val="nil"/>
                    <w:tr2bl w:val="nil"/>
                  </w:tcBorders>
                  <w:noWrap w:val="0"/>
                  <w:vAlign w:val="center"/>
                </w:tcPr>
                <w:p w14:paraId="39E052DA">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排放工业废水的工业企业应当逐步实行雨污分流、清污分流。化工、电镀等企业应当将初期雨水收集处理，不得直接排放。</w:t>
                  </w:r>
                </w:p>
                <w:p w14:paraId="21E110D1">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t>实施雨污分流、清污分流的工业企业应当按照有关规定标识雨水管、清下水管、污水管的走向，在雨水、污水排放口或者接管口设置标识牌。</w:t>
                  </w:r>
                </w:p>
              </w:tc>
              <w:tc>
                <w:tcPr>
                  <w:tcW w:w="1342" w:type="pct"/>
                  <w:vMerge w:val="continue"/>
                  <w:tcBorders>
                    <w:tl2br w:val="nil"/>
                    <w:tr2bl w:val="nil"/>
                  </w:tcBorders>
                  <w:noWrap w:val="0"/>
                  <w:vAlign w:val="center"/>
                </w:tcPr>
                <w:p w14:paraId="03EB717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944" w:type="pct"/>
                  <w:vMerge w:val="continue"/>
                  <w:tcBorders>
                    <w:tl2br w:val="nil"/>
                    <w:tr2bl w:val="nil"/>
                  </w:tcBorders>
                  <w:noWrap w:val="0"/>
                  <w:vAlign w:val="center"/>
                </w:tcPr>
                <w:p w14:paraId="5232D0E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r>
          </w:tbl>
          <w:p w14:paraId="298D325E">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jc w:val="both"/>
              <w:rPr>
                <w:rFonts w:hint="default" w:ascii="Times New Roman" w:hAnsi="Times New Roman" w:eastAsia="宋体" w:cs="Times New Roman"/>
                <w:b/>
                <w:color w:val="auto"/>
                <w:sz w:val="21"/>
                <w:szCs w:val="24"/>
                <w:highlight w:val="none"/>
              </w:rPr>
            </w:pPr>
            <w:r>
              <w:rPr>
                <w:rFonts w:hint="default" w:ascii="Times New Roman" w:hAnsi="Times New Roman" w:eastAsia="宋体" w:cs="Times New Roman"/>
                <w:b/>
                <w:bCs/>
                <w:color w:val="auto"/>
                <w:highlight w:val="none"/>
                <w:lang w:val="en-US" w:eastAsia="zh-CN"/>
              </w:rPr>
              <w:t>④与</w:t>
            </w:r>
            <w:r>
              <w:rPr>
                <w:rFonts w:hint="default" w:ascii="Times New Roman" w:hAnsi="Times New Roman" w:cs="Times New Roman"/>
                <w:b/>
                <w:bCs w:val="0"/>
                <w:color w:val="auto"/>
                <w:szCs w:val="21"/>
                <w:lang w:val="en-US" w:eastAsia="zh-CN"/>
              </w:rPr>
              <w:t>国家发展改革委等部门《关于印发太湖流域水环境综合治理总体方案的通知》（发改地区[2022]959号）的</w:t>
            </w:r>
            <w:r>
              <w:rPr>
                <w:rFonts w:hint="default" w:ascii="Times New Roman" w:hAnsi="Times New Roman" w:eastAsia="宋体" w:cs="Times New Roman"/>
                <w:b/>
                <w:color w:val="auto"/>
                <w:sz w:val="21"/>
                <w:szCs w:val="24"/>
                <w:highlight w:val="none"/>
                <w:lang w:eastAsia="zh-CN"/>
              </w:rPr>
              <w:t>对照</w:t>
            </w:r>
            <w:r>
              <w:rPr>
                <w:rFonts w:hint="default" w:ascii="Times New Roman" w:hAnsi="Times New Roman" w:eastAsia="宋体" w:cs="Times New Roman"/>
                <w:b/>
                <w:color w:val="auto"/>
                <w:sz w:val="21"/>
                <w:szCs w:val="24"/>
                <w:highlight w:val="none"/>
              </w:rPr>
              <w:t>分析</w:t>
            </w:r>
          </w:p>
          <w:p w14:paraId="0FE43B1B">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color w:val="auto"/>
                <w:kern w:val="0"/>
                <w:sz w:val="21"/>
                <w:szCs w:val="21"/>
              </w:rPr>
              <w:t>表1-</w:t>
            </w:r>
            <w:r>
              <w:rPr>
                <w:rFonts w:hint="eastAsia" w:cs="Times New Roman"/>
                <w:b/>
                <w:color w:val="auto"/>
                <w:kern w:val="0"/>
                <w:sz w:val="21"/>
                <w:szCs w:val="21"/>
                <w:lang w:val="en-US" w:eastAsia="zh-CN"/>
              </w:rPr>
              <w:t>9</w:t>
            </w:r>
            <w:r>
              <w:rPr>
                <w:rFonts w:hint="default" w:ascii="Times New Roman" w:hAnsi="Times New Roman" w:eastAsia="宋体" w:cs="Times New Roman"/>
                <w:b/>
                <w:color w:val="auto"/>
                <w:kern w:val="0"/>
                <w:sz w:val="21"/>
                <w:szCs w:val="21"/>
              </w:rPr>
              <w:t xml:space="preserve">  </w:t>
            </w:r>
            <w:r>
              <w:rPr>
                <w:rFonts w:hint="default" w:ascii="Times New Roman" w:hAnsi="Times New Roman" w:eastAsia="宋体" w:cs="Times New Roman"/>
                <w:b/>
                <w:color w:val="auto"/>
                <w:kern w:val="0"/>
                <w:sz w:val="21"/>
                <w:szCs w:val="21"/>
                <w:lang w:val="en-US" w:eastAsia="zh-CN"/>
              </w:rPr>
              <w:t>国家发展改革委等部门《关于印发太湖流域水环境综合治理总体方案的通知》（发改地区[2022]959号）</w:t>
            </w:r>
            <w:r>
              <w:rPr>
                <w:rFonts w:hint="default" w:ascii="Times New Roman" w:hAnsi="Times New Roman" w:eastAsia="宋体" w:cs="Times New Roman"/>
                <w:b/>
                <w:color w:val="auto"/>
                <w:kern w:val="0"/>
                <w:sz w:val="21"/>
                <w:szCs w:val="21"/>
              </w:rPr>
              <w:t>分析</w:t>
            </w:r>
            <w:r>
              <w:rPr>
                <w:rFonts w:hint="default" w:ascii="Times New Roman" w:hAnsi="Times New Roman" w:cs="Times New Roman"/>
                <w:b/>
                <w:color w:val="auto"/>
                <w:kern w:val="0"/>
                <w:sz w:val="21"/>
                <w:szCs w:val="21"/>
                <w:lang w:val="en-US" w:eastAsia="zh-CN"/>
              </w:rPr>
              <w:t>判定对照表</w:t>
            </w:r>
          </w:p>
          <w:tbl>
            <w:tblPr>
              <w:tblStyle w:val="28"/>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64"/>
              <w:gridCol w:w="3314"/>
              <w:gridCol w:w="2413"/>
              <w:gridCol w:w="1697"/>
            </w:tblGrid>
            <w:tr w14:paraId="51DF56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713" w:type="pct"/>
                  <w:gridSpan w:val="2"/>
                  <w:tcBorders>
                    <w:tl2br w:val="nil"/>
                    <w:tr2bl w:val="nil"/>
                  </w:tcBorders>
                  <w:noWrap w:val="0"/>
                  <w:vAlign w:val="center"/>
                </w:tcPr>
                <w:p w14:paraId="1A0B856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相关要求</w:t>
                  </w:r>
                </w:p>
              </w:tc>
              <w:tc>
                <w:tcPr>
                  <w:tcW w:w="1342" w:type="pct"/>
                  <w:tcBorders>
                    <w:tl2br w:val="nil"/>
                    <w:tr2bl w:val="nil"/>
                  </w:tcBorders>
                  <w:noWrap w:val="0"/>
                  <w:vAlign w:val="center"/>
                </w:tcPr>
                <w:p w14:paraId="09C5222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对照分析</w:t>
                  </w:r>
                </w:p>
              </w:tc>
              <w:tc>
                <w:tcPr>
                  <w:tcW w:w="944" w:type="pct"/>
                  <w:tcBorders>
                    <w:tl2br w:val="nil"/>
                    <w:tr2bl w:val="nil"/>
                  </w:tcBorders>
                  <w:noWrap w:val="0"/>
                  <w:vAlign w:val="center"/>
                </w:tcPr>
                <w:p w14:paraId="4D135EE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是否满足要求</w:t>
                  </w:r>
                </w:p>
              </w:tc>
            </w:tr>
            <w:tr w14:paraId="6B9360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870" w:type="pct"/>
                  <w:tcBorders>
                    <w:tl2br w:val="nil"/>
                    <w:tr2bl w:val="nil"/>
                  </w:tcBorders>
                  <w:noWrap w:val="0"/>
                  <w:vAlign w:val="center"/>
                </w:tcPr>
                <w:p w14:paraId="2AD42A9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4"/>
                      <w:highlight w:val="none"/>
                      <w:lang w:eastAsia="zh-CN"/>
                    </w:rPr>
                  </w:pPr>
                  <w:r>
                    <w:rPr>
                      <w:rFonts w:hint="default" w:ascii="Times New Roman" w:hAnsi="Times New Roman" w:eastAsia="仿宋" w:cs="Times New Roman"/>
                      <w:color w:val="auto"/>
                      <w:sz w:val="21"/>
                      <w:szCs w:val="24"/>
                      <w:highlight w:val="none"/>
                      <w:lang w:eastAsia="zh-CN"/>
                    </w:rPr>
                    <w:t>第三章 第一节 深化工业污染治理</w:t>
                  </w:r>
                </w:p>
              </w:tc>
              <w:tc>
                <w:tcPr>
                  <w:tcW w:w="1843" w:type="pct"/>
                  <w:tcBorders>
                    <w:tl2br w:val="nil"/>
                    <w:tr2bl w:val="nil"/>
                  </w:tcBorders>
                  <w:noWrap w:val="0"/>
                  <w:vAlign w:val="center"/>
                </w:tcPr>
                <w:p w14:paraId="515C7D0B">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4"/>
                      <w:highlight w:val="none"/>
                      <w:lang w:eastAsia="zh-CN"/>
                    </w:rPr>
                  </w:pPr>
                  <w:r>
                    <w:rPr>
                      <w:rFonts w:hint="default" w:ascii="Times New Roman" w:hAnsi="Times New Roman" w:eastAsia="仿宋" w:cs="Times New Roman"/>
                      <w:color w:val="auto"/>
                      <w:sz w:val="21"/>
                      <w:szCs w:val="24"/>
                      <w:highlight w:val="none"/>
                      <w:lang w:eastAsia="zh-CN"/>
                    </w:rPr>
                    <w:t>督促企业依法持证排污、按证排污，严格落实总磷许可排放浓度和许可排放量要求。持续强化涉水行业污染整治，基于水生态环境质量改善需要，大力推进印染、化工、造纸、钢铁、电镀、食品</w:t>
                  </w:r>
                  <w:r>
                    <w:rPr>
                      <w:rFonts w:hint="eastAsia" w:eastAsia="仿宋" w:cs="Times New Roman"/>
                      <w:color w:val="auto"/>
                      <w:sz w:val="21"/>
                      <w:szCs w:val="24"/>
                      <w:highlight w:val="none"/>
                      <w:lang w:eastAsia="zh-CN"/>
                    </w:rPr>
                    <w:t>（</w:t>
                  </w:r>
                  <w:r>
                    <w:rPr>
                      <w:rFonts w:hint="default" w:ascii="Times New Roman" w:hAnsi="Times New Roman" w:eastAsia="仿宋" w:cs="Times New Roman"/>
                      <w:color w:val="auto"/>
                      <w:sz w:val="21"/>
                      <w:szCs w:val="24"/>
                      <w:highlight w:val="none"/>
                      <w:lang w:eastAsia="zh-CN"/>
                    </w:rPr>
                    <w:t>啤酒、味精</w:t>
                  </w:r>
                  <w:r>
                    <w:rPr>
                      <w:rFonts w:hint="eastAsia" w:eastAsia="仿宋" w:cs="Times New Roman"/>
                      <w:color w:val="auto"/>
                      <w:sz w:val="21"/>
                      <w:szCs w:val="24"/>
                      <w:highlight w:val="none"/>
                      <w:lang w:eastAsia="zh-CN"/>
                    </w:rPr>
                    <w:t>）</w:t>
                  </w:r>
                  <w:r>
                    <w:rPr>
                      <w:rFonts w:hint="default" w:ascii="Times New Roman" w:hAnsi="Times New Roman" w:eastAsia="仿宋" w:cs="Times New Roman"/>
                      <w:color w:val="auto"/>
                      <w:sz w:val="21"/>
                      <w:szCs w:val="24"/>
                      <w:highlight w:val="none"/>
                      <w:lang w:eastAsia="zh-CN"/>
                    </w:rPr>
                    <w:t>等重点行业企业废水深度处理。实施工业园区限值限量管理，全面推进工业园区污水管网排查整治和污水收集处理设施建设，加快实施管网混错接改造、管网更新、破损修复改造等，依法推动园区生产废水应纳尽纳。推进化工园区雨污分流改造和初期雨水收集处理，鼓励有条件的园区实施化工企业废水分类收集、分质处理、一企一管、明管输送、实时监测。</w:t>
                  </w:r>
                </w:p>
              </w:tc>
              <w:tc>
                <w:tcPr>
                  <w:tcW w:w="1342" w:type="pct"/>
                  <w:tcBorders>
                    <w:tl2br w:val="nil"/>
                    <w:tr2bl w:val="nil"/>
                  </w:tcBorders>
                  <w:noWrap w:val="0"/>
                  <w:vAlign w:val="center"/>
                </w:tcPr>
                <w:p w14:paraId="29F377CE">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本项目无生产废水产生及排放，生活污水经厂区污水</w:t>
                  </w:r>
                  <w:r>
                    <w:rPr>
                      <w:rFonts w:hint="eastAsia" w:eastAsia="仿宋" w:cs="Times New Roman"/>
                      <w:color w:val="auto"/>
                      <w:sz w:val="21"/>
                      <w:szCs w:val="21"/>
                      <w:highlight w:val="none"/>
                      <w:lang w:val="en-US" w:eastAsia="zh-CN"/>
                    </w:rPr>
                    <w:t>管网接</w:t>
                  </w:r>
                  <w:r>
                    <w:rPr>
                      <w:rFonts w:hint="default" w:ascii="Times New Roman" w:hAnsi="Times New Roman" w:eastAsia="仿宋" w:cs="Times New Roman"/>
                      <w:color w:val="auto"/>
                      <w:sz w:val="21"/>
                      <w:szCs w:val="21"/>
                      <w:highlight w:val="none"/>
                      <w:lang w:val="en-US" w:eastAsia="zh-CN"/>
                    </w:rPr>
                    <w:t>入市政管网进入</w:t>
                  </w:r>
                  <w:r>
                    <w:rPr>
                      <w:rFonts w:hint="eastAsia" w:eastAsia="仿宋" w:cs="Times New Roman"/>
                      <w:color w:val="auto"/>
                      <w:sz w:val="21"/>
                      <w:szCs w:val="21"/>
                      <w:highlight w:val="none"/>
                      <w:lang w:val="en-US" w:eastAsia="zh-CN"/>
                    </w:rPr>
                    <w:t>金坛区朱林镇三星村李巷农村生活污水处理站</w:t>
                  </w:r>
                  <w:r>
                    <w:rPr>
                      <w:rFonts w:hint="default" w:ascii="Times New Roman" w:hAnsi="Times New Roman" w:eastAsia="仿宋" w:cs="Times New Roman"/>
                      <w:color w:val="auto"/>
                      <w:sz w:val="21"/>
                      <w:szCs w:val="21"/>
                      <w:highlight w:val="none"/>
                      <w:lang w:val="en-US" w:eastAsia="zh-CN"/>
                    </w:rPr>
                    <w:t>集中处理。</w:t>
                  </w:r>
                </w:p>
              </w:tc>
              <w:tc>
                <w:tcPr>
                  <w:tcW w:w="944" w:type="pct"/>
                  <w:tcBorders>
                    <w:tl2br w:val="nil"/>
                    <w:tr2bl w:val="nil"/>
                  </w:tcBorders>
                  <w:noWrap w:val="0"/>
                  <w:vAlign w:val="center"/>
                </w:tcPr>
                <w:p w14:paraId="38A43C3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是</w:t>
                  </w:r>
                </w:p>
              </w:tc>
            </w:tr>
            <w:tr w14:paraId="41E723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870" w:type="pct"/>
                  <w:tcBorders>
                    <w:tl2br w:val="nil"/>
                    <w:tr2bl w:val="nil"/>
                  </w:tcBorders>
                  <w:noWrap w:val="0"/>
                  <w:vAlign w:val="center"/>
                </w:tcPr>
                <w:p w14:paraId="2588F20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4"/>
                      <w:highlight w:val="none"/>
                      <w:lang w:eastAsia="zh-CN"/>
                    </w:rPr>
                  </w:pPr>
                  <w:r>
                    <w:rPr>
                      <w:rFonts w:hint="default" w:ascii="Times New Roman" w:hAnsi="Times New Roman" w:eastAsia="仿宋" w:cs="Times New Roman"/>
                      <w:color w:val="auto"/>
                      <w:sz w:val="21"/>
                      <w:szCs w:val="24"/>
                      <w:highlight w:val="none"/>
                      <w:lang w:eastAsia="zh-CN"/>
                    </w:rPr>
                    <w:t>第六章 第一节 引导产业合理布局</w:t>
                  </w:r>
                </w:p>
              </w:tc>
              <w:tc>
                <w:tcPr>
                  <w:tcW w:w="1843" w:type="pct"/>
                  <w:tcBorders>
                    <w:tl2br w:val="nil"/>
                    <w:tr2bl w:val="nil"/>
                  </w:tcBorders>
                  <w:noWrap w:val="0"/>
                  <w:vAlign w:val="center"/>
                </w:tcPr>
                <w:p w14:paraId="4257C395">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4"/>
                      <w:highlight w:val="none"/>
                      <w:lang w:eastAsia="zh-CN"/>
                    </w:rPr>
                  </w:pPr>
                  <w:r>
                    <w:rPr>
                      <w:rFonts w:hint="default" w:ascii="Times New Roman" w:hAnsi="Times New Roman" w:eastAsia="仿宋" w:cs="Times New Roman"/>
                      <w:color w:val="auto"/>
                      <w:sz w:val="21"/>
                      <w:szCs w:val="24"/>
                      <w:highlight w:val="none"/>
                      <w:lang w:eastAsia="zh-CN"/>
                    </w:rPr>
                    <w:t>严禁落地国家和本地产业结构调整目录明确的限制类、淘汰类工艺、装备、产品与项目，依法推动污染企业退出。继续推进城市建成区内造纸、印染、化工等污染较重企业有序搬迁改造或依法关闭，推动环太湖生态环境敏感区内不符合产业发展政策、存在重大安全隐患且不具备整治条件的企业依法关闭或搬迁至合规工业园。推进太湖流域等重要饮用水水源地300米范围内重点排污企业逐步退出。除战略性新兴产业项目外，太湖流域原则上不再审批其他生产性新增氮磷污染物的工业类建设项目。</w:t>
                  </w:r>
                </w:p>
                <w:p w14:paraId="5E460151">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4"/>
                      <w:highlight w:val="none"/>
                      <w:lang w:eastAsia="zh-CN"/>
                    </w:rPr>
                  </w:pPr>
                  <w:r>
                    <w:rPr>
                      <w:rFonts w:hint="default" w:ascii="Times New Roman" w:hAnsi="Times New Roman" w:eastAsia="仿宋" w:cs="Times New Roman"/>
                      <w:color w:val="auto"/>
                      <w:sz w:val="21"/>
                      <w:szCs w:val="24"/>
                      <w:highlight w:val="none"/>
                      <w:lang w:eastAsia="zh-CN"/>
                    </w:rPr>
                    <w:t>环太湖地区重点布局总部经济、研发设计、高端制造、销售等产业链环节，大力发展创新经济、服务经济、绿色经济，打造具有全球竞争力的产业创新高地。全面拓展沿太湖科技研发创新带，高水平规划建设太湖科学城、“两湖”创新区。引进产业应符合“三线一单”管控要求、相关规划和环境影响评价要求，符合区域主导生态功能，鼓励工业企业项目采用国际国内行业先进的生产工艺与装备，提高污染物排放控制水平。</w:t>
                  </w:r>
                </w:p>
              </w:tc>
              <w:tc>
                <w:tcPr>
                  <w:tcW w:w="1342" w:type="pct"/>
                  <w:tcBorders>
                    <w:tl2br w:val="nil"/>
                    <w:tr2bl w:val="nil"/>
                  </w:tcBorders>
                  <w:noWrap w:val="0"/>
                  <w:vAlign w:val="center"/>
                </w:tcPr>
                <w:p w14:paraId="6307BBAB">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本项目从事</w:t>
                  </w:r>
                  <w:r>
                    <w:rPr>
                      <w:rFonts w:hint="eastAsia" w:eastAsia="仿宋" w:cs="Times New Roman"/>
                      <w:color w:val="auto"/>
                      <w:sz w:val="21"/>
                      <w:szCs w:val="21"/>
                      <w:highlight w:val="none"/>
                      <w:lang w:val="en-US" w:eastAsia="zh-CN"/>
                    </w:rPr>
                    <w:t>橡胶辊轮制造</w:t>
                  </w:r>
                  <w:r>
                    <w:rPr>
                      <w:rFonts w:hint="default" w:ascii="Times New Roman" w:hAnsi="Times New Roman" w:eastAsia="仿宋" w:cs="Times New Roman"/>
                      <w:color w:val="auto"/>
                      <w:sz w:val="21"/>
                      <w:szCs w:val="21"/>
                      <w:highlight w:val="none"/>
                    </w:rPr>
                    <w:t>，</w:t>
                  </w:r>
                  <w:r>
                    <w:rPr>
                      <w:rFonts w:hint="eastAsia" w:eastAsia="仿宋" w:cs="Times New Roman"/>
                      <w:color w:val="auto"/>
                      <w:sz w:val="21"/>
                      <w:szCs w:val="21"/>
                      <w:highlight w:val="none"/>
                      <w:lang w:val="en-US" w:eastAsia="zh-CN"/>
                    </w:rPr>
                    <w:t>不属于限制、淘汰类项目</w:t>
                  </w:r>
                  <w:r>
                    <w:rPr>
                      <w:rFonts w:hint="default" w:ascii="Times New Roman" w:hAnsi="Times New Roman" w:eastAsia="仿宋" w:cs="Times New Roman"/>
                      <w:color w:val="auto"/>
                      <w:sz w:val="21"/>
                      <w:szCs w:val="21"/>
                      <w:highlight w:val="none"/>
                      <w:lang w:eastAsia="zh-CN"/>
                    </w:rPr>
                    <w:t>。</w:t>
                  </w:r>
                </w:p>
              </w:tc>
              <w:tc>
                <w:tcPr>
                  <w:tcW w:w="944" w:type="pct"/>
                  <w:tcBorders>
                    <w:tl2br w:val="nil"/>
                    <w:tr2bl w:val="nil"/>
                  </w:tcBorders>
                  <w:noWrap w:val="0"/>
                  <w:vAlign w:val="center"/>
                </w:tcPr>
                <w:p w14:paraId="7B24C98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是</w:t>
                  </w:r>
                </w:p>
              </w:tc>
            </w:tr>
          </w:tbl>
          <w:p w14:paraId="48D81895">
            <w:pPr>
              <w:keepNext/>
              <w:keepLines w:val="0"/>
              <w:widowControl w:val="0"/>
              <w:suppressLineNumbers w:val="0"/>
              <w:adjustRightInd w:val="0"/>
              <w:snapToGrid w:val="0"/>
              <w:spacing w:before="0" w:beforeAutospacing="0" w:after="0" w:afterAutospacing="0" w:line="360" w:lineRule="auto"/>
              <w:ind w:left="0" w:right="0" w:firstLine="422" w:firstLineChars="200"/>
              <w:jc w:val="both"/>
              <w:outlineLvl w:val="2"/>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⑤与《常州市水生态环境保护条例》（2022年制定）的对照分析</w:t>
            </w:r>
          </w:p>
          <w:p w14:paraId="39046C8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b/>
                <w:color w:val="auto"/>
                <w:kern w:val="0"/>
                <w:sz w:val="21"/>
                <w:szCs w:val="21"/>
              </w:rPr>
              <w:t>表1-</w:t>
            </w:r>
            <w:r>
              <w:rPr>
                <w:rFonts w:hint="eastAsia" w:cs="Times New Roman"/>
                <w:b/>
                <w:color w:val="auto"/>
                <w:kern w:val="0"/>
                <w:sz w:val="21"/>
                <w:szCs w:val="21"/>
                <w:lang w:val="en-US" w:eastAsia="zh-CN"/>
              </w:rPr>
              <w:t>10</w:t>
            </w:r>
            <w:r>
              <w:rPr>
                <w:rFonts w:hint="default" w:ascii="Times New Roman" w:hAnsi="Times New Roman" w:eastAsia="宋体" w:cs="Times New Roman"/>
                <w:b/>
                <w:color w:val="auto"/>
                <w:kern w:val="0"/>
                <w:sz w:val="21"/>
                <w:szCs w:val="21"/>
              </w:rPr>
              <w:t xml:space="preserve">  </w:t>
            </w:r>
            <w:r>
              <w:rPr>
                <w:rFonts w:hint="eastAsia" w:ascii="Times New Roman" w:hAnsi="Times New Roman" w:eastAsia="宋体" w:cs="Times New Roman"/>
                <w:b/>
                <w:color w:val="auto"/>
                <w:kern w:val="0"/>
                <w:sz w:val="21"/>
                <w:szCs w:val="21"/>
                <w:highlight w:val="none"/>
                <w:lang w:val="en-US" w:eastAsia="zh-CN" w:bidi="ar-SA"/>
              </w:rPr>
              <w:t>《常州市水生态环境保护条例》（2022年制定）</w:t>
            </w:r>
            <w:r>
              <w:rPr>
                <w:rFonts w:hint="default" w:ascii="Times New Roman" w:hAnsi="Times New Roman" w:eastAsia="宋体" w:cs="Times New Roman"/>
                <w:b/>
                <w:color w:val="auto"/>
                <w:kern w:val="0"/>
                <w:sz w:val="21"/>
                <w:szCs w:val="21"/>
              </w:rPr>
              <w:t>分析</w:t>
            </w:r>
            <w:r>
              <w:rPr>
                <w:rFonts w:hint="eastAsia" w:cs="Times New Roman"/>
                <w:b/>
                <w:color w:val="auto"/>
                <w:kern w:val="0"/>
                <w:sz w:val="21"/>
                <w:szCs w:val="21"/>
                <w:lang w:val="en-US" w:eastAsia="zh-CN"/>
              </w:rPr>
              <w:t>判定对照表</w:t>
            </w:r>
          </w:p>
          <w:tbl>
            <w:tblPr>
              <w:tblStyle w:val="28"/>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64"/>
              <w:gridCol w:w="3314"/>
              <w:gridCol w:w="2413"/>
              <w:gridCol w:w="1697"/>
            </w:tblGrid>
            <w:tr w14:paraId="1CACB3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trPr>
              <w:tc>
                <w:tcPr>
                  <w:tcW w:w="2713" w:type="pct"/>
                  <w:gridSpan w:val="2"/>
                  <w:tcBorders>
                    <w:tl2br w:val="nil"/>
                    <w:tr2bl w:val="nil"/>
                  </w:tcBorders>
                  <w:noWrap w:val="0"/>
                  <w:vAlign w:val="center"/>
                </w:tcPr>
                <w:p w14:paraId="1810CAB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相关要求</w:t>
                  </w:r>
                </w:p>
              </w:tc>
              <w:tc>
                <w:tcPr>
                  <w:tcW w:w="1342" w:type="pct"/>
                  <w:tcBorders>
                    <w:tl2br w:val="nil"/>
                    <w:tr2bl w:val="nil"/>
                  </w:tcBorders>
                  <w:noWrap w:val="0"/>
                  <w:vAlign w:val="center"/>
                </w:tcPr>
                <w:p w14:paraId="2BDFBFE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对照分析</w:t>
                  </w:r>
                </w:p>
              </w:tc>
              <w:tc>
                <w:tcPr>
                  <w:tcW w:w="944" w:type="pct"/>
                  <w:tcBorders>
                    <w:tl2br w:val="nil"/>
                    <w:tr2bl w:val="nil"/>
                  </w:tcBorders>
                  <w:noWrap w:val="0"/>
                  <w:vAlign w:val="center"/>
                </w:tcPr>
                <w:p w14:paraId="1FF4B1C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是否满足要求</w:t>
                  </w:r>
                </w:p>
              </w:tc>
            </w:tr>
            <w:tr w14:paraId="7240B8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870" w:type="pct"/>
                  <w:tcBorders>
                    <w:tl2br w:val="nil"/>
                    <w:tr2bl w:val="nil"/>
                  </w:tcBorders>
                  <w:noWrap w:val="0"/>
                  <w:vAlign w:val="center"/>
                </w:tcPr>
                <w:p w14:paraId="34257FB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第二十七条</w:t>
                  </w:r>
                </w:p>
              </w:tc>
              <w:tc>
                <w:tcPr>
                  <w:tcW w:w="1843" w:type="pct"/>
                  <w:tcBorders>
                    <w:tl2br w:val="nil"/>
                    <w:tr2bl w:val="nil"/>
                  </w:tcBorders>
                  <w:noWrap w:val="0"/>
                  <w:vAlign w:val="center"/>
                </w:tcPr>
                <w:p w14:paraId="78CB204B">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市人民政府应当组织相关部门全面治理中国大运河（常州段）河道，综合整治岸线和区域环境，加强沿线城镇污水集中处理设施建设与改造，禁止新设入河排污口，逐步减少现有排污口。</w:t>
                  </w:r>
                </w:p>
                <w:p w14:paraId="5D284B6F">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自然资源和规划主管部门应当会同生态环境主管部门，加强对中国大运河（常州段）、苏南运河（常州段）及其两岸的生态空间管控，提升城市空间品质，改善生态宜居环境。</w:t>
                  </w:r>
                </w:p>
              </w:tc>
              <w:tc>
                <w:tcPr>
                  <w:tcW w:w="1342" w:type="pct"/>
                  <w:vMerge w:val="restart"/>
                  <w:tcBorders>
                    <w:tl2br w:val="nil"/>
                    <w:tr2bl w:val="nil"/>
                  </w:tcBorders>
                  <w:noWrap w:val="0"/>
                  <w:vAlign w:val="center"/>
                </w:tcPr>
                <w:p w14:paraId="1C82CF3D">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r>
                    <w:rPr>
                      <w:rFonts w:hint="eastAsia" w:ascii="Times New Roman" w:hAnsi="Times New Roman" w:eastAsia="仿宋" w:cs="Times New Roman"/>
                      <w:color w:val="auto"/>
                      <w:sz w:val="21"/>
                      <w:szCs w:val="21"/>
                      <w:highlight w:val="none"/>
                      <w:lang w:val="en-US" w:eastAsia="zh-CN"/>
                    </w:rPr>
                    <w:t>本项目无生产废水产生及排放，</w:t>
                  </w:r>
                  <w:r>
                    <w:rPr>
                      <w:rFonts w:hint="default" w:ascii="Times New Roman" w:hAnsi="Times New Roman" w:eastAsia="仿宋" w:cs="Times New Roman"/>
                      <w:color w:val="auto"/>
                      <w:sz w:val="21"/>
                      <w:szCs w:val="21"/>
                      <w:highlight w:val="none"/>
                    </w:rPr>
                    <w:t>厂区内已实行</w:t>
                  </w:r>
                  <w:r>
                    <w:rPr>
                      <w:rFonts w:hint="eastAsia"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雨污分流、清污分流</w:t>
                  </w:r>
                  <w:r>
                    <w:rPr>
                      <w:rFonts w:hint="eastAsia" w:ascii="Times New Roman" w:hAnsi="Times New Roman" w:eastAsia="仿宋" w:cs="Times New Roman"/>
                      <w:color w:val="auto"/>
                      <w:sz w:val="21"/>
                      <w:szCs w:val="21"/>
                      <w:highlight w:val="none"/>
                      <w:lang w:eastAsia="zh-CN"/>
                    </w:rPr>
                    <w:t>”，</w:t>
                  </w:r>
                  <w:r>
                    <w:rPr>
                      <w:rFonts w:hint="eastAsia" w:ascii="Times New Roman" w:hAnsi="Times New Roman" w:eastAsia="仿宋" w:cs="Times New Roman"/>
                      <w:color w:val="auto"/>
                      <w:sz w:val="21"/>
                      <w:szCs w:val="21"/>
                      <w:highlight w:val="none"/>
                      <w:lang w:val="en-US" w:eastAsia="zh-CN"/>
                    </w:rPr>
                    <w:t>生活污水经厂区污水</w:t>
                  </w:r>
                  <w:r>
                    <w:rPr>
                      <w:rFonts w:hint="eastAsia" w:eastAsia="仿宋" w:cs="Times New Roman"/>
                      <w:color w:val="auto"/>
                      <w:sz w:val="21"/>
                      <w:szCs w:val="21"/>
                      <w:highlight w:val="none"/>
                      <w:lang w:val="en-US" w:eastAsia="zh-CN"/>
                    </w:rPr>
                    <w:t>管网接</w:t>
                  </w:r>
                  <w:r>
                    <w:rPr>
                      <w:rFonts w:hint="eastAsia" w:ascii="Times New Roman" w:hAnsi="Times New Roman" w:eastAsia="仿宋" w:cs="Times New Roman"/>
                      <w:color w:val="auto"/>
                      <w:sz w:val="21"/>
                      <w:szCs w:val="21"/>
                      <w:highlight w:val="none"/>
                      <w:lang w:val="en-US" w:eastAsia="zh-CN"/>
                    </w:rPr>
                    <w:t>入市政管网进入</w:t>
                  </w:r>
                  <w:r>
                    <w:rPr>
                      <w:rFonts w:hint="eastAsia" w:eastAsia="仿宋" w:cs="Times New Roman"/>
                      <w:color w:val="auto"/>
                      <w:sz w:val="21"/>
                      <w:szCs w:val="21"/>
                      <w:highlight w:val="none"/>
                      <w:lang w:val="en-US" w:eastAsia="zh-CN"/>
                    </w:rPr>
                    <w:t>金坛区朱林镇三星村李巷农村生活污水处理站</w:t>
                  </w:r>
                  <w:r>
                    <w:rPr>
                      <w:rFonts w:hint="eastAsia" w:ascii="Times New Roman" w:hAnsi="Times New Roman" w:eastAsia="仿宋" w:cs="Times New Roman"/>
                      <w:color w:val="auto"/>
                      <w:sz w:val="21"/>
                      <w:szCs w:val="21"/>
                      <w:highlight w:val="none"/>
                      <w:lang w:val="en-US" w:eastAsia="zh-CN"/>
                    </w:rPr>
                    <w:t>集中处理，不新增排污口；本项目从事</w:t>
                  </w:r>
                  <w:r>
                    <w:rPr>
                      <w:rFonts w:hint="eastAsia" w:eastAsia="仿宋" w:cs="Times New Roman"/>
                      <w:color w:val="auto"/>
                      <w:sz w:val="21"/>
                      <w:szCs w:val="21"/>
                      <w:highlight w:val="none"/>
                      <w:lang w:val="en-US" w:eastAsia="zh-CN"/>
                    </w:rPr>
                    <w:t>橡胶辊轮制造</w:t>
                  </w:r>
                  <w:r>
                    <w:rPr>
                      <w:rFonts w:hint="eastAsia" w:ascii="Times New Roman" w:hAnsi="Times New Roman" w:eastAsia="仿宋" w:cs="Times New Roman"/>
                      <w:color w:val="auto"/>
                      <w:sz w:val="21"/>
                      <w:szCs w:val="21"/>
                      <w:highlight w:val="none"/>
                      <w:lang w:val="en-US" w:eastAsia="zh-CN"/>
                    </w:rPr>
                    <w:t>，不属于重点排污单位。</w:t>
                  </w:r>
                </w:p>
              </w:tc>
              <w:tc>
                <w:tcPr>
                  <w:tcW w:w="944" w:type="pct"/>
                  <w:vMerge w:val="restart"/>
                  <w:tcBorders>
                    <w:tl2br w:val="nil"/>
                    <w:tr2bl w:val="nil"/>
                  </w:tcBorders>
                  <w:noWrap w:val="0"/>
                  <w:vAlign w:val="center"/>
                </w:tcPr>
                <w:p w14:paraId="49800A63">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eastAsia="zh-CN"/>
                    </w:rPr>
                    <w:t>是</w:t>
                  </w:r>
                </w:p>
              </w:tc>
            </w:tr>
            <w:tr w14:paraId="43BB2B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870" w:type="pct"/>
                  <w:tcBorders>
                    <w:tl2br w:val="nil"/>
                    <w:tr2bl w:val="nil"/>
                  </w:tcBorders>
                  <w:noWrap w:val="0"/>
                  <w:vAlign w:val="center"/>
                </w:tcPr>
                <w:p w14:paraId="07C66CF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第三十三条</w:t>
                  </w:r>
                </w:p>
              </w:tc>
              <w:tc>
                <w:tcPr>
                  <w:tcW w:w="1843" w:type="pct"/>
                  <w:tcBorders>
                    <w:tl2br w:val="nil"/>
                    <w:tr2bl w:val="nil"/>
                  </w:tcBorders>
                  <w:noWrap w:val="0"/>
                  <w:vAlign w:val="center"/>
                </w:tcPr>
                <w:p w14:paraId="7CEF8869">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本市实行化学需氧量、氨氮、总磷、总氮等重点水污染物排放总量控制制度。</w:t>
                  </w:r>
                </w:p>
                <w:p w14:paraId="0AFD209B">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市人民政府应当组织生态环境等部门根据省下达的重点水污染物排放总量控制指标，结合本市水生态环境质量改善目标，制定并实施重点水污染物排放总量控制指标的分解方案和削减计划。</w:t>
                  </w:r>
                </w:p>
                <w:p w14:paraId="7E2BD57C">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县级市（区）水环境质量未达到国家或者地方环境质量标准，或者超过重点水污染物排放总量控制指标的，县级市（区）人民政府应当提出并落实区域削减方案。</w:t>
                  </w:r>
                </w:p>
                <w:p w14:paraId="2D0674EA">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县级市（区）人民政府未提出或者未落实区域削减方案的，市生态环境主管部门应当视情采取通报、约谈等措施。通报、约谈情况向社会公开。</w:t>
                  </w:r>
                </w:p>
              </w:tc>
              <w:tc>
                <w:tcPr>
                  <w:tcW w:w="1342" w:type="pct"/>
                  <w:vMerge w:val="continue"/>
                  <w:tcBorders>
                    <w:tl2br w:val="nil"/>
                    <w:tr2bl w:val="nil"/>
                  </w:tcBorders>
                  <w:noWrap w:val="0"/>
                  <w:vAlign w:val="center"/>
                </w:tcPr>
                <w:p w14:paraId="5D64F47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944" w:type="pct"/>
                  <w:vMerge w:val="continue"/>
                  <w:tcBorders>
                    <w:tl2br w:val="nil"/>
                    <w:tr2bl w:val="nil"/>
                  </w:tcBorders>
                  <w:noWrap w:val="0"/>
                  <w:vAlign w:val="center"/>
                </w:tcPr>
                <w:p w14:paraId="6D5E124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r>
            <w:tr w14:paraId="4AD6F6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870" w:type="pct"/>
                  <w:tcBorders>
                    <w:tl2br w:val="nil"/>
                    <w:tr2bl w:val="nil"/>
                  </w:tcBorders>
                  <w:noWrap w:val="0"/>
                  <w:vAlign w:val="center"/>
                </w:tcPr>
                <w:p w14:paraId="4557E9D5">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4"/>
                      <w:highlight w:val="none"/>
                      <w:lang w:eastAsia="zh-CN"/>
                    </w:rPr>
                  </w:pPr>
                  <w:r>
                    <w:rPr>
                      <w:rFonts w:hint="default" w:ascii="仿宋" w:hAnsi="仿宋" w:eastAsia="仿宋" w:cs="仿宋"/>
                      <w:color w:val="auto"/>
                      <w:sz w:val="21"/>
                      <w:szCs w:val="24"/>
                      <w:highlight w:val="none"/>
                      <w:lang w:eastAsia="zh-CN"/>
                    </w:rPr>
                    <w:t>第三十四条</w:t>
                  </w:r>
                </w:p>
              </w:tc>
              <w:tc>
                <w:tcPr>
                  <w:tcW w:w="1843" w:type="pct"/>
                  <w:tcBorders>
                    <w:tl2br w:val="nil"/>
                    <w:tr2bl w:val="nil"/>
                  </w:tcBorders>
                  <w:noWrap w:val="0"/>
                  <w:vAlign w:val="center"/>
                </w:tcPr>
                <w:p w14:paraId="446D6BF4">
                  <w:pPr>
                    <w:keepNext w:val="0"/>
                    <w:keepLines w:val="0"/>
                    <w:suppressLineNumbers w:val="0"/>
                    <w:spacing w:before="0" w:beforeAutospacing="0" w:after="0" w:afterAutospacing="0"/>
                    <w:ind w:left="0" w:right="0"/>
                    <w:jc w:val="both"/>
                    <w:rPr>
                      <w:rFonts w:hint="default" w:ascii="仿宋" w:hAnsi="仿宋" w:eastAsia="仿宋" w:cs="仿宋"/>
                      <w:color w:val="auto"/>
                      <w:sz w:val="21"/>
                      <w:szCs w:val="24"/>
                      <w:highlight w:val="none"/>
                      <w:lang w:eastAsia="zh-CN"/>
                    </w:rPr>
                  </w:pPr>
                  <w:r>
                    <w:rPr>
                      <w:rFonts w:hint="default" w:ascii="仿宋" w:hAnsi="仿宋" w:eastAsia="仿宋" w:cs="仿宋"/>
                      <w:color w:val="auto"/>
                      <w:sz w:val="21"/>
                      <w:szCs w:val="24"/>
                      <w:highlight w:val="none"/>
                      <w:lang w:eastAsia="zh-CN"/>
                    </w:rPr>
                    <w:t>排放工业废水的工业企业应当实行雨污分流、清污分流，加强雨污管网检查和维护，防止遗撒物料、跑冒滴漏废水等经由雨水管网排入外环境。化工、电镀、印染、冶金、原料药制造等企业应当将初期雨水收集处理，不得直接排放。</w:t>
                  </w:r>
                </w:p>
                <w:p w14:paraId="76C473FB">
                  <w:pPr>
                    <w:keepNext w:val="0"/>
                    <w:keepLines w:val="0"/>
                    <w:suppressLineNumbers w:val="0"/>
                    <w:spacing w:before="0" w:beforeAutospacing="0" w:after="0" w:afterAutospacing="0"/>
                    <w:ind w:left="0" w:right="0"/>
                    <w:jc w:val="both"/>
                    <w:rPr>
                      <w:rFonts w:hint="default" w:ascii="仿宋" w:hAnsi="仿宋" w:eastAsia="仿宋" w:cs="仿宋"/>
                      <w:color w:val="auto"/>
                      <w:sz w:val="21"/>
                      <w:szCs w:val="24"/>
                      <w:highlight w:val="none"/>
                      <w:lang w:eastAsia="zh-CN"/>
                    </w:rPr>
                  </w:pPr>
                  <w:r>
                    <w:rPr>
                      <w:rFonts w:hint="default" w:ascii="仿宋" w:hAnsi="仿宋" w:eastAsia="仿宋" w:cs="仿宋"/>
                      <w:color w:val="auto"/>
                      <w:sz w:val="21"/>
                      <w:szCs w:val="24"/>
                      <w:highlight w:val="none"/>
                      <w:lang w:eastAsia="zh-CN"/>
                    </w:rPr>
                    <w:t>重点排污企业污水排放口应当安装自动监测设备，化工、电镀、印染、冶金、原料药制造等企业的雨水排放口应当安装在线视频监控装置，与生态环境主管部门的监控设备联网并确保正常运行。</w:t>
                  </w:r>
                </w:p>
                <w:p w14:paraId="145F92E7">
                  <w:pPr>
                    <w:keepNext w:val="0"/>
                    <w:keepLines w:val="0"/>
                    <w:suppressLineNumbers w:val="0"/>
                    <w:spacing w:before="0" w:beforeAutospacing="0" w:after="0" w:afterAutospacing="0"/>
                    <w:ind w:left="0" w:right="0"/>
                    <w:jc w:val="both"/>
                    <w:rPr>
                      <w:rFonts w:hint="default" w:ascii="仿宋" w:hAnsi="仿宋" w:eastAsia="仿宋" w:cs="仿宋"/>
                      <w:color w:val="auto"/>
                      <w:sz w:val="21"/>
                      <w:szCs w:val="24"/>
                      <w:highlight w:val="none"/>
                      <w:lang w:eastAsia="zh-CN"/>
                    </w:rPr>
                  </w:pPr>
                  <w:r>
                    <w:rPr>
                      <w:rFonts w:hint="default" w:ascii="仿宋" w:hAnsi="仿宋" w:eastAsia="仿宋" w:cs="仿宋"/>
                      <w:color w:val="auto"/>
                      <w:sz w:val="21"/>
                      <w:szCs w:val="24"/>
                      <w:highlight w:val="none"/>
                      <w:lang w:eastAsia="zh-CN"/>
                    </w:rPr>
                    <w:t>鼓励重点排污企业建立生态环境保护合规管理机制。生态环境等主管部门应当予以指导。</w:t>
                  </w:r>
                </w:p>
              </w:tc>
              <w:tc>
                <w:tcPr>
                  <w:tcW w:w="1342" w:type="pct"/>
                  <w:vMerge w:val="continue"/>
                  <w:tcBorders>
                    <w:tl2br w:val="nil"/>
                    <w:tr2bl w:val="nil"/>
                  </w:tcBorders>
                  <w:noWrap w:val="0"/>
                  <w:vAlign w:val="center"/>
                </w:tcPr>
                <w:p w14:paraId="3DA4853D">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p>
              </w:tc>
              <w:tc>
                <w:tcPr>
                  <w:tcW w:w="944" w:type="pct"/>
                  <w:vMerge w:val="continue"/>
                  <w:tcBorders>
                    <w:tl2br w:val="nil"/>
                    <w:tr2bl w:val="nil"/>
                  </w:tcBorders>
                  <w:noWrap w:val="0"/>
                  <w:vAlign w:val="center"/>
                </w:tcPr>
                <w:p w14:paraId="2D8D9B98">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eastAsia="zh-CN"/>
                    </w:rPr>
                  </w:pPr>
                </w:p>
              </w:tc>
            </w:tr>
          </w:tbl>
          <w:p w14:paraId="70EA4BB6">
            <w:pPr>
              <w:keepNext/>
              <w:keepLines w:val="0"/>
              <w:widowControl w:val="0"/>
              <w:suppressLineNumbers w:val="0"/>
              <w:adjustRightInd w:val="0"/>
              <w:snapToGrid w:val="0"/>
              <w:spacing w:before="0" w:beforeAutospacing="0" w:after="0" w:afterAutospacing="0" w:line="360" w:lineRule="auto"/>
              <w:ind w:left="0" w:right="0" w:firstLine="422" w:firstLineChars="200"/>
              <w:jc w:val="both"/>
              <w:outlineLvl w:val="2"/>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⑥</w:t>
            </w:r>
            <w:r>
              <w:rPr>
                <w:rFonts w:hint="default" w:ascii="Times New Roman" w:hAnsi="Times New Roman" w:eastAsia="宋体" w:cs="Times New Roman"/>
                <w:b/>
                <w:color w:val="auto"/>
                <w:kern w:val="0"/>
                <w:sz w:val="21"/>
                <w:szCs w:val="21"/>
                <w:highlight w:val="none"/>
                <w:lang w:val="en-US" w:eastAsia="zh-CN" w:bidi="ar-SA"/>
              </w:rPr>
              <w:t>与《江苏省大气污染防治条例》（2018修订）</w:t>
            </w:r>
            <w:r>
              <w:rPr>
                <w:rFonts w:hint="eastAsia" w:ascii="Times New Roman" w:hAnsi="Times New Roman" w:eastAsia="宋体" w:cs="Times New Roman"/>
                <w:b/>
                <w:color w:val="auto"/>
                <w:kern w:val="0"/>
                <w:sz w:val="21"/>
                <w:szCs w:val="21"/>
                <w:highlight w:val="none"/>
                <w:lang w:val="en-US" w:eastAsia="zh-CN" w:bidi="ar-SA"/>
              </w:rPr>
              <w:t>的</w:t>
            </w:r>
            <w:r>
              <w:rPr>
                <w:rFonts w:hint="default" w:ascii="Times New Roman" w:hAnsi="Times New Roman" w:eastAsia="宋体" w:cs="Times New Roman"/>
                <w:b/>
                <w:color w:val="auto"/>
                <w:kern w:val="0"/>
                <w:sz w:val="21"/>
                <w:szCs w:val="21"/>
                <w:highlight w:val="none"/>
                <w:lang w:val="en-US" w:eastAsia="zh-CN" w:bidi="ar-SA"/>
              </w:rPr>
              <w:t>对照分析</w:t>
            </w:r>
          </w:p>
          <w:p w14:paraId="23077C80">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《江苏省大气污染防治条例》（2018修订）第三十八条规定：</w:t>
            </w:r>
            <w:r>
              <w:rPr>
                <w:rFonts w:hint="eastAsia" w:ascii="Times New Roman" w:hAnsi="Times New Roman" w:eastAsia="宋体" w:cs="Times New Roman"/>
                <w:color w:val="auto"/>
                <w:sz w:val="21"/>
                <w:szCs w:val="24"/>
                <w:highlight w:val="none"/>
                <w:lang w:val="en-US" w:eastAsia="zh-CN"/>
              </w:rPr>
              <w:t>“</w:t>
            </w:r>
            <w:r>
              <w:rPr>
                <w:rFonts w:hint="default" w:ascii="Times New Roman" w:hAnsi="Times New Roman" w:eastAsia="宋体" w:cs="Times New Roman"/>
                <w:color w:val="auto"/>
                <w:sz w:val="21"/>
                <w:szCs w:val="24"/>
                <w:highlight w:val="none"/>
                <w:lang w:val="en-US" w:eastAsia="zh-CN"/>
              </w:rPr>
              <w:t>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p w14:paraId="7B1055A8">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石油、化工以及其他生产和使用有机溶剂的企业，应当建立泄漏检测与修复制度，对管道、设备进行日常维护、维修，及时收集处理泄漏物料。</w:t>
            </w:r>
            <w:r>
              <w:rPr>
                <w:rFonts w:hint="eastAsia" w:ascii="Times New Roman" w:hAnsi="Times New Roman" w:eastAsia="宋体" w:cs="Times New Roman"/>
                <w:color w:val="auto"/>
                <w:sz w:val="21"/>
                <w:szCs w:val="24"/>
                <w:highlight w:val="none"/>
                <w:lang w:val="en-US" w:eastAsia="zh-CN"/>
              </w:rPr>
              <w:t>”</w:t>
            </w:r>
          </w:p>
          <w:p w14:paraId="75B93B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本项目</w:t>
            </w:r>
            <w:r>
              <w:rPr>
                <w:rFonts w:hint="eastAsia" w:cs="Times New Roman"/>
                <w:color w:val="auto"/>
                <w:sz w:val="21"/>
                <w:szCs w:val="24"/>
                <w:highlight w:val="none"/>
                <w:lang w:val="en-US" w:eastAsia="zh-CN"/>
              </w:rPr>
              <w:t>炼胶+硫化</w:t>
            </w:r>
            <w:r>
              <w:rPr>
                <w:rFonts w:hint="eastAsia" w:ascii="Times New Roman" w:hAnsi="Times New Roman" w:eastAsia="宋体" w:cs="Times New Roman"/>
                <w:color w:val="auto"/>
                <w:sz w:val="21"/>
                <w:szCs w:val="24"/>
                <w:highlight w:val="none"/>
                <w:lang w:val="en-US" w:eastAsia="zh-CN"/>
              </w:rPr>
              <w:t>工段在</w:t>
            </w:r>
            <w:r>
              <w:rPr>
                <w:rFonts w:hint="eastAsia" w:cs="Times New Roman"/>
                <w:color w:val="auto"/>
                <w:sz w:val="21"/>
                <w:szCs w:val="24"/>
                <w:highlight w:val="none"/>
                <w:lang w:val="en-US" w:eastAsia="zh-CN"/>
              </w:rPr>
              <w:t>炼胶房</w:t>
            </w:r>
            <w:r>
              <w:rPr>
                <w:rFonts w:hint="eastAsia" w:ascii="Times New Roman" w:hAnsi="Times New Roman" w:eastAsia="宋体" w:cs="Times New Roman"/>
                <w:color w:val="auto"/>
                <w:sz w:val="21"/>
                <w:szCs w:val="24"/>
                <w:highlight w:val="none"/>
                <w:lang w:val="en-US" w:eastAsia="zh-CN"/>
              </w:rPr>
              <w:t>内进行，废气</w:t>
            </w:r>
            <w:r>
              <w:rPr>
                <w:rFonts w:hint="eastAsia" w:cs="Times New Roman"/>
                <w:b w:val="0"/>
                <w:bCs/>
                <w:color w:val="auto"/>
                <w:kern w:val="0"/>
                <w:sz w:val="21"/>
                <w:szCs w:val="21"/>
                <w:highlight w:val="none"/>
                <w:lang w:val="en-US" w:eastAsia="zh-CN" w:bidi="ar-SA"/>
              </w:rPr>
              <w:t>经密闭</w:t>
            </w:r>
            <w:r>
              <w:rPr>
                <w:rFonts w:hint="default" w:ascii="Times New Roman" w:hAnsi="Times New Roman" w:eastAsia="宋体" w:cs="Times New Roman"/>
                <w:b w:val="0"/>
                <w:bCs/>
                <w:color w:val="auto"/>
                <w:kern w:val="0"/>
                <w:sz w:val="21"/>
                <w:szCs w:val="21"/>
                <w:highlight w:val="none"/>
                <w:lang w:val="en-US" w:eastAsia="zh-CN" w:bidi="ar-SA"/>
              </w:rPr>
              <w:t>收集，减少挥发性有机物无组织排放</w:t>
            </w:r>
            <w:r>
              <w:rPr>
                <w:rFonts w:hint="default" w:ascii="Times New Roman" w:hAnsi="Times New Roman" w:eastAsia="宋体" w:cs="Times New Roman"/>
                <w:color w:val="auto"/>
                <w:sz w:val="21"/>
                <w:szCs w:val="24"/>
                <w:highlight w:val="none"/>
                <w:lang w:val="en-US" w:eastAsia="zh-CN"/>
              </w:rPr>
              <w:t>；同时，本项目</w:t>
            </w:r>
            <w:r>
              <w:rPr>
                <w:rFonts w:hint="eastAsia" w:ascii="Times New Roman" w:hAnsi="Times New Roman" w:eastAsia="宋体" w:cs="Times New Roman"/>
                <w:color w:val="auto"/>
                <w:sz w:val="21"/>
                <w:szCs w:val="24"/>
                <w:highlight w:val="none"/>
                <w:lang w:val="en-US" w:eastAsia="zh-CN"/>
              </w:rPr>
              <w:t>采用</w:t>
            </w:r>
            <w:r>
              <w:rPr>
                <w:rFonts w:hint="eastAsia" w:cs="Times New Roman"/>
                <w:color w:val="auto"/>
                <w:sz w:val="21"/>
                <w:szCs w:val="24"/>
                <w:highlight w:val="none"/>
                <w:lang w:val="en-US" w:eastAsia="zh-CN"/>
              </w:rPr>
              <w:t>“脉冲除尘+水喷淋+除雾+两级活性炭吸附”</w:t>
            </w:r>
            <w:r>
              <w:rPr>
                <w:rFonts w:hint="default" w:ascii="Times New Roman" w:hAnsi="Times New Roman" w:eastAsia="宋体" w:cs="Times New Roman"/>
                <w:color w:val="auto"/>
                <w:sz w:val="21"/>
                <w:szCs w:val="24"/>
                <w:highlight w:val="none"/>
                <w:lang w:val="en-US" w:eastAsia="zh-CN"/>
              </w:rPr>
              <w:t>对挥发性有机物进行治理，废气可达标排放，符合《江苏省大气污染防治条例》第三十八条规定。</w:t>
            </w:r>
          </w:p>
          <w:p w14:paraId="73594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color w:val="auto"/>
                <w:kern w:val="0"/>
                <w:sz w:val="21"/>
                <w:szCs w:val="21"/>
                <w:highlight w:val="none"/>
                <w:lang w:val="en-US" w:eastAsia="zh-CN" w:bidi="ar-SA"/>
              </w:rPr>
              <w:t>⑦</w:t>
            </w:r>
            <w:r>
              <w:rPr>
                <w:rFonts w:hint="default" w:ascii="Times New Roman" w:hAnsi="Times New Roman" w:eastAsia="宋体" w:cs="Times New Roman"/>
                <w:b/>
                <w:bCs/>
                <w:color w:val="auto"/>
                <w:highlight w:val="none"/>
                <w:lang w:val="en-US" w:eastAsia="zh-CN"/>
              </w:rPr>
              <w:t>与《江苏省挥发性有机物污染防治管理办法》（省政府令第119号）的对照分析</w:t>
            </w:r>
          </w:p>
          <w:p w14:paraId="42DF449C">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highlight w:val="none"/>
                <w:lang w:val="en-US" w:eastAsia="zh-CN"/>
              </w:rPr>
              <w:t>对照《江苏省挥发性有机物污染防治管理办法》（省政府令第119号）</w:t>
            </w:r>
            <w:r>
              <w:rPr>
                <w:rFonts w:hint="default" w:ascii="Times New Roman" w:hAnsi="Times New Roman" w:eastAsia="宋体" w:cs="Times New Roman"/>
                <w:color w:val="auto"/>
                <w:sz w:val="21"/>
                <w:szCs w:val="24"/>
                <w:highlight w:val="none"/>
              </w:rPr>
              <w:t>的相关内容：</w:t>
            </w:r>
          </w:p>
          <w:p w14:paraId="6027F1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第十七条 挥发性有机物排放单位应当按照有关规定和监测规范自行或者委托有关监测机构对其排放的挥发性有机物进行监测，记录、保存监测数据，并按照规定向社会公开。监测数据应当真实、可靠，保存时间不得少于3年。</w:t>
            </w:r>
          </w:p>
          <w:p w14:paraId="130FE4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第二十一条 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r>
              <w:rPr>
                <w:rFonts w:hint="eastAsia" w:ascii="Times New Roman" w:hAnsi="Times New Roman" w:eastAsia="宋体" w:cs="Times New Roman"/>
                <w:color w:val="auto"/>
                <w:highlight w:val="none"/>
                <w:lang w:val="en-US" w:eastAsia="zh-CN"/>
              </w:rPr>
              <w:t>”</w:t>
            </w:r>
          </w:p>
          <w:p w14:paraId="1EF9EF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SA"/>
              </w:rPr>
              <w:t>本项目将严格按照</w:t>
            </w:r>
            <w:r>
              <w:rPr>
                <w:rFonts w:hint="default" w:ascii="Times New Roman" w:hAnsi="Times New Roman" w:eastAsia="宋体" w:cs="Times New Roman"/>
                <w:color w:val="auto"/>
                <w:kern w:val="0"/>
                <w:sz w:val="21"/>
                <w:szCs w:val="21"/>
                <w:lang w:val="en-US" w:eastAsia="zh-CN" w:bidi="ar-SA"/>
              </w:rPr>
              <w:t>《排污单位自行监测技术指南总则》（HJ819-2017）、</w:t>
            </w:r>
            <w:r>
              <w:rPr>
                <w:rFonts w:hint="eastAsia" w:cs="Times New Roman"/>
                <w:color w:val="auto"/>
                <w:kern w:val="0"/>
                <w:sz w:val="21"/>
                <w:szCs w:val="21"/>
                <w:lang w:val="en-US" w:eastAsia="zh-CN" w:bidi="ar-SA"/>
              </w:rPr>
              <w:t>《排污单位自行监测技术指南 橡胶和塑料制品》（HJ 1207-2021）</w:t>
            </w:r>
            <w:r>
              <w:rPr>
                <w:rFonts w:hint="default" w:ascii="Times New Roman" w:hAnsi="Times New Roman" w:eastAsia="宋体" w:cs="Times New Roman"/>
                <w:color w:val="auto"/>
                <w:kern w:val="0"/>
                <w:sz w:val="21"/>
                <w:szCs w:val="21"/>
                <w:highlight w:val="none"/>
                <w:lang w:val="en-US" w:eastAsia="zh-CN"/>
              </w:rPr>
              <w:t>等相关技术要求制定污染源监测计划，并</w:t>
            </w:r>
            <w:r>
              <w:rPr>
                <w:rFonts w:hint="default" w:ascii="Times New Roman" w:hAnsi="Times New Roman" w:eastAsia="宋体" w:cs="Times New Roman"/>
                <w:color w:val="auto"/>
                <w:highlight w:val="none"/>
                <w:lang w:val="en-US" w:eastAsia="zh-CN"/>
              </w:rPr>
              <w:t>委托有关监测机构对其排放的</w:t>
            </w:r>
            <w:r>
              <w:rPr>
                <w:rFonts w:hint="eastAsia" w:ascii="Times New Roman" w:hAnsi="Times New Roman" w:eastAsia="宋体" w:cs="Times New Roman"/>
                <w:color w:val="auto"/>
                <w:highlight w:val="none"/>
                <w:lang w:val="en-US" w:eastAsia="zh-CN"/>
              </w:rPr>
              <w:t>废气</w:t>
            </w:r>
            <w:r>
              <w:rPr>
                <w:rFonts w:hint="default" w:ascii="Times New Roman" w:hAnsi="Times New Roman" w:eastAsia="宋体" w:cs="Times New Roman"/>
                <w:color w:val="auto"/>
                <w:highlight w:val="none"/>
                <w:lang w:val="en-US" w:eastAsia="zh-CN"/>
              </w:rPr>
              <w:t>进行监测，记录、保存监测数据，并按照规定向社会公开。监测数据应当真实、可靠，保存时间不得少于</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年。</w:t>
            </w:r>
          </w:p>
          <w:p w14:paraId="3AEE9D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4"/>
                <w:highlight w:val="none"/>
                <w:lang w:val="en-US" w:eastAsia="zh-CN"/>
              </w:rPr>
              <w:t>本项目</w:t>
            </w:r>
            <w:r>
              <w:rPr>
                <w:rFonts w:hint="eastAsia" w:cs="Times New Roman"/>
                <w:color w:val="auto"/>
                <w:sz w:val="21"/>
                <w:szCs w:val="24"/>
                <w:highlight w:val="none"/>
                <w:lang w:val="en-US" w:eastAsia="zh-CN"/>
              </w:rPr>
              <w:t>炼胶+硫化</w:t>
            </w:r>
            <w:r>
              <w:rPr>
                <w:rFonts w:hint="eastAsia" w:ascii="Times New Roman" w:hAnsi="Times New Roman" w:eastAsia="宋体" w:cs="Times New Roman"/>
                <w:color w:val="auto"/>
                <w:sz w:val="21"/>
                <w:szCs w:val="24"/>
                <w:highlight w:val="none"/>
                <w:lang w:val="en-US" w:eastAsia="zh-CN"/>
              </w:rPr>
              <w:t>工段在</w:t>
            </w:r>
            <w:r>
              <w:rPr>
                <w:rFonts w:hint="eastAsia" w:cs="Times New Roman"/>
                <w:color w:val="auto"/>
                <w:sz w:val="21"/>
                <w:szCs w:val="24"/>
                <w:highlight w:val="none"/>
                <w:lang w:val="en-US" w:eastAsia="zh-CN"/>
              </w:rPr>
              <w:t>炼胶房</w:t>
            </w:r>
            <w:r>
              <w:rPr>
                <w:rFonts w:hint="eastAsia" w:ascii="Times New Roman" w:hAnsi="Times New Roman" w:eastAsia="宋体" w:cs="Times New Roman"/>
                <w:color w:val="auto"/>
                <w:sz w:val="21"/>
                <w:szCs w:val="24"/>
                <w:highlight w:val="none"/>
                <w:lang w:val="en-US" w:eastAsia="zh-CN"/>
              </w:rPr>
              <w:t>内进行，废气</w:t>
            </w:r>
            <w:r>
              <w:rPr>
                <w:rFonts w:hint="eastAsia" w:cs="Times New Roman"/>
                <w:b w:val="0"/>
                <w:bCs/>
                <w:color w:val="auto"/>
                <w:kern w:val="0"/>
                <w:sz w:val="21"/>
                <w:szCs w:val="21"/>
                <w:highlight w:val="none"/>
                <w:lang w:val="en-US" w:eastAsia="zh-CN" w:bidi="ar-SA"/>
              </w:rPr>
              <w:t>经密闭</w:t>
            </w:r>
            <w:r>
              <w:rPr>
                <w:rFonts w:hint="default" w:ascii="Times New Roman" w:hAnsi="Times New Roman" w:eastAsia="宋体" w:cs="Times New Roman"/>
                <w:b w:val="0"/>
                <w:bCs/>
                <w:color w:val="auto"/>
                <w:kern w:val="0"/>
                <w:sz w:val="21"/>
                <w:szCs w:val="21"/>
                <w:highlight w:val="none"/>
                <w:lang w:val="en-US" w:eastAsia="zh-CN" w:bidi="ar-SA"/>
              </w:rPr>
              <w:t>收集，减少挥发性有机物无组织排放</w:t>
            </w:r>
            <w:r>
              <w:rPr>
                <w:rFonts w:hint="default" w:ascii="Times New Roman" w:hAnsi="Times New Roman" w:eastAsia="宋体" w:cs="Times New Roman"/>
                <w:color w:val="auto"/>
                <w:sz w:val="21"/>
                <w:szCs w:val="24"/>
                <w:highlight w:val="none"/>
                <w:lang w:val="en-US" w:eastAsia="zh-CN"/>
              </w:rPr>
              <w:t>；同时，本项目</w:t>
            </w:r>
            <w:r>
              <w:rPr>
                <w:rFonts w:hint="eastAsia" w:ascii="Times New Roman" w:hAnsi="Times New Roman" w:eastAsia="宋体" w:cs="Times New Roman"/>
                <w:color w:val="auto"/>
                <w:sz w:val="21"/>
                <w:szCs w:val="24"/>
                <w:highlight w:val="none"/>
                <w:lang w:val="en-US" w:eastAsia="zh-CN"/>
              </w:rPr>
              <w:t>采用</w:t>
            </w:r>
            <w:r>
              <w:rPr>
                <w:rFonts w:hint="eastAsia" w:cs="Times New Roman"/>
                <w:color w:val="auto"/>
                <w:sz w:val="21"/>
                <w:szCs w:val="24"/>
                <w:highlight w:val="none"/>
                <w:lang w:val="en-US" w:eastAsia="zh-CN"/>
              </w:rPr>
              <w:t>“脉冲除尘+水喷淋+除雾+两级活性炭吸附”</w:t>
            </w:r>
            <w:r>
              <w:rPr>
                <w:rFonts w:hint="default" w:ascii="Times New Roman" w:hAnsi="Times New Roman" w:eastAsia="宋体" w:cs="Times New Roman"/>
                <w:color w:val="auto"/>
                <w:sz w:val="21"/>
                <w:szCs w:val="24"/>
                <w:highlight w:val="none"/>
                <w:lang w:val="en-US" w:eastAsia="zh-CN"/>
              </w:rPr>
              <w:t>对挥发性有机物进行治理，废气可达标排放。</w:t>
            </w:r>
          </w:p>
          <w:p w14:paraId="76F4D6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综上所述，本项目建设与</w:t>
            </w:r>
            <w:r>
              <w:rPr>
                <w:rFonts w:hint="default" w:ascii="Times New Roman" w:hAnsi="Times New Roman" w:eastAsia="宋体" w:cs="Times New Roman"/>
                <w:color w:val="auto"/>
                <w:highlight w:val="none"/>
              </w:rPr>
              <w:t>《江苏省挥发性有机物污染防治管理办法》（省政府令第119号）</w:t>
            </w:r>
            <w:r>
              <w:rPr>
                <w:rFonts w:hint="default" w:ascii="Times New Roman" w:hAnsi="Times New Roman" w:eastAsia="宋体" w:cs="Times New Roman"/>
                <w:color w:val="auto"/>
                <w:highlight w:val="none"/>
                <w:lang w:val="en-US" w:eastAsia="zh-CN"/>
              </w:rPr>
              <w:t>要求相符。</w:t>
            </w:r>
          </w:p>
          <w:p w14:paraId="255799E0">
            <w:pPr>
              <w:keepNext/>
              <w:keepLines w:val="0"/>
              <w:widowControl w:val="0"/>
              <w:suppressLineNumbers w:val="0"/>
              <w:adjustRightInd w:val="0"/>
              <w:snapToGrid w:val="0"/>
              <w:spacing w:before="0" w:beforeAutospacing="0" w:after="0" w:afterAutospacing="0" w:line="360" w:lineRule="auto"/>
              <w:ind w:left="0" w:right="0" w:firstLine="422" w:firstLineChars="200"/>
              <w:jc w:val="both"/>
              <w:outlineLvl w:val="2"/>
              <w:rPr>
                <w:rFonts w:hint="default" w:ascii="Times New Roman" w:hAnsi="Times New Roman" w:eastAsia="宋体" w:cs="Times New Roman"/>
                <w:b/>
                <w:snapToGrid w:val="0"/>
                <w:color w:val="auto"/>
                <w:kern w:val="2"/>
                <w:sz w:val="21"/>
                <w:szCs w:val="21"/>
                <w:highlight w:val="none"/>
                <w:lang w:val="en-US" w:eastAsia="zh-CN" w:bidi="ar-SA"/>
              </w:rPr>
            </w:pPr>
            <w:r>
              <w:rPr>
                <w:rFonts w:hint="eastAsia" w:ascii="Times New Roman" w:hAnsi="Times New Roman" w:eastAsia="宋体" w:cs="Times New Roman"/>
                <w:b/>
                <w:bCs/>
                <w:color w:val="auto"/>
                <w:highlight w:val="none"/>
                <w:lang w:val="en-US" w:eastAsia="zh-CN"/>
              </w:rPr>
              <w:t>⑧</w:t>
            </w:r>
            <w:r>
              <w:rPr>
                <w:rFonts w:hint="default" w:ascii="Times New Roman" w:hAnsi="Times New Roman" w:eastAsia="宋体" w:cs="Times New Roman"/>
                <w:b/>
                <w:snapToGrid w:val="0"/>
                <w:color w:val="auto"/>
                <w:kern w:val="2"/>
                <w:sz w:val="21"/>
                <w:szCs w:val="21"/>
                <w:highlight w:val="none"/>
                <w:lang w:val="en-US" w:eastAsia="zh-CN" w:bidi="ar-SA"/>
              </w:rPr>
              <w:t>与《江苏省重点行业挥发性有机物污染控制指南》（苏环办〔2014〕128号）的相符性分析</w:t>
            </w:r>
          </w:p>
          <w:p w14:paraId="507F6685">
            <w:pPr>
              <w:keepNext w:val="0"/>
              <w:keepLines w:val="0"/>
              <w:suppressLineNumbers w:val="0"/>
              <w:adjustRightInd w:val="0"/>
              <w:snapToGrid w:val="0"/>
              <w:spacing w:before="0" w:beforeLines="0" w:beforeAutospacing="0" w:after="0" w:afterLines="0" w:afterAutospacing="0" w:line="360" w:lineRule="auto"/>
              <w:ind w:left="0" w:right="0" w:firstLine="420" w:firstLineChars="20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根据《江苏省重点行业挥发性有机物污染控制指南》（苏环办〔2014〕128号）中规定</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一）所有产生有机废气污染的企业，应优先采用环保型原辅料、生产工艺和装备，对相应生产单元或设施进行密闭，从源头控制VOCs的产生、减少废气污染物排放。（二）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w:t>
            </w:r>
          </w:p>
          <w:p w14:paraId="5F71AAD4">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spacing w:val="0"/>
                <w:kern w:val="2"/>
                <w:sz w:val="21"/>
                <w:szCs w:val="21"/>
                <w:lang w:val="en-US" w:eastAsia="zh-CN" w:bidi="ar-SA"/>
              </w:rPr>
            </w:pPr>
            <w:r>
              <w:rPr>
                <w:rFonts w:hint="default" w:ascii="Times New Roman" w:hAnsi="Times New Roman" w:eastAsia="宋体" w:cs="Times New Roman"/>
                <w:b w:val="0"/>
                <w:bCs w:val="0"/>
                <w:color w:val="auto"/>
                <w:spacing w:val="0"/>
                <w:kern w:val="2"/>
                <w:sz w:val="21"/>
                <w:szCs w:val="21"/>
                <w:lang w:val="en-US" w:eastAsia="zh-CN" w:bidi="ar-SA"/>
              </w:rPr>
              <w:t>本项目拟采用的</w:t>
            </w:r>
            <w:r>
              <w:rPr>
                <w:rFonts w:hint="eastAsia" w:ascii="Times New Roman" w:hAnsi="Times New Roman" w:eastAsia="宋体" w:cs="Times New Roman"/>
                <w:b w:val="0"/>
                <w:bCs w:val="0"/>
                <w:color w:val="auto"/>
                <w:spacing w:val="0"/>
                <w:kern w:val="2"/>
                <w:sz w:val="21"/>
                <w:szCs w:val="21"/>
                <w:lang w:val="en-US" w:eastAsia="zh-CN" w:bidi="ar-SA"/>
              </w:rPr>
              <w:t>胶粘剂</w:t>
            </w:r>
            <w:r>
              <w:rPr>
                <w:rFonts w:hint="default" w:ascii="Times New Roman" w:hAnsi="Times New Roman" w:eastAsia="宋体" w:cs="Times New Roman"/>
                <w:b w:val="0"/>
                <w:bCs w:val="0"/>
                <w:color w:val="auto"/>
                <w:spacing w:val="0"/>
                <w:kern w:val="2"/>
                <w:sz w:val="21"/>
                <w:szCs w:val="21"/>
                <w:lang w:val="en-US" w:eastAsia="zh-CN" w:bidi="ar-SA"/>
              </w:rPr>
              <w:t>满足《</w:t>
            </w:r>
            <w:r>
              <w:rPr>
                <w:rFonts w:hint="eastAsia" w:ascii="Times New Roman" w:hAnsi="Times New Roman" w:eastAsia="宋体" w:cs="Times New Roman"/>
                <w:b w:val="0"/>
                <w:bCs w:val="0"/>
                <w:color w:val="auto"/>
                <w:spacing w:val="0"/>
                <w:kern w:val="2"/>
                <w:sz w:val="21"/>
                <w:szCs w:val="21"/>
                <w:lang w:val="en-US" w:eastAsia="zh-CN" w:bidi="ar-SA"/>
              </w:rPr>
              <w:t>胶粘剂</w:t>
            </w:r>
            <w:r>
              <w:rPr>
                <w:rFonts w:hint="default" w:ascii="Times New Roman" w:hAnsi="Times New Roman" w:eastAsia="宋体" w:cs="Times New Roman"/>
                <w:b w:val="0"/>
                <w:bCs w:val="0"/>
                <w:color w:val="auto"/>
                <w:spacing w:val="0"/>
                <w:kern w:val="2"/>
                <w:sz w:val="21"/>
                <w:szCs w:val="21"/>
                <w:lang w:val="en-US" w:eastAsia="zh-CN" w:bidi="ar-SA"/>
              </w:rPr>
              <w:t>挥发性有机化合物</w:t>
            </w:r>
            <w:r>
              <w:rPr>
                <w:rFonts w:hint="eastAsia" w:ascii="Times New Roman" w:hAnsi="Times New Roman" w:eastAsia="宋体" w:cs="Times New Roman"/>
                <w:b w:val="0"/>
                <w:bCs w:val="0"/>
                <w:color w:val="auto"/>
                <w:spacing w:val="0"/>
                <w:kern w:val="2"/>
                <w:sz w:val="21"/>
                <w:szCs w:val="21"/>
                <w:lang w:val="en-US" w:eastAsia="zh-CN" w:bidi="ar-SA"/>
              </w:rPr>
              <w:t>限量</w:t>
            </w:r>
            <w:r>
              <w:rPr>
                <w:rFonts w:hint="default" w:ascii="Times New Roman" w:hAnsi="Times New Roman" w:eastAsia="宋体" w:cs="Times New Roman"/>
                <w:b w:val="0"/>
                <w:bCs w:val="0"/>
                <w:color w:val="auto"/>
                <w:spacing w:val="0"/>
                <w:kern w:val="2"/>
                <w:sz w:val="21"/>
                <w:szCs w:val="21"/>
                <w:lang w:val="en-US" w:eastAsia="zh-CN" w:bidi="ar-SA"/>
              </w:rPr>
              <w:t>》（GB</w:t>
            </w:r>
            <w:r>
              <w:rPr>
                <w:rFonts w:hint="eastAsia" w:ascii="Times New Roman" w:hAnsi="Times New Roman" w:eastAsia="宋体" w:cs="Times New Roman"/>
                <w:b w:val="0"/>
                <w:bCs w:val="0"/>
                <w:color w:val="auto"/>
                <w:spacing w:val="0"/>
                <w:kern w:val="2"/>
                <w:sz w:val="21"/>
                <w:szCs w:val="21"/>
                <w:lang w:val="en-US" w:eastAsia="zh-CN" w:bidi="ar-SA"/>
              </w:rPr>
              <w:t xml:space="preserve"> 33372-2020</w:t>
            </w:r>
            <w:r>
              <w:rPr>
                <w:rFonts w:hint="default" w:ascii="Times New Roman" w:hAnsi="Times New Roman" w:eastAsia="宋体" w:cs="Times New Roman"/>
                <w:b w:val="0"/>
                <w:bCs w:val="0"/>
                <w:color w:val="auto"/>
                <w:spacing w:val="0"/>
                <w:kern w:val="2"/>
                <w:sz w:val="21"/>
                <w:szCs w:val="21"/>
                <w:lang w:val="en-US" w:eastAsia="zh-CN" w:bidi="ar-SA"/>
              </w:rPr>
              <w:t>）中挥发性有机物含量的相关</w:t>
            </w:r>
            <w:r>
              <w:rPr>
                <w:rFonts w:hint="eastAsia" w:ascii="Times New Roman" w:hAnsi="Times New Roman" w:eastAsia="宋体" w:cs="Times New Roman"/>
                <w:b w:val="0"/>
                <w:bCs w:val="0"/>
                <w:color w:val="auto"/>
                <w:spacing w:val="0"/>
                <w:kern w:val="2"/>
                <w:sz w:val="21"/>
                <w:szCs w:val="21"/>
                <w:lang w:val="en-US" w:eastAsia="zh-CN" w:bidi="ar-SA"/>
              </w:rPr>
              <w:t>限值</w:t>
            </w:r>
            <w:r>
              <w:rPr>
                <w:rFonts w:hint="default" w:ascii="Times New Roman" w:hAnsi="Times New Roman" w:eastAsia="宋体" w:cs="Times New Roman"/>
                <w:b w:val="0"/>
                <w:bCs w:val="0"/>
                <w:color w:val="auto"/>
                <w:spacing w:val="0"/>
                <w:kern w:val="2"/>
                <w:sz w:val="21"/>
                <w:szCs w:val="21"/>
                <w:lang w:val="en-US" w:eastAsia="zh-CN" w:bidi="ar-SA"/>
              </w:rPr>
              <w:t>要求。</w:t>
            </w:r>
          </w:p>
          <w:p w14:paraId="4192EA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4"/>
                <w:highlight w:val="none"/>
                <w:lang w:val="en-US" w:eastAsia="zh-CN"/>
              </w:rPr>
              <w:t>本项目</w:t>
            </w:r>
            <w:r>
              <w:rPr>
                <w:rFonts w:hint="eastAsia" w:ascii="Times New Roman" w:hAnsi="Times New Roman" w:eastAsia="宋体" w:cs="Times New Roman"/>
                <w:color w:val="auto"/>
                <w:sz w:val="21"/>
                <w:szCs w:val="24"/>
                <w:highlight w:val="none"/>
                <w:lang w:val="en-US" w:eastAsia="zh-CN"/>
              </w:rPr>
              <w:t>炼胶</w:t>
            </w:r>
            <w:r>
              <w:rPr>
                <w:rFonts w:hint="eastAsia" w:cs="Times New Roman"/>
                <w:color w:val="auto"/>
                <w:sz w:val="21"/>
                <w:szCs w:val="24"/>
                <w:highlight w:val="none"/>
                <w:lang w:val="en-US" w:eastAsia="zh-CN"/>
              </w:rPr>
              <w:t>+硫化</w:t>
            </w:r>
            <w:r>
              <w:rPr>
                <w:rFonts w:hint="default" w:ascii="Times New Roman" w:hAnsi="Times New Roman" w:eastAsia="宋体" w:cs="Times New Roman"/>
                <w:b w:val="0"/>
                <w:bCs/>
                <w:color w:val="auto"/>
                <w:kern w:val="0"/>
                <w:sz w:val="21"/>
                <w:szCs w:val="21"/>
                <w:highlight w:val="none"/>
                <w:lang w:val="en-US" w:eastAsia="zh-CN" w:bidi="ar-SA"/>
              </w:rPr>
              <w:t>废气</w:t>
            </w:r>
            <w:r>
              <w:rPr>
                <w:rFonts w:hint="eastAsia" w:cs="Times New Roman"/>
                <w:b w:val="0"/>
                <w:bCs/>
                <w:color w:val="auto"/>
                <w:kern w:val="0"/>
                <w:sz w:val="21"/>
                <w:szCs w:val="21"/>
                <w:highlight w:val="none"/>
                <w:lang w:val="en-US" w:eastAsia="zh-CN" w:bidi="ar-SA"/>
              </w:rPr>
              <w:t>经密闭</w:t>
            </w:r>
            <w:r>
              <w:rPr>
                <w:rFonts w:hint="default" w:ascii="Times New Roman" w:hAnsi="Times New Roman" w:eastAsia="宋体" w:cs="Times New Roman"/>
                <w:b w:val="0"/>
                <w:bCs/>
                <w:color w:val="auto"/>
                <w:kern w:val="0"/>
                <w:sz w:val="21"/>
                <w:szCs w:val="21"/>
                <w:highlight w:val="none"/>
                <w:lang w:val="en-US" w:eastAsia="zh-CN" w:bidi="ar-SA"/>
              </w:rPr>
              <w:t>收集，</w:t>
            </w:r>
            <w:r>
              <w:rPr>
                <w:rFonts w:hint="eastAsia" w:ascii="Times New Roman" w:hAnsi="Times New Roman" w:eastAsia="宋体" w:cs="Times New Roman"/>
                <w:b w:val="0"/>
                <w:bCs/>
                <w:color w:val="auto"/>
                <w:kern w:val="0"/>
                <w:sz w:val="21"/>
                <w:szCs w:val="21"/>
                <w:highlight w:val="none"/>
                <w:lang w:val="en-US" w:eastAsia="zh-CN" w:bidi="ar-SA"/>
              </w:rPr>
              <w:t>收集效率可达9</w:t>
            </w:r>
            <w:r>
              <w:rPr>
                <w:rFonts w:hint="eastAsia" w:cs="Times New Roman"/>
                <w:b w:val="0"/>
                <w:bCs/>
                <w:color w:val="auto"/>
                <w:kern w:val="0"/>
                <w:sz w:val="21"/>
                <w:szCs w:val="21"/>
                <w:highlight w:val="none"/>
                <w:lang w:val="en-US" w:eastAsia="zh-CN" w:bidi="ar-SA"/>
              </w:rPr>
              <w:t>0</w:t>
            </w:r>
            <w:r>
              <w:rPr>
                <w:rFonts w:hint="eastAsia" w:ascii="Times New Roman" w:hAnsi="Times New Roman" w:eastAsia="宋体" w:cs="Times New Roman"/>
                <w:b w:val="0"/>
                <w:bCs/>
                <w:color w:val="auto"/>
                <w:kern w:val="0"/>
                <w:sz w:val="21"/>
                <w:szCs w:val="21"/>
                <w:highlight w:val="none"/>
                <w:lang w:val="en-US" w:eastAsia="zh-CN" w:bidi="ar-SA"/>
              </w:rPr>
              <w:t>%</w:t>
            </w:r>
            <w:r>
              <w:rPr>
                <w:rFonts w:hint="default" w:ascii="Times New Roman" w:hAnsi="Times New Roman" w:eastAsia="宋体" w:cs="Times New Roman"/>
                <w:color w:val="auto"/>
                <w:sz w:val="21"/>
                <w:szCs w:val="24"/>
                <w:highlight w:val="none"/>
                <w:lang w:val="en-US" w:eastAsia="zh-CN"/>
              </w:rPr>
              <w:t>；本项目</w:t>
            </w:r>
            <w:r>
              <w:rPr>
                <w:rFonts w:hint="eastAsia" w:ascii="Times New Roman" w:hAnsi="Times New Roman" w:eastAsia="宋体" w:cs="Times New Roman"/>
                <w:color w:val="auto"/>
                <w:sz w:val="21"/>
                <w:szCs w:val="24"/>
                <w:highlight w:val="none"/>
                <w:lang w:val="en-US" w:eastAsia="zh-CN"/>
              </w:rPr>
              <w:t>采用“</w:t>
            </w:r>
            <w:r>
              <w:rPr>
                <w:rFonts w:hint="eastAsia" w:cs="Times New Roman"/>
                <w:color w:val="auto"/>
                <w:sz w:val="21"/>
                <w:szCs w:val="24"/>
                <w:highlight w:val="none"/>
                <w:lang w:val="en-US" w:eastAsia="zh-CN"/>
              </w:rPr>
              <w:t>脉冲除尘+</w:t>
            </w:r>
            <w:r>
              <w:rPr>
                <w:rFonts w:hint="eastAsia" w:ascii="Times New Roman" w:hAnsi="Times New Roman" w:eastAsia="宋体" w:cs="Times New Roman"/>
                <w:color w:val="auto"/>
                <w:sz w:val="21"/>
                <w:szCs w:val="24"/>
                <w:highlight w:val="none"/>
                <w:lang w:val="en-US" w:eastAsia="zh-CN"/>
              </w:rPr>
              <w:t>水喷淋+除雾+两级活性炭吸附”</w:t>
            </w:r>
            <w:r>
              <w:rPr>
                <w:rFonts w:hint="default" w:ascii="Times New Roman" w:hAnsi="Times New Roman" w:eastAsia="宋体" w:cs="Times New Roman"/>
                <w:color w:val="auto"/>
                <w:sz w:val="21"/>
                <w:szCs w:val="24"/>
                <w:highlight w:val="none"/>
                <w:lang w:val="en-US" w:eastAsia="zh-CN"/>
              </w:rPr>
              <w:t>对挥发性有机物进行治理</w:t>
            </w:r>
            <w:r>
              <w:rPr>
                <w:rFonts w:hint="eastAsia" w:ascii="Times New Roman" w:hAnsi="Times New Roman" w:eastAsia="宋体" w:cs="Times New Roman"/>
                <w:color w:val="auto"/>
                <w:sz w:val="21"/>
                <w:szCs w:val="24"/>
                <w:highlight w:val="none"/>
                <w:lang w:val="en-US" w:eastAsia="zh-CN"/>
              </w:rPr>
              <w:t>，处理效率</w:t>
            </w:r>
            <w:r>
              <w:rPr>
                <w:rFonts w:hint="eastAsia" w:cs="Times New Roman"/>
                <w:color w:val="auto"/>
                <w:sz w:val="21"/>
                <w:szCs w:val="24"/>
                <w:highlight w:val="none"/>
                <w:lang w:val="en-US" w:eastAsia="zh-CN"/>
              </w:rPr>
              <w:t>不低于</w:t>
            </w:r>
            <w:r>
              <w:rPr>
                <w:rFonts w:hint="eastAsia" w:ascii="Times New Roman" w:hAnsi="Times New Roman" w:eastAsia="宋体" w:cs="Times New Roman"/>
                <w:color w:val="auto"/>
                <w:sz w:val="21"/>
                <w:szCs w:val="24"/>
                <w:highlight w:val="none"/>
                <w:lang w:val="en-US" w:eastAsia="zh-CN"/>
              </w:rPr>
              <w:t>90%</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eastAsia="zh-CN"/>
              </w:rPr>
              <w:t>因此，本项目建设符合《江苏省重点行业挥发性有机物污染控制指南》的相关要求。</w:t>
            </w:r>
          </w:p>
          <w:p w14:paraId="5B9DDC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⑨</w:t>
            </w:r>
            <w:r>
              <w:rPr>
                <w:rFonts w:hint="default" w:ascii="Times New Roman" w:hAnsi="Times New Roman" w:eastAsia="宋体" w:cs="Times New Roman"/>
                <w:b/>
                <w:bCs/>
                <w:color w:val="auto"/>
                <w:highlight w:val="none"/>
                <w:lang w:val="en-US" w:eastAsia="zh-CN"/>
              </w:rPr>
              <w:t>与《重点行业挥发性有机物综合治理方案》（环大气[2019]53号）的相符性分析</w:t>
            </w:r>
          </w:p>
          <w:p w14:paraId="4339AF96">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1"/>
                <w:highlight w:val="none"/>
              </w:rPr>
              <w:t>根据《重点行业挥发性有机物综合治理方案》（环大气[2019]53号），相关要求对照分析</w:t>
            </w:r>
            <w:r>
              <w:rPr>
                <w:rFonts w:hint="eastAsia" w:ascii="Times New Roman" w:hAnsi="Times New Roman" w:eastAsia="宋体" w:cs="Times New Roman"/>
                <w:color w:val="auto"/>
                <w:sz w:val="21"/>
                <w:szCs w:val="21"/>
                <w:highlight w:val="none"/>
                <w:lang w:val="en-US" w:eastAsia="zh-CN"/>
              </w:rPr>
              <w:t>详</w:t>
            </w:r>
            <w:r>
              <w:rPr>
                <w:rFonts w:hint="default" w:ascii="Times New Roman" w:hAnsi="Times New Roman" w:eastAsia="宋体" w:cs="Times New Roman"/>
                <w:color w:val="auto"/>
                <w:sz w:val="21"/>
                <w:szCs w:val="21"/>
                <w:highlight w:val="none"/>
                <w:lang w:eastAsia="zh-CN"/>
              </w:rPr>
              <w:t>见</w:t>
            </w:r>
            <w:r>
              <w:rPr>
                <w:rFonts w:hint="eastAsia" w:ascii="Times New Roman" w:hAnsi="Times New Roman" w:eastAsia="宋体" w:cs="Times New Roman"/>
                <w:color w:val="auto"/>
                <w:sz w:val="21"/>
                <w:szCs w:val="21"/>
                <w:highlight w:val="none"/>
                <w:lang w:val="en-US" w:eastAsia="zh-CN"/>
              </w:rPr>
              <w:t>下表：</w:t>
            </w:r>
          </w:p>
          <w:p w14:paraId="11B4D6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rPr>
              <w:t>表1-</w:t>
            </w:r>
            <w:r>
              <w:rPr>
                <w:rFonts w:hint="eastAsia" w:cs="Times New Roman"/>
                <w:b/>
                <w:color w:val="auto"/>
                <w:kern w:val="0"/>
                <w:sz w:val="21"/>
                <w:szCs w:val="21"/>
                <w:lang w:val="en-US" w:eastAsia="zh-CN"/>
              </w:rPr>
              <w:t>11</w:t>
            </w:r>
            <w:r>
              <w:rPr>
                <w:rFonts w:hint="default" w:ascii="Times New Roman" w:hAnsi="Times New Roman" w:eastAsia="宋体" w:cs="Times New Roman"/>
                <w:b/>
                <w:color w:val="auto"/>
                <w:kern w:val="0"/>
                <w:sz w:val="21"/>
                <w:szCs w:val="21"/>
              </w:rPr>
              <w:t xml:space="preserve">  《重点行业挥发性有机物综合治理方案》（环大气[2019]53号）分析</w:t>
            </w:r>
            <w:r>
              <w:rPr>
                <w:rFonts w:hint="eastAsia" w:cs="Times New Roman"/>
                <w:b/>
                <w:color w:val="auto"/>
                <w:kern w:val="0"/>
                <w:sz w:val="21"/>
                <w:szCs w:val="21"/>
                <w:lang w:val="en-US" w:eastAsia="zh-CN"/>
              </w:rPr>
              <w:t>判定对照表</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801"/>
              <w:gridCol w:w="3250"/>
              <w:gridCol w:w="2708"/>
              <w:gridCol w:w="1538"/>
            </w:tblGrid>
            <w:tr w14:paraId="3DC3D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8" w:type="dxa"/>
                  <w:tcBorders>
                    <w:tl2br w:val="nil"/>
                    <w:tr2bl w:val="nil"/>
                  </w:tcBorders>
                  <w:noWrap w:val="0"/>
                  <w:vAlign w:val="center"/>
                </w:tcPr>
                <w:p w14:paraId="2C210FB9">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序号</w:t>
                  </w:r>
                </w:p>
              </w:tc>
              <w:tc>
                <w:tcPr>
                  <w:tcW w:w="4051" w:type="dxa"/>
                  <w:gridSpan w:val="2"/>
                  <w:tcBorders>
                    <w:tl2br w:val="nil"/>
                    <w:tr2bl w:val="nil"/>
                  </w:tcBorders>
                  <w:noWrap w:val="0"/>
                  <w:vAlign w:val="center"/>
                </w:tcPr>
                <w:p w14:paraId="59C5CE08">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相关要求</w:t>
                  </w:r>
                </w:p>
              </w:tc>
              <w:tc>
                <w:tcPr>
                  <w:tcW w:w="2708" w:type="dxa"/>
                  <w:tcBorders>
                    <w:tl2br w:val="nil"/>
                    <w:tr2bl w:val="nil"/>
                  </w:tcBorders>
                  <w:noWrap w:val="0"/>
                  <w:vAlign w:val="center"/>
                </w:tcPr>
                <w:p w14:paraId="21A07DC5">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对照分析</w:t>
                  </w:r>
                </w:p>
              </w:tc>
              <w:tc>
                <w:tcPr>
                  <w:tcW w:w="1538" w:type="dxa"/>
                  <w:tcBorders>
                    <w:tl2br w:val="nil"/>
                    <w:tr2bl w:val="nil"/>
                  </w:tcBorders>
                  <w:noWrap w:val="0"/>
                  <w:vAlign w:val="center"/>
                </w:tcPr>
                <w:p w14:paraId="0ACF8EC6">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是否满足要求</w:t>
                  </w:r>
                </w:p>
              </w:tc>
            </w:tr>
            <w:tr w14:paraId="549AF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8" w:type="dxa"/>
                  <w:tcBorders>
                    <w:tl2br w:val="nil"/>
                    <w:tr2bl w:val="nil"/>
                  </w:tcBorders>
                  <w:noWrap w:val="0"/>
                  <w:vAlign w:val="center"/>
                </w:tcPr>
                <w:p w14:paraId="65049BF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1</w:t>
                  </w:r>
                </w:p>
              </w:tc>
              <w:tc>
                <w:tcPr>
                  <w:tcW w:w="801" w:type="dxa"/>
                  <w:tcBorders>
                    <w:tl2br w:val="nil"/>
                    <w:tr2bl w:val="nil"/>
                  </w:tcBorders>
                  <w:noWrap w:val="0"/>
                  <w:vAlign w:val="center"/>
                </w:tcPr>
                <w:p w14:paraId="370820E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全面加强无组织排放控制</w:t>
                  </w:r>
                </w:p>
              </w:tc>
              <w:tc>
                <w:tcPr>
                  <w:tcW w:w="3250" w:type="dxa"/>
                  <w:tcBorders>
                    <w:tl2br w:val="nil"/>
                    <w:tr2bl w:val="nil"/>
                  </w:tcBorders>
                  <w:noWrap w:val="0"/>
                  <w:vAlign w:val="center"/>
                </w:tcPr>
                <w:p w14:paraId="51282743">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0"/>
                      <w:sz w:val="21"/>
                      <w:szCs w:val="21"/>
                      <w:highlight w:val="none"/>
                      <w:lang w:val="en"/>
                    </w:rPr>
                  </w:pPr>
                  <w:r>
                    <w:rPr>
                      <w:rFonts w:hint="default" w:ascii="Times New Roman" w:hAnsi="Times New Roman" w:eastAsia="仿宋" w:cs="Times New Roman"/>
                      <w:color w:val="auto"/>
                      <w:kern w:val="0"/>
                      <w:sz w:val="21"/>
                      <w:szCs w:val="21"/>
                      <w:highlight w:val="none"/>
                      <w:lang w:val="en"/>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708" w:type="dxa"/>
                  <w:tcBorders>
                    <w:tl2br w:val="nil"/>
                    <w:tr2bl w:val="nil"/>
                  </w:tcBorders>
                  <w:noWrap w:val="0"/>
                  <w:vAlign w:val="center"/>
                </w:tcPr>
                <w:p w14:paraId="278FCD28">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0"/>
                      <w:szCs w:val="21"/>
                      <w:lang w:val="en-US" w:eastAsia="zh-CN"/>
                    </w:rPr>
                    <w:t>本项目对</w:t>
                  </w:r>
                  <w:r>
                    <w:rPr>
                      <w:rFonts w:hint="default" w:ascii="Times New Roman" w:hAnsi="Times New Roman" w:eastAsia="仿宋" w:cs="Times New Roman"/>
                      <w:color w:val="auto"/>
                      <w:kern w:val="0"/>
                      <w:szCs w:val="21"/>
                    </w:rPr>
                    <w:t>VOCs物料</w:t>
                  </w:r>
                  <w:r>
                    <w:rPr>
                      <w:rFonts w:hint="eastAsia" w:ascii="Times New Roman" w:hAnsi="Times New Roman" w:eastAsia="仿宋" w:cs="Times New Roman"/>
                      <w:color w:val="auto"/>
                      <w:kern w:val="0"/>
                      <w:szCs w:val="21"/>
                      <w:lang w:val="en-US" w:eastAsia="zh-CN"/>
                    </w:rPr>
                    <w:t>采取密封桶储存</w:t>
                  </w:r>
                  <w:r>
                    <w:rPr>
                      <w:rFonts w:hint="eastAsia" w:ascii="Times New Roman" w:hAnsi="Times New Roman" w:eastAsia="仿宋" w:cs="Times New Roman"/>
                      <w:color w:val="auto"/>
                      <w:kern w:val="0"/>
                      <w:sz w:val="21"/>
                      <w:szCs w:val="21"/>
                      <w:lang w:val="en-US" w:eastAsia="zh-CN" w:bidi="ar"/>
                    </w:rPr>
                    <w:t>，</w:t>
                  </w:r>
                  <w:r>
                    <w:rPr>
                      <w:rFonts w:hint="default" w:ascii="Times New Roman" w:hAnsi="Times New Roman" w:eastAsia="仿宋" w:cs="Times New Roman"/>
                      <w:color w:val="auto"/>
                      <w:kern w:val="0"/>
                      <w:sz w:val="21"/>
                      <w:szCs w:val="21"/>
                      <w:lang w:val="en-US" w:eastAsia="zh-CN" w:bidi="ar"/>
                    </w:rPr>
                    <w:t>使用</w:t>
                  </w:r>
                  <w:r>
                    <w:rPr>
                      <w:rFonts w:hint="eastAsia" w:eastAsia="仿宋" w:cs="Times New Roman"/>
                      <w:color w:val="auto"/>
                      <w:kern w:val="0"/>
                      <w:sz w:val="21"/>
                      <w:szCs w:val="21"/>
                      <w:lang w:val="en-US" w:eastAsia="zh-CN" w:bidi="ar"/>
                    </w:rPr>
                    <w:t>完</w:t>
                  </w:r>
                  <w:r>
                    <w:rPr>
                      <w:rFonts w:hint="eastAsia" w:ascii="Times New Roman" w:hAnsi="Times New Roman" w:eastAsia="仿宋" w:cs="Times New Roman"/>
                      <w:color w:val="auto"/>
                      <w:kern w:val="0"/>
                      <w:sz w:val="21"/>
                      <w:szCs w:val="21"/>
                      <w:lang w:val="en-US" w:eastAsia="zh-CN" w:bidi="ar"/>
                    </w:rPr>
                    <w:t>后</w:t>
                  </w:r>
                  <w:r>
                    <w:rPr>
                      <w:rFonts w:hint="eastAsia" w:eastAsia="仿宋" w:cs="Times New Roman"/>
                      <w:color w:val="auto"/>
                      <w:kern w:val="0"/>
                      <w:sz w:val="21"/>
                      <w:szCs w:val="21"/>
                      <w:lang w:val="en-US" w:eastAsia="zh-CN" w:bidi="ar"/>
                    </w:rPr>
                    <w:t>包装桶</w:t>
                  </w:r>
                  <w:r>
                    <w:rPr>
                      <w:rFonts w:hint="default" w:ascii="Times New Roman" w:hAnsi="Times New Roman" w:eastAsia="仿宋" w:cs="Times New Roman"/>
                      <w:color w:val="auto"/>
                      <w:kern w:val="0"/>
                      <w:sz w:val="21"/>
                      <w:szCs w:val="21"/>
                      <w:lang w:val="en-US" w:eastAsia="zh-CN" w:bidi="ar"/>
                    </w:rPr>
                    <w:t>加盖密闭，</w:t>
                  </w:r>
                  <w:r>
                    <w:rPr>
                      <w:rFonts w:hint="eastAsia" w:ascii="Times New Roman" w:hAnsi="Times New Roman" w:eastAsia="仿宋" w:cs="Times New Roman"/>
                      <w:color w:val="auto"/>
                      <w:kern w:val="0"/>
                      <w:sz w:val="21"/>
                      <w:szCs w:val="21"/>
                      <w:lang w:val="en-US" w:eastAsia="zh-CN" w:bidi="ar"/>
                    </w:rPr>
                    <w:t>贮存于危废库内，定期委托有资质单位处置</w:t>
                  </w:r>
                </w:p>
              </w:tc>
              <w:tc>
                <w:tcPr>
                  <w:tcW w:w="1538" w:type="dxa"/>
                  <w:tcBorders>
                    <w:tl2br w:val="nil"/>
                    <w:tr2bl w:val="nil"/>
                  </w:tcBorders>
                  <w:noWrap w:val="0"/>
                  <w:vAlign w:val="center"/>
                </w:tcPr>
                <w:p w14:paraId="774011D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是</w:t>
                  </w:r>
                </w:p>
              </w:tc>
            </w:tr>
            <w:tr w14:paraId="7B72B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8" w:type="dxa"/>
                  <w:tcBorders>
                    <w:tl2br w:val="nil"/>
                    <w:tr2bl w:val="nil"/>
                  </w:tcBorders>
                  <w:noWrap w:val="0"/>
                  <w:vAlign w:val="center"/>
                </w:tcPr>
                <w:p w14:paraId="2306556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2</w:t>
                  </w:r>
                </w:p>
              </w:tc>
              <w:tc>
                <w:tcPr>
                  <w:tcW w:w="801" w:type="dxa"/>
                  <w:tcBorders>
                    <w:tl2br w:val="nil"/>
                    <w:tr2bl w:val="nil"/>
                  </w:tcBorders>
                  <w:noWrap w:val="0"/>
                  <w:vAlign w:val="center"/>
                </w:tcPr>
                <w:p w14:paraId="7CCF126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提高废气收集率</w:t>
                  </w:r>
                </w:p>
              </w:tc>
              <w:tc>
                <w:tcPr>
                  <w:tcW w:w="3250" w:type="dxa"/>
                  <w:tcBorders>
                    <w:tl2br w:val="nil"/>
                    <w:tr2bl w:val="nil"/>
                  </w:tcBorders>
                  <w:noWrap w:val="0"/>
                  <w:vAlign w:val="center"/>
                </w:tcPr>
                <w:p w14:paraId="42A95054">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2"/>
                      <w:sz w:val="21"/>
                      <w:szCs w:val="21"/>
                      <w:highlight w:val="none"/>
                      <w:lang w:val="en-US" w:eastAsia="zh-CN" w:bidi="ar-SA"/>
                    </w:rPr>
                    <w:t>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2708" w:type="dxa"/>
                  <w:tcBorders>
                    <w:tl2br w:val="nil"/>
                    <w:tr2bl w:val="nil"/>
                  </w:tcBorders>
                  <w:noWrap w:val="0"/>
                  <w:vAlign w:val="center"/>
                </w:tcPr>
                <w:p w14:paraId="3A2CC7E3">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本项目</w:t>
                  </w:r>
                  <w:r>
                    <w:rPr>
                      <w:rFonts w:hint="eastAsia" w:ascii="Times New Roman" w:hAnsi="Times New Roman" w:eastAsia="仿宋" w:cs="Times New Roman"/>
                      <w:color w:val="auto"/>
                      <w:kern w:val="0"/>
                      <w:szCs w:val="21"/>
                      <w:lang w:val="en-US" w:eastAsia="zh-CN"/>
                    </w:rPr>
                    <w:t>炼胶+硫化废气</w:t>
                  </w:r>
                  <w:r>
                    <w:rPr>
                      <w:rFonts w:hint="eastAsia" w:eastAsia="仿宋" w:cs="Times New Roman"/>
                      <w:color w:val="auto"/>
                      <w:kern w:val="0"/>
                      <w:szCs w:val="21"/>
                      <w:lang w:val="en-US" w:eastAsia="zh-CN"/>
                    </w:rPr>
                    <w:t>经密闭</w:t>
                  </w:r>
                  <w:r>
                    <w:rPr>
                      <w:rFonts w:hint="eastAsia" w:ascii="Times New Roman" w:hAnsi="Times New Roman" w:eastAsia="仿宋" w:cs="Times New Roman"/>
                      <w:color w:val="auto"/>
                      <w:kern w:val="0"/>
                      <w:szCs w:val="21"/>
                      <w:lang w:val="en-US" w:eastAsia="zh-CN"/>
                    </w:rPr>
                    <w:t>收集</w:t>
                  </w:r>
                  <w:r>
                    <w:rPr>
                      <w:rFonts w:hint="default" w:ascii="Times New Roman" w:hAnsi="Times New Roman" w:eastAsia="仿宋" w:cs="Times New Roman"/>
                      <w:color w:val="auto"/>
                      <w:kern w:val="0"/>
                      <w:szCs w:val="21"/>
                      <w:lang w:val="en-US" w:eastAsia="zh-CN"/>
                    </w:rPr>
                    <w:t>，最大程度减少VOCs无组织排放</w:t>
                  </w:r>
                </w:p>
              </w:tc>
              <w:tc>
                <w:tcPr>
                  <w:tcW w:w="1538" w:type="dxa"/>
                  <w:tcBorders>
                    <w:tl2br w:val="nil"/>
                    <w:tr2bl w:val="nil"/>
                  </w:tcBorders>
                  <w:noWrap w:val="0"/>
                  <w:vAlign w:val="center"/>
                </w:tcPr>
                <w:p w14:paraId="0331B4E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是</w:t>
                  </w:r>
                </w:p>
              </w:tc>
            </w:tr>
            <w:tr w14:paraId="0272B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8" w:type="dxa"/>
                  <w:tcBorders>
                    <w:tl2br w:val="nil"/>
                    <w:tr2bl w:val="nil"/>
                  </w:tcBorders>
                  <w:noWrap w:val="0"/>
                  <w:vAlign w:val="center"/>
                </w:tcPr>
                <w:p w14:paraId="0B08A12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3</w:t>
                  </w:r>
                </w:p>
              </w:tc>
              <w:tc>
                <w:tcPr>
                  <w:tcW w:w="801" w:type="dxa"/>
                  <w:tcBorders>
                    <w:tl2br w:val="nil"/>
                    <w:tr2bl w:val="nil"/>
                  </w:tcBorders>
                  <w:noWrap w:val="0"/>
                  <w:vAlign w:val="center"/>
                </w:tcPr>
                <w:p w14:paraId="359EF50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推进建设适宜高效的治污设施</w:t>
                  </w:r>
                </w:p>
              </w:tc>
              <w:tc>
                <w:tcPr>
                  <w:tcW w:w="3250" w:type="dxa"/>
                  <w:tcBorders>
                    <w:tl2br w:val="nil"/>
                    <w:tr2bl w:val="nil"/>
                  </w:tcBorders>
                  <w:noWrap w:val="0"/>
                  <w:vAlign w:val="center"/>
                </w:tcPr>
                <w:p w14:paraId="5604C959">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w:t>
                  </w:r>
                </w:p>
                <w:p w14:paraId="08F71030">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采用一次性活性炭吸附技术的，应定期更换活性炭，废旧活性炭应再生或处理处置。有条件的工业园区和产业集群等，推广集中喷涂、溶剂集中回收、活性炭集中再生等，加强资源共享，提高VOCs治理效率。</w:t>
                  </w:r>
                </w:p>
              </w:tc>
              <w:tc>
                <w:tcPr>
                  <w:tcW w:w="2708" w:type="dxa"/>
                  <w:tcBorders>
                    <w:tl2br w:val="nil"/>
                    <w:tr2bl w:val="nil"/>
                  </w:tcBorders>
                  <w:noWrap w:val="0"/>
                  <w:vAlign w:val="center"/>
                </w:tcPr>
                <w:p w14:paraId="7831DA35">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本项目</w:t>
                  </w:r>
                  <w:r>
                    <w:rPr>
                      <w:rFonts w:hint="default" w:ascii="Times New Roman" w:hAnsi="Times New Roman" w:eastAsia="仿宋" w:cs="Times New Roman"/>
                      <w:color w:val="auto"/>
                      <w:kern w:val="0"/>
                      <w:szCs w:val="21"/>
                      <w:lang w:val="en-US" w:eastAsia="zh-CN"/>
                    </w:rPr>
                    <w:t>根据废气特点</w:t>
                  </w:r>
                  <w:r>
                    <w:rPr>
                      <w:rFonts w:hint="eastAsia" w:ascii="Times New Roman" w:hAnsi="Times New Roman" w:eastAsia="仿宋" w:cs="Times New Roman"/>
                      <w:color w:val="auto"/>
                      <w:kern w:val="0"/>
                      <w:szCs w:val="21"/>
                      <w:lang w:val="en-US" w:eastAsia="zh-CN"/>
                    </w:rPr>
                    <w:t>将炼胶</w:t>
                  </w:r>
                  <w:r>
                    <w:rPr>
                      <w:rFonts w:hint="eastAsia" w:eastAsia="仿宋" w:cs="Times New Roman"/>
                      <w:color w:val="auto"/>
                      <w:kern w:val="0"/>
                      <w:szCs w:val="21"/>
                      <w:lang w:val="en-US" w:eastAsia="zh-CN"/>
                    </w:rPr>
                    <w:t>+硫化</w:t>
                  </w:r>
                  <w:r>
                    <w:rPr>
                      <w:rFonts w:hint="eastAsia" w:ascii="Times New Roman" w:hAnsi="Times New Roman" w:eastAsia="仿宋" w:cs="Times New Roman"/>
                      <w:color w:val="auto"/>
                      <w:kern w:val="0"/>
                      <w:szCs w:val="21"/>
                      <w:lang w:val="en-US" w:eastAsia="zh-CN"/>
                    </w:rPr>
                    <w:t>废气</w:t>
                  </w:r>
                  <w:r>
                    <w:rPr>
                      <w:rFonts w:hint="eastAsia" w:eastAsia="仿宋" w:cs="Times New Roman"/>
                      <w:color w:val="auto"/>
                      <w:kern w:val="0"/>
                      <w:szCs w:val="21"/>
                      <w:lang w:val="en-US" w:eastAsia="zh-CN"/>
                    </w:rPr>
                    <w:t>经密闭</w:t>
                  </w:r>
                  <w:r>
                    <w:rPr>
                      <w:rFonts w:hint="eastAsia" w:ascii="Times New Roman" w:hAnsi="Times New Roman" w:eastAsia="仿宋" w:cs="Times New Roman"/>
                      <w:color w:val="auto"/>
                      <w:kern w:val="0"/>
                      <w:szCs w:val="21"/>
                      <w:lang w:val="en-US" w:eastAsia="zh-CN"/>
                    </w:rPr>
                    <w:t>收集，通过“脉冲除尘+水喷淋+</w:t>
                  </w:r>
                  <w:r>
                    <w:rPr>
                      <w:rFonts w:hint="eastAsia" w:eastAsia="仿宋" w:cs="Times New Roman"/>
                      <w:color w:val="auto"/>
                      <w:kern w:val="0"/>
                      <w:szCs w:val="21"/>
                      <w:lang w:val="en-US" w:eastAsia="zh-CN"/>
                    </w:rPr>
                    <w:t>除雾+</w:t>
                  </w:r>
                  <w:r>
                    <w:rPr>
                      <w:rFonts w:hint="eastAsia" w:ascii="Times New Roman" w:hAnsi="Times New Roman" w:eastAsia="仿宋" w:cs="Times New Roman"/>
                      <w:color w:val="auto"/>
                      <w:kern w:val="0"/>
                      <w:szCs w:val="21"/>
                      <w:lang w:val="en-US" w:eastAsia="zh-CN"/>
                    </w:rPr>
                    <w:t>两级活性炭吸附”装置进行处理，定期更换</w:t>
                  </w:r>
                  <w:r>
                    <w:rPr>
                      <w:rFonts w:hint="eastAsia" w:eastAsia="仿宋" w:cs="Times New Roman"/>
                      <w:color w:val="auto"/>
                      <w:kern w:val="0"/>
                      <w:szCs w:val="21"/>
                      <w:lang w:val="en-US" w:eastAsia="zh-CN"/>
                    </w:rPr>
                    <w:t>喷淋水、</w:t>
                  </w:r>
                  <w:r>
                    <w:rPr>
                      <w:rFonts w:hint="eastAsia" w:ascii="Times New Roman" w:hAnsi="Times New Roman" w:eastAsia="仿宋" w:cs="Times New Roman"/>
                      <w:color w:val="auto"/>
                      <w:kern w:val="0"/>
                      <w:szCs w:val="21"/>
                      <w:lang w:val="en-US" w:eastAsia="zh-CN"/>
                    </w:rPr>
                    <w:t>活性炭作为危险废物委托有资质单位处置</w:t>
                  </w:r>
                </w:p>
              </w:tc>
              <w:tc>
                <w:tcPr>
                  <w:tcW w:w="1538" w:type="dxa"/>
                  <w:tcBorders>
                    <w:tl2br w:val="nil"/>
                    <w:tr2bl w:val="nil"/>
                  </w:tcBorders>
                  <w:noWrap w:val="0"/>
                  <w:vAlign w:val="center"/>
                </w:tcPr>
                <w:p w14:paraId="5539A91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是</w:t>
                  </w:r>
                </w:p>
              </w:tc>
            </w:tr>
            <w:tr w14:paraId="57CB1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8" w:type="dxa"/>
                  <w:tcBorders>
                    <w:tl2br w:val="nil"/>
                    <w:tr2bl w:val="nil"/>
                  </w:tcBorders>
                  <w:noWrap w:val="0"/>
                  <w:vAlign w:val="center"/>
                </w:tcPr>
                <w:p w14:paraId="547B1126">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w:t>
                  </w:r>
                </w:p>
              </w:tc>
              <w:tc>
                <w:tcPr>
                  <w:tcW w:w="801" w:type="dxa"/>
                  <w:tcBorders>
                    <w:tl2br w:val="nil"/>
                    <w:tr2bl w:val="nil"/>
                  </w:tcBorders>
                  <w:noWrap w:val="0"/>
                  <w:vAlign w:val="center"/>
                </w:tcPr>
                <w:p w14:paraId="6D49034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规范工程设计</w:t>
                  </w:r>
                </w:p>
              </w:tc>
              <w:tc>
                <w:tcPr>
                  <w:tcW w:w="3250" w:type="dxa"/>
                  <w:tcBorders>
                    <w:tl2br w:val="nil"/>
                    <w:tr2bl w:val="nil"/>
                  </w:tcBorders>
                  <w:noWrap w:val="0"/>
                  <w:vAlign w:val="center"/>
                </w:tcPr>
                <w:p w14:paraId="741E1AEE">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tc>
              <w:tc>
                <w:tcPr>
                  <w:tcW w:w="2708" w:type="dxa"/>
                  <w:tcBorders>
                    <w:tl2br w:val="nil"/>
                    <w:tr2bl w:val="nil"/>
                  </w:tcBorders>
                  <w:noWrap w:val="0"/>
                  <w:vAlign w:val="center"/>
                </w:tcPr>
                <w:p w14:paraId="037A4DE1">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本项目有机废气采用</w:t>
                  </w:r>
                  <w:r>
                    <w:rPr>
                      <w:rFonts w:hint="eastAsia" w:ascii="Times New Roman" w:hAnsi="Times New Roman" w:eastAsia="仿宋" w:cs="Times New Roman"/>
                      <w:color w:val="auto"/>
                      <w:sz w:val="21"/>
                      <w:szCs w:val="21"/>
                      <w:highlight w:val="none"/>
                      <w:lang w:val="en-US" w:eastAsia="zh-CN"/>
                    </w:rPr>
                    <w:t>吸附</w:t>
                  </w:r>
                  <w:r>
                    <w:rPr>
                      <w:rFonts w:hint="eastAsia" w:eastAsia="仿宋" w:cs="Times New Roman"/>
                      <w:color w:val="auto"/>
                      <w:sz w:val="21"/>
                      <w:szCs w:val="21"/>
                      <w:highlight w:val="none"/>
                      <w:lang w:val="en-US" w:eastAsia="zh-CN"/>
                    </w:rPr>
                    <w:t>法</w:t>
                  </w:r>
                  <w:r>
                    <w:rPr>
                      <w:rFonts w:hint="eastAsia" w:ascii="Times New Roman" w:hAnsi="Times New Roman" w:eastAsia="仿宋" w:cs="Times New Roman"/>
                      <w:color w:val="auto"/>
                      <w:sz w:val="21"/>
                      <w:szCs w:val="21"/>
                      <w:highlight w:val="none"/>
                      <w:lang w:val="en-US" w:eastAsia="zh-CN"/>
                    </w:rPr>
                    <w:t>处理</w:t>
                  </w:r>
                  <w:r>
                    <w:rPr>
                      <w:rFonts w:hint="eastAsia" w:ascii="Times New Roman" w:hAnsi="Times New Roman" w:eastAsia="仿宋" w:cs="Times New Roman"/>
                      <w:color w:val="auto"/>
                      <w:kern w:val="2"/>
                      <w:sz w:val="21"/>
                      <w:szCs w:val="21"/>
                      <w:highlight w:val="none"/>
                      <w:lang w:val="en-US" w:eastAsia="zh-CN" w:bidi="ar-SA"/>
                    </w:rPr>
                    <w:t>，严格遵照执行</w:t>
                  </w:r>
                  <w:r>
                    <w:rPr>
                      <w:rFonts w:hint="default" w:ascii="Times New Roman" w:hAnsi="Times New Roman" w:eastAsia="仿宋" w:cs="Times New Roman"/>
                      <w:color w:val="auto"/>
                      <w:sz w:val="21"/>
                      <w:szCs w:val="21"/>
                      <w:highlight w:val="none"/>
                    </w:rPr>
                    <w:t>《吸附法工业有机废气治理工程技术规范</w:t>
                  </w:r>
                  <w:r>
                    <w:rPr>
                      <w:rFonts w:hint="eastAsia" w:ascii="Times New Roman" w:hAnsi="Times New Roman" w:eastAsia="仿宋" w:cs="Times New Roman"/>
                      <w:color w:val="auto"/>
                      <w:sz w:val="21"/>
                      <w:szCs w:val="21"/>
                      <w:highlight w:val="none"/>
                      <w:lang w:val="en-US" w:eastAsia="zh-CN"/>
                    </w:rPr>
                    <w:t>相关要求</w:t>
                  </w:r>
                </w:p>
              </w:tc>
              <w:tc>
                <w:tcPr>
                  <w:tcW w:w="1538" w:type="dxa"/>
                  <w:tcBorders>
                    <w:tl2br w:val="nil"/>
                    <w:tr2bl w:val="nil"/>
                  </w:tcBorders>
                  <w:noWrap w:val="0"/>
                  <w:vAlign w:val="center"/>
                </w:tcPr>
                <w:p w14:paraId="21142A72">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是</w:t>
                  </w:r>
                </w:p>
              </w:tc>
            </w:tr>
            <w:tr w14:paraId="24D12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8" w:type="dxa"/>
                  <w:tcBorders>
                    <w:tl2br w:val="nil"/>
                    <w:tr2bl w:val="nil"/>
                  </w:tcBorders>
                  <w:noWrap w:val="0"/>
                  <w:vAlign w:val="center"/>
                </w:tcPr>
                <w:p w14:paraId="4180314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w:t>
                  </w:r>
                </w:p>
              </w:tc>
              <w:tc>
                <w:tcPr>
                  <w:tcW w:w="801" w:type="dxa"/>
                  <w:tcBorders>
                    <w:tl2br w:val="nil"/>
                    <w:tr2bl w:val="nil"/>
                  </w:tcBorders>
                  <w:noWrap w:val="0"/>
                  <w:vAlign w:val="center"/>
                </w:tcPr>
                <w:p w14:paraId="275AF94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实行重点排放源排放浓度与去除效率双重控制</w:t>
                  </w:r>
                </w:p>
              </w:tc>
              <w:tc>
                <w:tcPr>
                  <w:tcW w:w="3250" w:type="dxa"/>
                  <w:tcBorders>
                    <w:tl2br w:val="nil"/>
                    <w:tr2bl w:val="nil"/>
                  </w:tcBorders>
                  <w:noWrap w:val="0"/>
                  <w:vAlign w:val="center"/>
                </w:tcPr>
                <w:p w14:paraId="4688EE8A">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2708" w:type="dxa"/>
                  <w:tcBorders>
                    <w:tl2br w:val="nil"/>
                    <w:tr2bl w:val="nil"/>
                  </w:tcBorders>
                  <w:noWrap w:val="0"/>
                  <w:vAlign w:val="center"/>
                </w:tcPr>
                <w:p w14:paraId="662542A4">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0"/>
                      <w:sz w:val="21"/>
                      <w:szCs w:val="21"/>
                      <w:lang w:val="en-US" w:eastAsia="zh-CN" w:bidi="ar"/>
                    </w:rPr>
                    <w:t>本项目位于重点区域，</w:t>
                  </w:r>
                  <w:r>
                    <w:rPr>
                      <w:rFonts w:hint="default" w:ascii="Times New Roman" w:hAnsi="Times New Roman" w:eastAsia="仿宋" w:cs="Times New Roman"/>
                      <w:color w:val="auto"/>
                      <w:kern w:val="0"/>
                      <w:sz w:val="21"/>
                      <w:szCs w:val="21"/>
                      <w:lang w:val="en-US" w:eastAsia="zh-CN" w:bidi="ar"/>
                    </w:rPr>
                    <w:t>非甲烷总烃初始排放速率</w:t>
                  </w:r>
                  <w:r>
                    <w:rPr>
                      <w:rFonts w:hint="eastAsia" w:eastAsia="仿宋" w:cs="Times New Roman"/>
                      <w:color w:val="auto"/>
                      <w:kern w:val="0"/>
                      <w:sz w:val="21"/>
                      <w:szCs w:val="21"/>
                      <w:lang w:val="en-US" w:eastAsia="zh-CN" w:bidi="ar"/>
                    </w:rPr>
                    <w:t>不超过</w:t>
                  </w:r>
                  <w:r>
                    <w:rPr>
                      <w:rFonts w:hint="default" w:ascii="Times New Roman" w:hAnsi="Times New Roman" w:eastAsia="仿宋" w:cs="Times New Roman"/>
                      <w:color w:val="auto"/>
                      <w:kern w:val="0"/>
                      <w:sz w:val="21"/>
                      <w:szCs w:val="21"/>
                      <w:lang w:val="en-US" w:eastAsia="zh-CN" w:bidi="ar"/>
                    </w:rPr>
                    <w:t>2kg/h，配备</w:t>
                  </w:r>
                  <w:r>
                    <w:rPr>
                      <w:rFonts w:hint="eastAsia" w:eastAsia="仿宋" w:cs="Times New Roman"/>
                      <w:color w:val="auto"/>
                      <w:kern w:val="0"/>
                      <w:sz w:val="21"/>
                      <w:szCs w:val="21"/>
                      <w:lang w:val="en-US" w:eastAsia="zh-CN" w:bidi="ar"/>
                    </w:rPr>
                    <w:t>“两级活性炭吸附”</w:t>
                  </w:r>
                  <w:r>
                    <w:rPr>
                      <w:rFonts w:hint="eastAsia" w:ascii="Times New Roman" w:hAnsi="Times New Roman" w:eastAsia="仿宋" w:cs="Times New Roman"/>
                      <w:color w:val="auto"/>
                      <w:szCs w:val="21"/>
                      <w:lang w:val="en-US" w:eastAsia="zh-CN"/>
                    </w:rPr>
                    <w:t>装置</w:t>
                  </w:r>
                  <w:r>
                    <w:rPr>
                      <w:rFonts w:hint="default" w:ascii="Times New Roman" w:hAnsi="Times New Roman" w:eastAsia="仿宋" w:cs="Times New Roman"/>
                      <w:color w:val="auto"/>
                      <w:kern w:val="0"/>
                      <w:sz w:val="21"/>
                      <w:szCs w:val="21"/>
                      <w:lang w:val="en-US" w:eastAsia="zh-CN" w:bidi="ar"/>
                    </w:rPr>
                    <w:t>，处理效率</w:t>
                  </w:r>
                  <w:r>
                    <w:rPr>
                      <w:rFonts w:hint="eastAsia" w:eastAsia="仿宋" w:cs="Times New Roman"/>
                      <w:color w:val="auto"/>
                      <w:kern w:val="0"/>
                      <w:sz w:val="21"/>
                      <w:szCs w:val="21"/>
                      <w:lang w:val="en-US" w:eastAsia="zh-CN" w:bidi="ar"/>
                    </w:rPr>
                    <w:t>不低于90%</w:t>
                  </w:r>
                </w:p>
              </w:tc>
              <w:tc>
                <w:tcPr>
                  <w:tcW w:w="1538" w:type="dxa"/>
                  <w:tcBorders>
                    <w:tl2br w:val="nil"/>
                    <w:tr2bl w:val="nil"/>
                  </w:tcBorders>
                  <w:noWrap w:val="0"/>
                  <w:vAlign w:val="center"/>
                </w:tcPr>
                <w:p w14:paraId="535CFA56">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是</w:t>
                  </w:r>
                </w:p>
              </w:tc>
            </w:tr>
          </w:tbl>
          <w:p w14:paraId="28EBAD84">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因此，本项目建设符合《重点行业挥发性有机物综合治理方案》（环大气[2019]53号）的相关要求。</w:t>
            </w:r>
          </w:p>
          <w:p w14:paraId="225C88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⑩与《挥发性有机物无组织排放控制标准》（GB37822-2019）的相符性分析</w:t>
            </w:r>
          </w:p>
          <w:p w14:paraId="4D9D0022">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1"/>
                <w:highlight w:val="none"/>
              </w:rPr>
              <w:t>根据《挥发性有机物无组织排放控制标准》（GB37822-2019），相关要求对照分析</w:t>
            </w:r>
            <w:r>
              <w:rPr>
                <w:rFonts w:hint="eastAsia" w:ascii="Times New Roman" w:hAnsi="Times New Roman" w:eastAsia="宋体" w:cs="Times New Roman"/>
                <w:color w:val="auto"/>
                <w:sz w:val="21"/>
                <w:szCs w:val="21"/>
                <w:highlight w:val="none"/>
                <w:lang w:val="en-US" w:eastAsia="zh-CN"/>
              </w:rPr>
              <w:t>详</w:t>
            </w:r>
            <w:r>
              <w:rPr>
                <w:rFonts w:hint="default" w:ascii="Times New Roman" w:hAnsi="Times New Roman" w:eastAsia="宋体" w:cs="Times New Roman"/>
                <w:color w:val="auto"/>
                <w:sz w:val="21"/>
                <w:szCs w:val="21"/>
                <w:highlight w:val="none"/>
                <w:lang w:eastAsia="zh-CN"/>
              </w:rPr>
              <w:t>见</w:t>
            </w:r>
            <w:r>
              <w:rPr>
                <w:rFonts w:hint="eastAsia" w:ascii="Times New Roman" w:hAnsi="Times New Roman" w:eastAsia="宋体" w:cs="Times New Roman"/>
                <w:color w:val="auto"/>
                <w:sz w:val="21"/>
                <w:szCs w:val="21"/>
                <w:highlight w:val="none"/>
                <w:lang w:val="en-US" w:eastAsia="zh-CN"/>
              </w:rPr>
              <w:t>下表：</w:t>
            </w:r>
          </w:p>
          <w:p w14:paraId="40AF3B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rPr>
              <w:t>表1-</w:t>
            </w:r>
            <w:r>
              <w:rPr>
                <w:rFonts w:hint="eastAsia" w:cs="Times New Roman"/>
                <w:b/>
                <w:color w:val="auto"/>
                <w:kern w:val="0"/>
                <w:sz w:val="21"/>
                <w:szCs w:val="21"/>
                <w:lang w:val="en-US" w:eastAsia="zh-CN"/>
              </w:rPr>
              <w:t>12</w:t>
            </w:r>
            <w:r>
              <w:rPr>
                <w:rFonts w:hint="default" w:ascii="Times New Roman" w:hAnsi="Times New Roman" w:eastAsia="宋体" w:cs="Times New Roman"/>
                <w:b/>
                <w:color w:val="auto"/>
                <w:kern w:val="0"/>
                <w:sz w:val="21"/>
                <w:szCs w:val="21"/>
              </w:rPr>
              <w:t xml:space="preserve">  </w:t>
            </w:r>
            <w:r>
              <w:rPr>
                <w:rFonts w:hint="eastAsia" w:ascii="Times New Roman" w:hAnsi="Times New Roman" w:eastAsia="宋体" w:cs="Times New Roman"/>
                <w:b/>
                <w:bCs/>
                <w:color w:val="auto"/>
                <w:highlight w:val="none"/>
                <w:lang w:val="en-US" w:eastAsia="zh-CN"/>
              </w:rPr>
              <w:t>《挥发性有机物无组织排放控制标准》（GB37822-2019）</w:t>
            </w:r>
            <w:r>
              <w:rPr>
                <w:rFonts w:hint="default" w:ascii="Times New Roman" w:hAnsi="Times New Roman" w:eastAsia="宋体" w:cs="Times New Roman"/>
                <w:b/>
                <w:color w:val="auto"/>
                <w:kern w:val="0"/>
                <w:sz w:val="21"/>
                <w:szCs w:val="21"/>
              </w:rPr>
              <w:t>分析</w:t>
            </w:r>
            <w:r>
              <w:rPr>
                <w:rFonts w:hint="eastAsia" w:cs="Times New Roman"/>
                <w:b/>
                <w:color w:val="auto"/>
                <w:kern w:val="0"/>
                <w:sz w:val="21"/>
                <w:szCs w:val="21"/>
                <w:lang w:val="en-US" w:eastAsia="zh-CN"/>
              </w:rPr>
              <w:t>判定对照表</w:t>
            </w:r>
          </w:p>
          <w:tbl>
            <w:tblPr>
              <w:tblStyle w:val="28"/>
              <w:tblW w:w="900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010"/>
              <w:gridCol w:w="3050"/>
              <w:gridCol w:w="2515"/>
              <w:gridCol w:w="1518"/>
            </w:tblGrid>
            <w:tr w14:paraId="2CFBA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74" w:type="dxa"/>
                  <w:gridSpan w:val="3"/>
                  <w:tcBorders>
                    <w:tl2br w:val="nil"/>
                    <w:tr2bl w:val="nil"/>
                  </w:tcBorders>
                  <w:noWrap w:val="0"/>
                  <w:vAlign w:val="center"/>
                </w:tcPr>
                <w:p w14:paraId="0EF7AA20">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 w:val="0"/>
                      <w:bCs w:val="0"/>
                      <w:color w:val="auto"/>
                      <w:sz w:val="21"/>
                      <w:szCs w:val="21"/>
                      <w:vertAlign w:val="baseline"/>
                      <w:lang w:val="en-US" w:eastAsia="zh-CN"/>
                    </w:rPr>
                  </w:pPr>
                  <w:r>
                    <w:rPr>
                      <w:rFonts w:hint="eastAsia" w:ascii="仿宋" w:hAnsi="仿宋" w:eastAsia="仿宋" w:cs="仿宋"/>
                      <w:b w:val="0"/>
                      <w:bCs w:val="0"/>
                      <w:color w:val="auto"/>
                      <w:sz w:val="21"/>
                      <w:szCs w:val="21"/>
                      <w:vertAlign w:val="baseline"/>
                      <w:lang w:val="en-US" w:eastAsia="zh-CN"/>
                    </w:rPr>
                    <w:t>相关控制要求</w:t>
                  </w:r>
                </w:p>
              </w:tc>
              <w:tc>
                <w:tcPr>
                  <w:tcW w:w="2515" w:type="dxa"/>
                  <w:tcBorders>
                    <w:tl2br w:val="nil"/>
                    <w:tr2bl w:val="nil"/>
                  </w:tcBorders>
                  <w:noWrap w:val="0"/>
                  <w:vAlign w:val="center"/>
                </w:tcPr>
                <w:p w14:paraId="611309CD">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 w:val="0"/>
                      <w:bCs w:val="0"/>
                      <w:color w:val="auto"/>
                      <w:sz w:val="21"/>
                      <w:szCs w:val="21"/>
                      <w:vertAlign w:val="baseline"/>
                      <w:lang w:val="en-US" w:eastAsia="zh-CN"/>
                    </w:rPr>
                  </w:pPr>
                  <w:r>
                    <w:rPr>
                      <w:rFonts w:hint="eastAsia" w:ascii="仿宋" w:hAnsi="仿宋" w:eastAsia="仿宋" w:cs="仿宋"/>
                      <w:b w:val="0"/>
                      <w:bCs w:val="0"/>
                      <w:color w:val="auto"/>
                      <w:sz w:val="21"/>
                      <w:szCs w:val="21"/>
                      <w:vertAlign w:val="baseline"/>
                      <w:lang w:val="en-US" w:eastAsia="zh-CN"/>
                    </w:rPr>
                    <w:t>本项目情况</w:t>
                  </w:r>
                </w:p>
              </w:tc>
              <w:tc>
                <w:tcPr>
                  <w:tcW w:w="1518" w:type="dxa"/>
                  <w:tcBorders>
                    <w:tl2br w:val="nil"/>
                    <w:tr2bl w:val="nil"/>
                  </w:tcBorders>
                  <w:noWrap w:val="0"/>
                  <w:vAlign w:val="center"/>
                </w:tcPr>
                <w:p w14:paraId="6D1E76B0">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 w:val="0"/>
                      <w:bCs w:val="0"/>
                      <w:color w:val="auto"/>
                      <w:sz w:val="21"/>
                      <w:szCs w:val="21"/>
                      <w:vertAlign w:val="baseline"/>
                      <w:lang w:val="en-US" w:eastAsia="zh-CN"/>
                    </w:rPr>
                  </w:pPr>
                  <w:r>
                    <w:rPr>
                      <w:rFonts w:hint="default" w:ascii="Times New Roman" w:hAnsi="Times New Roman" w:eastAsia="仿宋" w:cs="Times New Roman"/>
                      <w:color w:val="auto"/>
                      <w:sz w:val="21"/>
                      <w:szCs w:val="21"/>
                      <w:highlight w:val="none"/>
                    </w:rPr>
                    <w:t>是否满足要求</w:t>
                  </w:r>
                </w:p>
              </w:tc>
            </w:tr>
            <w:tr w14:paraId="74CD0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restart"/>
                  <w:tcBorders>
                    <w:tl2br w:val="nil"/>
                    <w:tr2bl w:val="nil"/>
                  </w:tcBorders>
                  <w:noWrap w:val="0"/>
                  <w:vAlign w:val="center"/>
                </w:tcPr>
                <w:p w14:paraId="55A3E9E9">
                  <w:pPr>
                    <w:keepNext w:val="0"/>
                    <w:keepLines w:val="0"/>
                    <w:widowControl/>
                    <w:suppressLineNumbers w:val="0"/>
                    <w:spacing w:before="0" w:beforeAutospacing="0" w:after="0" w:afterAutospacing="0" w:line="240" w:lineRule="auto"/>
                    <w:ind w:left="0" w:right="0"/>
                    <w:jc w:val="center"/>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 xml:space="preserve">7 </w:t>
                  </w:r>
                  <w:r>
                    <w:rPr>
                      <w:rFonts w:hint="default" w:ascii="仿宋" w:hAnsi="仿宋" w:eastAsia="仿宋" w:cs="仿宋"/>
                      <w:color w:val="auto"/>
                      <w:kern w:val="0"/>
                      <w:sz w:val="21"/>
                      <w:szCs w:val="21"/>
                      <w:lang w:val="en-US" w:eastAsia="zh-CN" w:bidi="ar"/>
                    </w:rPr>
                    <w:t>工艺过</w:t>
                  </w:r>
                  <w:r>
                    <w:rPr>
                      <w:rFonts w:hint="eastAsia" w:ascii="仿宋" w:hAnsi="仿宋" w:eastAsia="仿宋" w:cs="仿宋"/>
                      <w:color w:val="auto"/>
                      <w:kern w:val="0"/>
                      <w:sz w:val="21"/>
                      <w:szCs w:val="21"/>
                      <w:lang w:val="en-US" w:eastAsia="zh-CN" w:bidi="ar"/>
                    </w:rPr>
                    <w:t>程</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无组织排放控制要求</w:t>
                  </w:r>
                </w:p>
              </w:tc>
              <w:tc>
                <w:tcPr>
                  <w:tcW w:w="1010" w:type="dxa"/>
                  <w:tcBorders>
                    <w:tl2br w:val="nil"/>
                    <w:tr2bl w:val="nil"/>
                  </w:tcBorders>
                  <w:noWrap w:val="0"/>
                  <w:vAlign w:val="center"/>
                </w:tcPr>
                <w:p w14:paraId="72047E57">
                  <w:pPr>
                    <w:keepNext w:val="0"/>
                    <w:keepLines w:val="0"/>
                    <w:widowControl/>
                    <w:suppressLineNumbers w:val="0"/>
                    <w:spacing w:before="0" w:beforeAutospacing="0" w:after="0" w:afterAutospacing="0" w:line="240" w:lineRule="auto"/>
                    <w:ind w:left="0" w:right="0"/>
                    <w:jc w:val="center"/>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7.2</w:t>
                  </w:r>
                  <w:r>
                    <w:rPr>
                      <w:rFonts w:hint="eastAsia" w:cs="Times New Roman"/>
                      <w:color w:val="auto"/>
                      <w:sz w:val="21"/>
                      <w:szCs w:val="21"/>
                      <w:lang w:val="en-US" w:eastAsia="zh-CN"/>
                    </w:rPr>
                    <w:t xml:space="preserve"> </w:t>
                  </w:r>
                  <w:r>
                    <w:rPr>
                      <w:rFonts w:hint="default" w:ascii="仿宋" w:hAnsi="仿宋" w:eastAsia="仿宋" w:cs="仿宋"/>
                      <w:color w:val="auto"/>
                      <w:kern w:val="0"/>
                      <w:sz w:val="21"/>
                      <w:szCs w:val="21"/>
                      <w:lang w:val="en-US" w:eastAsia="zh-CN" w:bidi="ar"/>
                    </w:rPr>
                    <w:t>含</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产品的使用过程</w:t>
                  </w:r>
                </w:p>
              </w:tc>
              <w:tc>
                <w:tcPr>
                  <w:tcW w:w="3050" w:type="dxa"/>
                  <w:tcBorders>
                    <w:tl2br w:val="nil"/>
                    <w:tr2bl w:val="nil"/>
                  </w:tcBorders>
                  <w:noWrap w:val="0"/>
                  <w:vAlign w:val="center"/>
                </w:tcPr>
                <w:p w14:paraId="4DA3D8F9">
                  <w:pPr>
                    <w:keepNext w:val="0"/>
                    <w:keepLines w:val="0"/>
                    <w:widowControl/>
                    <w:suppressLineNumbers w:val="0"/>
                    <w:spacing w:before="0" w:beforeAutospacing="0" w:after="0" w:afterAutospacing="0" w:line="240" w:lineRule="auto"/>
                    <w:ind w:left="0" w:right="0"/>
                    <w:jc w:val="both"/>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7.2.1 VOCs</w:t>
                  </w:r>
                  <w:r>
                    <w:rPr>
                      <w:rFonts w:hint="default" w:ascii="仿宋" w:hAnsi="仿宋" w:eastAsia="仿宋" w:cs="仿宋"/>
                      <w:color w:val="auto"/>
                      <w:kern w:val="0"/>
                      <w:sz w:val="21"/>
                      <w:szCs w:val="21"/>
                      <w:lang w:val="en-US" w:eastAsia="zh-CN" w:bidi="ar"/>
                    </w:rPr>
                    <w:t>质量占比大于等于</w:t>
                  </w:r>
                  <w:r>
                    <w:rPr>
                      <w:rFonts w:hint="default" w:ascii="Times New Roman" w:hAnsi="Times New Roman" w:eastAsia="宋体" w:cs="Times New Roman"/>
                      <w:color w:val="auto"/>
                      <w:kern w:val="0"/>
                      <w:sz w:val="21"/>
                      <w:szCs w:val="21"/>
                      <w:lang w:val="en-US" w:eastAsia="zh-CN" w:bidi="ar"/>
                    </w:rPr>
                    <w:t>10%</w:t>
                  </w:r>
                  <w:r>
                    <w:rPr>
                      <w:rFonts w:hint="eastAsia" w:ascii="仿宋" w:hAnsi="仿宋" w:eastAsia="仿宋" w:cs="仿宋"/>
                      <w:color w:val="auto"/>
                      <w:kern w:val="0"/>
                      <w:sz w:val="21"/>
                      <w:szCs w:val="21"/>
                      <w:lang w:val="en-US" w:eastAsia="zh-CN" w:bidi="ar"/>
                    </w:rPr>
                    <w:t>的含</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产品，其使用过程应采用密闭设备或在密闭空间内操作，废气应排至</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废气收集处理系统；无法密闭的，应采取局部气体收集措施，废气应排至</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废气收集处理系统。含</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产品的使用过程包括但不限于以下作业：</w:t>
                  </w:r>
                  <w:r>
                    <w:rPr>
                      <w:rFonts w:hint="default" w:ascii="Times New Roman" w:hAnsi="Times New Roman" w:eastAsia="宋体" w:cs="Times New Roman"/>
                      <w:color w:val="auto"/>
                      <w:kern w:val="0"/>
                      <w:sz w:val="21"/>
                      <w:szCs w:val="21"/>
                      <w:lang w:val="en-US" w:eastAsia="zh-CN" w:bidi="ar"/>
                    </w:rPr>
                    <w:t>a</w:t>
                  </w:r>
                  <w:r>
                    <w:rPr>
                      <w:rFonts w:hint="eastAsia" w:ascii="仿宋" w:hAnsi="仿宋" w:eastAsia="仿宋" w:cs="仿宋"/>
                      <w:color w:val="auto"/>
                      <w:kern w:val="0"/>
                      <w:sz w:val="21"/>
                      <w:szCs w:val="21"/>
                      <w:lang w:val="en-US" w:eastAsia="zh-CN" w:bidi="ar"/>
                    </w:rPr>
                    <w:t>）调配（混合、搅拌等）；</w:t>
                  </w:r>
                  <w:r>
                    <w:rPr>
                      <w:rFonts w:hint="default" w:ascii="Times New Roman" w:hAnsi="Times New Roman" w:eastAsia="宋体" w:cs="Times New Roman"/>
                      <w:color w:val="auto"/>
                      <w:kern w:val="0"/>
                      <w:sz w:val="21"/>
                      <w:szCs w:val="21"/>
                      <w:lang w:val="en-US" w:eastAsia="zh-CN" w:bidi="ar"/>
                    </w:rPr>
                    <w:t>b</w:t>
                  </w:r>
                  <w:r>
                    <w:rPr>
                      <w:rFonts w:hint="eastAsia" w:ascii="仿宋" w:hAnsi="仿宋" w:eastAsia="仿宋" w:cs="仿宋"/>
                      <w:color w:val="auto"/>
                      <w:kern w:val="0"/>
                      <w:sz w:val="21"/>
                      <w:szCs w:val="21"/>
                      <w:lang w:val="en-US" w:eastAsia="zh-CN" w:bidi="ar"/>
                    </w:rPr>
                    <w:t>）涂装（喷涂、浸涂、淋涂、辊涂、刷涂、涂布等）；</w:t>
                  </w:r>
                  <w:r>
                    <w:rPr>
                      <w:rFonts w:hint="default" w:ascii="Times New Roman" w:hAnsi="Times New Roman" w:eastAsia="宋体" w:cs="Times New Roman"/>
                      <w:color w:val="auto"/>
                      <w:kern w:val="0"/>
                      <w:sz w:val="21"/>
                      <w:szCs w:val="21"/>
                      <w:lang w:val="en-US" w:eastAsia="zh-CN" w:bidi="ar"/>
                    </w:rPr>
                    <w:t>f</w:t>
                  </w:r>
                  <w:r>
                    <w:rPr>
                      <w:rFonts w:hint="eastAsia" w:ascii="仿宋" w:hAnsi="仿宋" w:eastAsia="仿宋" w:cs="仿宋"/>
                      <w:color w:val="auto"/>
                      <w:kern w:val="0"/>
                      <w:sz w:val="21"/>
                      <w:szCs w:val="21"/>
                      <w:lang w:val="en-US" w:eastAsia="zh-CN" w:bidi="ar"/>
                    </w:rPr>
                    <w:t>）干燥（烘干、风干、晾干等）；</w:t>
                  </w:r>
                </w:p>
              </w:tc>
              <w:tc>
                <w:tcPr>
                  <w:tcW w:w="2515" w:type="dxa"/>
                  <w:tcBorders>
                    <w:tl2br w:val="nil"/>
                    <w:tr2bl w:val="nil"/>
                  </w:tcBorders>
                  <w:noWrap w:val="0"/>
                  <w:vAlign w:val="center"/>
                </w:tcPr>
                <w:p w14:paraId="4CD50C2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本项目按应收尽收原则，</w:t>
                  </w:r>
                  <w:r>
                    <w:rPr>
                      <w:rFonts w:hint="default" w:ascii="Times New Roman" w:hAnsi="Times New Roman" w:eastAsia="仿宋" w:cs="Times New Roman"/>
                      <w:color w:val="auto"/>
                      <w:kern w:val="0"/>
                      <w:szCs w:val="21"/>
                      <w:lang w:val="en-US" w:eastAsia="zh-CN"/>
                    </w:rPr>
                    <w:t>根据废气特点</w:t>
                  </w:r>
                  <w:r>
                    <w:rPr>
                      <w:rFonts w:hint="eastAsia" w:ascii="Times New Roman" w:hAnsi="Times New Roman" w:eastAsia="仿宋" w:cs="Times New Roman"/>
                      <w:color w:val="auto"/>
                      <w:kern w:val="0"/>
                      <w:szCs w:val="21"/>
                      <w:lang w:val="en-US" w:eastAsia="zh-CN"/>
                    </w:rPr>
                    <w:t>将炼胶+硫化废气</w:t>
                  </w:r>
                  <w:r>
                    <w:rPr>
                      <w:rFonts w:hint="eastAsia" w:eastAsia="仿宋" w:cs="Times New Roman"/>
                      <w:color w:val="auto"/>
                      <w:kern w:val="0"/>
                      <w:szCs w:val="21"/>
                      <w:lang w:val="en-US" w:eastAsia="zh-CN"/>
                    </w:rPr>
                    <w:t>经密闭</w:t>
                  </w:r>
                  <w:r>
                    <w:rPr>
                      <w:rFonts w:hint="eastAsia" w:ascii="Times New Roman" w:hAnsi="Times New Roman" w:eastAsia="仿宋" w:cs="Times New Roman"/>
                      <w:color w:val="auto"/>
                      <w:kern w:val="0"/>
                      <w:szCs w:val="21"/>
                      <w:lang w:val="en-US" w:eastAsia="zh-CN"/>
                    </w:rPr>
                    <w:t>收集，通过“脉冲除尘+水喷淋+</w:t>
                  </w:r>
                  <w:r>
                    <w:rPr>
                      <w:rFonts w:hint="eastAsia" w:eastAsia="仿宋" w:cs="Times New Roman"/>
                      <w:color w:val="auto"/>
                      <w:kern w:val="0"/>
                      <w:szCs w:val="21"/>
                      <w:lang w:val="en-US" w:eastAsia="zh-CN"/>
                    </w:rPr>
                    <w:t>除雾+</w:t>
                  </w:r>
                  <w:r>
                    <w:rPr>
                      <w:rFonts w:hint="eastAsia" w:ascii="Times New Roman" w:hAnsi="Times New Roman" w:eastAsia="仿宋" w:cs="Times New Roman"/>
                      <w:color w:val="auto"/>
                      <w:kern w:val="0"/>
                      <w:szCs w:val="21"/>
                      <w:lang w:val="en-US" w:eastAsia="zh-CN"/>
                    </w:rPr>
                    <w:t>两级活性炭吸附”装置（</w:t>
                  </w:r>
                  <w:r>
                    <w:rPr>
                      <w:rFonts w:hint="eastAsia" w:eastAsia="仿宋" w:cs="Times New Roman"/>
                      <w:color w:val="auto"/>
                      <w:kern w:val="0"/>
                      <w:szCs w:val="21"/>
                      <w:lang w:val="en-US" w:eastAsia="zh-CN"/>
                    </w:rPr>
                    <w:t>TA002</w:t>
                  </w:r>
                  <w:r>
                    <w:rPr>
                      <w:rFonts w:hint="eastAsia" w:ascii="Times New Roman" w:hAnsi="Times New Roman" w:eastAsia="仿宋" w:cs="Times New Roman"/>
                      <w:color w:val="auto"/>
                      <w:kern w:val="0"/>
                      <w:szCs w:val="21"/>
                      <w:lang w:val="en-US" w:eastAsia="zh-CN"/>
                    </w:rPr>
                    <w:t>）进行处理</w:t>
                  </w:r>
                </w:p>
              </w:tc>
              <w:tc>
                <w:tcPr>
                  <w:tcW w:w="1518" w:type="dxa"/>
                  <w:tcBorders>
                    <w:tl2br w:val="nil"/>
                    <w:tr2bl w:val="nil"/>
                  </w:tcBorders>
                  <w:noWrap w:val="0"/>
                  <w:vAlign w:val="center"/>
                </w:tcPr>
                <w:p w14:paraId="076B2F99">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是</w:t>
                  </w:r>
                </w:p>
              </w:tc>
            </w:tr>
            <w:tr w14:paraId="4AF6A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tcBorders>
                    <w:tl2br w:val="nil"/>
                    <w:tr2bl w:val="nil"/>
                  </w:tcBorders>
                  <w:noWrap w:val="0"/>
                  <w:vAlign w:val="center"/>
                </w:tcPr>
                <w:p w14:paraId="50A87C4E">
                  <w:pPr>
                    <w:pStyle w:val="8"/>
                    <w:keepNext w:val="0"/>
                    <w:keepLines w:val="0"/>
                    <w:suppressLineNumbers w:val="0"/>
                    <w:spacing w:beforeAutospacing="0" w:afterAutospacing="0" w:line="240" w:lineRule="auto"/>
                    <w:ind w:left="0"/>
                    <w:jc w:val="center"/>
                    <w:rPr>
                      <w:rFonts w:hint="default" w:cs="Times New Roman"/>
                      <w:color w:val="auto"/>
                      <w:sz w:val="21"/>
                      <w:szCs w:val="21"/>
                      <w:vertAlign w:val="baseline"/>
                      <w:lang w:val="en-US" w:eastAsia="zh-CN"/>
                    </w:rPr>
                  </w:pPr>
                </w:p>
              </w:tc>
              <w:tc>
                <w:tcPr>
                  <w:tcW w:w="1010" w:type="dxa"/>
                  <w:tcBorders>
                    <w:tl2br w:val="nil"/>
                    <w:tr2bl w:val="nil"/>
                  </w:tcBorders>
                  <w:noWrap w:val="0"/>
                  <w:vAlign w:val="center"/>
                </w:tcPr>
                <w:p w14:paraId="198ABA90">
                  <w:pPr>
                    <w:keepNext w:val="0"/>
                    <w:keepLines w:val="0"/>
                    <w:widowControl/>
                    <w:suppressLineNumbers w:val="0"/>
                    <w:spacing w:before="0" w:beforeAutospacing="0" w:after="0" w:afterAutospacing="0" w:line="240" w:lineRule="auto"/>
                    <w:ind w:left="0" w:right="0"/>
                    <w:jc w:val="center"/>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 xml:space="preserve">7.3 </w:t>
                  </w:r>
                  <w:r>
                    <w:rPr>
                      <w:rFonts w:hint="default" w:ascii="仿宋" w:hAnsi="仿宋" w:eastAsia="仿宋" w:cs="仿宋"/>
                      <w:color w:val="auto"/>
                      <w:kern w:val="0"/>
                      <w:sz w:val="21"/>
                      <w:szCs w:val="21"/>
                      <w:lang w:val="en-US" w:eastAsia="zh-CN" w:bidi="ar"/>
                    </w:rPr>
                    <w:t>其</w:t>
                  </w:r>
                  <w:r>
                    <w:rPr>
                      <w:rFonts w:hint="eastAsia" w:ascii="仿宋" w:hAnsi="仿宋" w:eastAsia="仿宋" w:cs="仿宋"/>
                      <w:color w:val="auto"/>
                      <w:kern w:val="0"/>
                      <w:sz w:val="21"/>
                      <w:szCs w:val="21"/>
                      <w:lang w:val="en-US" w:eastAsia="zh-CN" w:bidi="ar"/>
                    </w:rPr>
                    <w:t>他要求</w:t>
                  </w:r>
                </w:p>
              </w:tc>
              <w:tc>
                <w:tcPr>
                  <w:tcW w:w="3050" w:type="dxa"/>
                  <w:tcBorders>
                    <w:tl2br w:val="nil"/>
                    <w:tr2bl w:val="nil"/>
                  </w:tcBorders>
                  <w:noWrap w:val="0"/>
                  <w:vAlign w:val="center"/>
                </w:tcPr>
                <w:p w14:paraId="5BDE54B5">
                  <w:pPr>
                    <w:keepNext w:val="0"/>
                    <w:keepLines w:val="0"/>
                    <w:widowControl/>
                    <w:suppressLineNumbers w:val="0"/>
                    <w:spacing w:before="0" w:beforeAutospacing="0" w:after="0" w:afterAutospacing="0" w:line="240" w:lineRule="auto"/>
                    <w:ind w:left="0" w:right="0"/>
                    <w:jc w:val="both"/>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 xml:space="preserve">7.3.1 </w:t>
                  </w:r>
                  <w:r>
                    <w:rPr>
                      <w:rFonts w:hint="default" w:ascii="仿宋" w:hAnsi="仿宋" w:eastAsia="仿宋" w:cs="仿宋"/>
                      <w:color w:val="auto"/>
                      <w:kern w:val="0"/>
                      <w:sz w:val="21"/>
                      <w:szCs w:val="21"/>
                      <w:lang w:val="en-US" w:eastAsia="zh-CN" w:bidi="ar"/>
                    </w:rPr>
                    <w:t>企业应建立台账，记录含</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原辅材料和含</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产品的名称、使用量、回收量、废弃量、去向以及</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含量等信息。台账保存期限不少于</w:t>
                  </w:r>
                  <w:r>
                    <w:rPr>
                      <w:rFonts w:hint="default" w:ascii="Times New Roman" w:hAnsi="Times New Roman" w:eastAsia="宋体" w:cs="Times New Roman"/>
                      <w:color w:val="auto"/>
                      <w:kern w:val="0"/>
                      <w:sz w:val="21"/>
                      <w:szCs w:val="21"/>
                      <w:lang w:val="en-US" w:eastAsia="zh-CN" w:bidi="ar"/>
                    </w:rPr>
                    <w:t>3</w:t>
                  </w:r>
                  <w:r>
                    <w:rPr>
                      <w:rFonts w:hint="eastAsia" w:ascii="仿宋" w:hAnsi="仿宋" w:eastAsia="仿宋" w:cs="仿宋"/>
                      <w:color w:val="auto"/>
                      <w:kern w:val="0"/>
                      <w:sz w:val="21"/>
                      <w:szCs w:val="21"/>
                      <w:lang w:val="en-US" w:eastAsia="zh-CN" w:bidi="ar"/>
                    </w:rPr>
                    <w:t>年。</w:t>
                  </w:r>
                </w:p>
              </w:tc>
              <w:tc>
                <w:tcPr>
                  <w:tcW w:w="2515" w:type="dxa"/>
                  <w:tcBorders>
                    <w:tl2br w:val="nil"/>
                    <w:tr2bl w:val="nil"/>
                  </w:tcBorders>
                  <w:noWrap w:val="0"/>
                  <w:vAlign w:val="center"/>
                </w:tcPr>
                <w:p w14:paraId="00D036B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严格遵照执行</w:t>
                  </w:r>
                </w:p>
              </w:tc>
              <w:tc>
                <w:tcPr>
                  <w:tcW w:w="1518" w:type="dxa"/>
                  <w:tcBorders>
                    <w:tl2br w:val="nil"/>
                    <w:tr2bl w:val="nil"/>
                  </w:tcBorders>
                  <w:noWrap w:val="0"/>
                  <w:vAlign w:val="center"/>
                </w:tcPr>
                <w:p w14:paraId="5B2F7347">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是</w:t>
                  </w:r>
                </w:p>
              </w:tc>
            </w:tr>
            <w:tr w14:paraId="75726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1" w:hRule="atLeast"/>
              </w:trPr>
              <w:tc>
                <w:tcPr>
                  <w:tcW w:w="914" w:type="dxa"/>
                  <w:vMerge w:val="restart"/>
                  <w:tcBorders>
                    <w:tl2br w:val="nil"/>
                    <w:tr2bl w:val="nil"/>
                  </w:tcBorders>
                  <w:noWrap w:val="0"/>
                  <w:vAlign w:val="center"/>
                </w:tcPr>
                <w:p w14:paraId="23DC049B">
                  <w:pPr>
                    <w:keepNext w:val="0"/>
                    <w:keepLines w:val="0"/>
                    <w:widowControl/>
                    <w:suppressLineNumbers w:val="0"/>
                    <w:spacing w:before="0" w:beforeAutospacing="0" w:after="0" w:afterAutospacing="0" w:line="240" w:lineRule="auto"/>
                    <w:ind w:left="0" w:right="0"/>
                    <w:jc w:val="center"/>
                    <w:rPr>
                      <w:rFonts w:hint="default" w:cs="Times New Roman"/>
                      <w:color w:val="auto"/>
                      <w:sz w:val="21"/>
                      <w:szCs w:val="21"/>
                    </w:rPr>
                  </w:pPr>
                  <w:r>
                    <w:rPr>
                      <w:rFonts w:hint="default" w:ascii="Times New Roman" w:hAnsi="Times New Roman" w:eastAsia="宋体" w:cs="Times New Roman"/>
                      <w:color w:val="auto"/>
                      <w:kern w:val="0"/>
                      <w:sz w:val="21"/>
                      <w:szCs w:val="21"/>
                      <w:lang w:val="en-US" w:eastAsia="zh-CN" w:bidi="ar"/>
                    </w:rPr>
                    <w:t>10 VOCs</w:t>
                  </w:r>
                </w:p>
                <w:p w14:paraId="250D5EC5">
                  <w:pPr>
                    <w:keepNext w:val="0"/>
                    <w:keepLines w:val="0"/>
                    <w:widowControl/>
                    <w:suppressLineNumbers w:val="0"/>
                    <w:spacing w:before="0" w:beforeAutospacing="0" w:after="0" w:afterAutospacing="0" w:line="240" w:lineRule="auto"/>
                    <w:ind w:left="0" w:right="0"/>
                    <w:jc w:val="center"/>
                    <w:rPr>
                      <w:rFonts w:hint="default" w:cs="Times New Roman"/>
                      <w:color w:val="auto"/>
                      <w:sz w:val="21"/>
                      <w:szCs w:val="21"/>
                      <w:vertAlign w:val="baseline"/>
                      <w:lang w:val="en-US" w:eastAsia="zh-CN"/>
                    </w:rPr>
                  </w:pPr>
                  <w:r>
                    <w:rPr>
                      <w:rFonts w:hint="default" w:ascii="仿宋" w:hAnsi="仿宋" w:eastAsia="仿宋" w:cs="仿宋"/>
                      <w:color w:val="auto"/>
                      <w:kern w:val="0"/>
                      <w:sz w:val="21"/>
                      <w:szCs w:val="21"/>
                      <w:lang w:val="en-US" w:eastAsia="zh-CN" w:bidi="ar"/>
                    </w:rPr>
                    <w:t>无组织排</w:t>
                  </w:r>
                  <w:r>
                    <w:rPr>
                      <w:rFonts w:hint="eastAsia" w:ascii="仿宋" w:hAnsi="仿宋" w:eastAsia="仿宋" w:cs="仿宋"/>
                      <w:color w:val="auto"/>
                      <w:kern w:val="0"/>
                      <w:sz w:val="21"/>
                      <w:szCs w:val="21"/>
                      <w:lang w:val="en-US" w:eastAsia="zh-CN" w:bidi="ar"/>
                    </w:rPr>
                    <w:t>放废气收集处理系统要求</w:t>
                  </w:r>
                </w:p>
              </w:tc>
              <w:tc>
                <w:tcPr>
                  <w:tcW w:w="1010" w:type="dxa"/>
                  <w:tcBorders>
                    <w:tl2br w:val="nil"/>
                    <w:tr2bl w:val="nil"/>
                  </w:tcBorders>
                  <w:noWrap w:val="0"/>
                  <w:vAlign w:val="center"/>
                </w:tcPr>
                <w:p w14:paraId="540C8D0A">
                  <w:pPr>
                    <w:keepNext w:val="0"/>
                    <w:keepLines w:val="0"/>
                    <w:widowControl/>
                    <w:suppressLineNumbers w:val="0"/>
                    <w:spacing w:before="0" w:beforeAutospacing="0" w:after="0" w:afterAutospacing="0" w:line="240" w:lineRule="auto"/>
                    <w:ind w:left="0" w:right="0"/>
                    <w:jc w:val="center"/>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10.1</w:t>
                  </w:r>
                  <w:r>
                    <w:rPr>
                      <w:rFonts w:hint="default" w:ascii="仿宋" w:hAnsi="仿宋" w:eastAsia="仿宋" w:cs="仿宋"/>
                      <w:color w:val="auto"/>
                      <w:kern w:val="0"/>
                      <w:sz w:val="21"/>
                      <w:szCs w:val="21"/>
                      <w:lang w:val="en-US" w:eastAsia="zh-CN" w:bidi="ar"/>
                    </w:rPr>
                    <w:t>基本</w:t>
                  </w:r>
                  <w:r>
                    <w:rPr>
                      <w:rFonts w:hint="eastAsia" w:ascii="仿宋" w:hAnsi="仿宋" w:eastAsia="仿宋" w:cs="仿宋"/>
                      <w:color w:val="auto"/>
                      <w:kern w:val="0"/>
                      <w:sz w:val="21"/>
                      <w:szCs w:val="21"/>
                      <w:lang w:val="en-US" w:eastAsia="zh-CN" w:bidi="ar"/>
                    </w:rPr>
                    <w:t>要求</w:t>
                  </w:r>
                </w:p>
              </w:tc>
              <w:tc>
                <w:tcPr>
                  <w:tcW w:w="3050" w:type="dxa"/>
                  <w:tcBorders>
                    <w:tl2br w:val="nil"/>
                    <w:tr2bl w:val="nil"/>
                  </w:tcBorders>
                  <w:noWrap w:val="0"/>
                  <w:vAlign w:val="center"/>
                </w:tcPr>
                <w:p w14:paraId="7B0ACF0A">
                  <w:pPr>
                    <w:keepNext w:val="0"/>
                    <w:keepLines w:val="0"/>
                    <w:widowControl/>
                    <w:suppressLineNumbers w:val="0"/>
                    <w:spacing w:before="0" w:beforeAutospacing="0" w:after="0" w:afterAutospacing="0" w:line="240" w:lineRule="auto"/>
                    <w:ind w:left="0" w:right="0"/>
                    <w:jc w:val="both"/>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10.1.2 VOCs</w:t>
                  </w:r>
                  <w:r>
                    <w:rPr>
                      <w:rFonts w:hint="default" w:ascii="仿宋" w:hAnsi="仿宋" w:eastAsia="仿宋" w:cs="仿宋"/>
                      <w:color w:val="auto"/>
                      <w:kern w:val="0"/>
                      <w:sz w:val="21"/>
                      <w:szCs w:val="21"/>
                      <w:lang w:val="en-US" w:eastAsia="zh-CN" w:bidi="ar"/>
                    </w:rPr>
                    <w:t>废气收集处理系统应与生产工</w:t>
                  </w:r>
                  <w:r>
                    <w:rPr>
                      <w:rFonts w:hint="eastAsia" w:ascii="仿宋" w:hAnsi="仿宋" w:eastAsia="仿宋" w:cs="仿宋"/>
                      <w:color w:val="auto"/>
                      <w:kern w:val="0"/>
                      <w:sz w:val="21"/>
                      <w:szCs w:val="21"/>
                      <w:lang w:val="en-US" w:eastAsia="zh-CN" w:bidi="ar"/>
                    </w:rPr>
                    <w:t>艺设备同步运行。</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515" w:type="dxa"/>
                  <w:tcBorders>
                    <w:tl2br w:val="nil"/>
                    <w:tr2bl w:val="nil"/>
                  </w:tcBorders>
                  <w:noWrap w:val="0"/>
                  <w:vAlign w:val="center"/>
                </w:tcPr>
                <w:p w14:paraId="3D37A29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strike w:val="0"/>
                      <w:color w:val="auto"/>
                      <w:kern w:val="0"/>
                      <w:sz w:val="21"/>
                      <w:szCs w:val="21"/>
                      <w:lang w:val="en-US" w:eastAsia="zh-CN" w:bidi="ar"/>
                    </w:rPr>
                    <w:t>本项目</w:t>
                  </w:r>
                  <w:r>
                    <w:rPr>
                      <w:rFonts w:hint="default" w:ascii="Times New Roman" w:hAnsi="Times New Roman" w:eastAsia="仿宋" w:cs="Times New Roman"/>
                      <w:color w:val="auto"/>
                      <w:kern w:val="0"/>
                      <w:sz w:val="21"/>
                      <w:szCs w:val="21"/>
                      <w:lang w:val="en-US" w:eastAsia="zh-CN" w:bidi="ar"/>
                    </w:rPr>
                    <w:t>VOCs废气收集处理系统将先于各生产设施运转前开启，后于生产设施关闭而关闭。当VOCs废气收集处理系统发生故障或检修时，建设单位立即停止生产作业</w:t>
                  </w:r>
                </w:p>
              </w:tc>
              <w:tc>
                <w:tcPr>
                  <w:tcW w:w="1518" w:type="dxa"/>
                  <w:tcBorders>
                    <w:tl2br w:val="nil"/>
                    <w:tr2bl w:val="nil"/>
                  </w:tcBorders>
                  <w:noWrap w:val="0"/>
                  <w:vAlign w:val="center"/>
                </w:tcPr>
                <w:p w14:paraId="6D5B5830">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是</w:t>
                  </w:r>
                </w:p>
              </w:tc>
            </w:tr>
            <w:tr w14:paraId="6E202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tcBorders>
                    <w:tl2br w:val="nil"/>
                    <w:tr2bl w:val="nil"/>
                  </w:tcBorders>
                  <w:noWrap w:val="0"/>
                  <w:vAlign w:val="center"/>
                </w:tcPr>
                <w:p w14:paraId="57DE2842">
                  <w:pPr>
                    <w:pStyle w:val="8"/>
                    <w:keepNext w:val="0"/>
                    <w:keepLines w:val="0"/>
                    <w:suppressLineNumbers w:val="0"/>
                    <w:spacing w:beforeAutospacing="0" w:afterAutospacing="0" w:line="240" w:lineRule="auto"/>
                    <w:ind w:left="0"/>
                    <w:jc w:val="center"/>
                    <w:rPr>
                      <w:rFonts w:hint="default" w:cs="Times New Roman"/>
                      <w:color w:val="auto"/>
                      <w:sz w:val="21"/>
                      <w:szCs w:val="21"/>
                      <w:vertAlign w:val="baseline"/>
                      <w:lang w:val="en-US" w:eastAsia="zh-CN"/>
                    </w:rPr>
                  </w:pPr>
                </w:p>
              </w:tc>
              <w:tc>
                <w:tcPr>
                  <w:tcW w:w="1010" w:type="dxa"/>
                  <w:vMerge w:val="restart"/>
                  <w:tcBorders>
                    <w:tl2br w:val="nil"/>
                    <w:tr2bl w:val="nil"/>
                  </w:tcBorders>
                  <w:noWrap w:val="0"/>
                  <w:vAlign w:val="center"/>
                </w:tcPr>
                <w:p w14:paraId="06468AAE">
                  <w:pPr>
                    <w:keepNext w:val="0"/>
                    <w:keepLines w:val="0"/>
                    <w:widowControl/>
                    <w:suppressLineNumbers w:val="0"/>
                    <w:spacing w:before="0" w:beforeAutospacing="0" w:after="0" w:afterAutospacing="0" w:line="240" w:lineRule="auto"/>
                    <w:ind w:left="0" w:right="0"/>
                    <w:jc w:val="center"/>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10.2</w:t>
                  </w:r>
                  <w:r>
                    <w:rPr>
                      <w:rFonts w:hint="default" w:ascii="仿宋" w:hAnsi="仿宋" w:eastAsia="仿宋" w:cs="仿宋"/>
                      <w:color w:val="auto"/>
                      <w:kern w:val="0"/>
                      <w:sz w:val="21"/>
                      <w:szCs w:val="21"/>
                      <w:lang w:val="en-US" w:eastAsia="zh-CN" w:bidi="ar"/>
                    </w:rPr>
                    <w:t>废气</w:t>
                  </w:r>
                  <w:r>
                    <w:rPr>
                      <w:rFonts w:hint="eastAsia" w:ascii="仿宋" w:hAnsi="仿宋" w:eastAsia="仿宋" w:cs="仿宋"/>
                      <w:color w:val="auto"/>
                      <w:kern w:val="0"/>
                      <w:sz w:val="21"/>
                      <w:szCs w:val="21"/>
                      <w:lang w:val="en-US" w:eastAsia="zh-CN" w:bidi="ar"/>
                    </w:rPr>
                    <w:t>收集系统要求</w:t>
                  </w:r>
                </w:p>
              </w:tc>
              <w:tc>
                <w:tcPr>
                  <w:tcW w:w="3050" w:type="dxa"/>
                  <w:tcBorders>
                    <w:tl2br w:val="nil"/>
                    <w:tr2bl w:val="nil"/>
                  </w:tcBorders>
                  <w:noWrap w:val="0"/>
                  <w:vAlign w:val="center"/>
                </w:tcPr>
                <w:p w14:paraId="69E4D0EB">
                  <w:pPr>
                    <w:keepNext w:val="0"/>
                    <w:keepLines w:val="0"/>
                    <w:widowControl/>
                    <w:suppressLineNumbers w:val="0"/>
                    <w:spacing w:before="0" w:beforeAutospacing="0" w:after="0" w:afterAutospacing="0" w:line="240" w:lineRule="auto"/>
                    <w:ind w:left="0" w:right="0"/>
                    <w:jc w:val="both"/>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 xml:space="preserve">10.2.1 </w:t>
                  </w:r>
                  <w:r>
                    <w:rPr>
                      <w:rFonts w:hint="default" w:ascii="仿宋" w:hAnsi="仿宋" w:eastAsia="仿宋" w:cs="仿宋"/>
                      <w:color w:val="auto"/>
                      <w:kern w:val="0"/>
                      <w:sz w:val="21"/>
                      <w:szCs w:val="21"/>
                      <w:lang w:val="en-US" w:eastAsia="zh-CN" w:bidi="ar"/>
                    </w:rPr>
                    <w:t>企业应考虑生产工艺、操作方式、废</w:t>
                  </w:r>
                  <w:r>
                    <w:rPr>
                      <w:rFonts w:hint="eastAsia" w:ascii="仿宋" w:hAnsi="仿宋" w:eastAsia="仿宋" w:cs="仿宋"/>
                      <w:color w:val="auto"/>
                      <w:kern w:val="0"/>
                      <w:sz w:val="21"/>
                      <w:szCs w:val="21"/>
                      <w:lang w:val="en-US" w:eastAsia="zh-CN" w:bidi="ar"/>
                    </w:rPr>
                    <w:t>气性质、处理方法等因素，对</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废气进行分类收集。</w:t>
                  </w:r>
                </w:p>
              </w:tc>
              <w:tc>
                <w:tcPr>
                  <w:tcW w:w="2515" w:type="dxa"/>
                  <w:vMerge w:val="restart"/>
                  <w:tcBorders>
                    <w:tl2br w:val="nil"/>
                    <w:tr2bl w:val="nil"/>
                  </w:tcBorders>
                  <w:noWrap w:val="0"/>
                  <w:vAlign w:val="center"/>
                </w:tcPr>
                <w:p w14:paraId="137890DD">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kern w:val="0"/>
                      <w:sz w:val="21"/>
                      <w:szCs w:val="21"/>
                      <w:lang w:val="en-US" w:eastAsia="zh-CN" w:bidi="ar"/>
                    </w:rPr>
                    <w:t>本项目按应收尽收原则，根据废气特点将炼胶+硫化废气</w:t>
                  </w:r>
                  <w:r>
                    <w:rPr>
                      <w:rFonts w:hint="eastAsia" w:eastAsia="仿宋" w:cs="Times New Roman"/>
                      <w:color w:val="auto"/>
                      <w:kern w:val="0"/>
                      <w:sz w:val="21"/>
                      <w:szCs w:val="21"/>
                      <w:lang w:val="en-US" w:eastAsia="zh-CN" w:bidi="ar"/>
                    </w:rPr>
                    <w:t>经密闭</w:t>
                  </w:r>
                  <w:r>
                    <w:rPr>
                      <w:rFonts w:hint="default" w:ascii="Times New Roman" w:hAnsi="Times New Roman" w:eastAsia="仿宋" w:cs="Times New Roman"/>
                      <w:color w:val="auto"/>
                      <w:kern w:val="0"/>
                      <w:sz w:val="21"/>
                      <w:szCs w:val="21"/>
                      <w:lang w:val="en-US" w:eastAsia="zh-CN" w:bidi="ar"/>
                    </w:rPr>
                    <w:t>收集，通过“脉冲除尘+水喷淋+</w:t>
                  </w:r>
                  <w:r>
                    <w:rPr>
                      <w:rFonts w:hint="eastAsia" w:eastAsia="仿宋" w:cs="Times New Roman"/>
                      <w:color w:val="auto"/>
                      <w:kern w:val="0"/>
                      <w:sz w:val="21"/>
                      <w:szCs w:val="21"/>
                      <w:lang w:val="en-US" w:eastAsia="zh-CN" w:bidi="ar"/>
                    </w:rPr>
                    <w:t>除雾+</w:t>
                  </w:r>
                  <w:r>
                    <w:rPr>
                      <w:rFonts w:hint="default" w:ascii="Times New Roman" w:hAnsi="Times New Roman" w:eastAsia="仿宋" w:cs="Times New Roman"/>
                      <w:color w:val="auto"/>
                      <w:kern w:val="0"/>
                      <w:sz w:val="21"/>
                      <w:szCs w:val="21"/>
                      <w:lang w:val="en-US" w:eastAsia="zh-CN" w:bidi="ar"/>
                    </w:rPr>
                    <w:t>两级活性炭吸附”装置（</w:t>
                  </w:r>
                  <w:r>
                    <w:rPr>
                      <w:rFonts w:hint="eastAsia" w:eastAsia="仿宋" w:cs="Times New Roman"/>
                      <w:color w:val="auto"/>
                      <w:kern w:val="0"/>
                      <w:sz w:val="21"/>
                      <w:szCs w:val="21"/>
                      <w:lang w:val="en-US" w:eastAsia="zh-CN" w:bidi="ar"/>
                    </w:rPr>
                    <w:t>TA002</w:t>
                  </w:r>
                  <w:r>
                    <w:rPr>
                      <w:rFonts w:hint="default" w:ascii="Times New Roman" w:hAnsi="Times New Roman" w:eastAsia="仿宋" w:cs="Times New Roman"/>
                      <w:color w:val="auto"/>
                      <w:kern w:val="0"/>
                      <w:sz w:val="21"/>
                      <w:szCs w:val="21"/>
                      <w:lang w:val="en-US" w:eastAsia="zh-CN" w:bidi="ar"/>
                    </w:rPr>
                    <w:t>）进行处理</w:t>
                  </w:r>
                </w:p>
              </w:tc>
              <w:tc>
                <w:tcPr>
                  <w:tcW w:w="1518" w:type="dxa"/>
                  <w:tcBorders>
                    <w:tl2br w:val="nil"/>
                    <w:tr2bl w:val="nil"/>
                  </w:tcBorders>
                  <w:noWrap w:val="0"/>
                  <w:vAlign w:val="center"/>
                </w:tcPr>
                <w:p w14:paraId="73AAA28C">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是</w:t>
                  </w:r>
                </w:p>
              </w:tc>
            </w:tr>
            <w:tr w14:paraId="786A7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tcBorders>
                    <w:tl2br w:val="nil"/>
                    <w:tr2bl w:val="nil"/>
                  </w:tcBorders>
                  <w:noWrap w:val="0"/>
                  <w:vAlign w:val="center"/>
                </w:tcPr>
                <w:p w14:paraId="50614FBF">
                  <w:pPr>
                    <w:pStyle w:val="8"/>
                    <w:keepNext w:val="0"/>
                    <w:keepLines w:val="0"/>
                    <w:suppressLineNumbers w:val="0"/>
                    <w:spacing w:beforeAutospacing="0" w:afterAutospacing="0" w:line="240" w:lineRule="auto"/>
                    <w:ind w:left="0"/>
                    <w:jc w:val="center"/>
                    <w:rPr>
                      <w:rFonts w:hint="default" w:cs="Times New Roman"/>
                      <w:color w:val="auto"/>
                      <w:sz w:val="21"/>
                      <w:szCs w:val="21"/>
                      <w:vertAlign w:val="baseline"/>
                      <w:lang w:val="en-US" w:eastAsia="zh-CN"/>
                    </w:rPr>
                  </w:pPr>
                </w:p>
              </w:tc>
              <w:tc>
                <w:tcPr>
                  <w:tcW w:w="1010" w:type="dxa"/>
                  <w:vMerge w:val="continue"/>
                  <w:tcBorders>
                    <w:tl2br w:val="nil"/>
                    <w:tr2bl w:val="nil"/>
                  </w:tcBorders>
                  <w:noWrap w:val="0"/>
                  <w:vAlign w:val="center"/>
                </w:tcPr>
                <w:p w14:paraId="438D4909">
                  <w:pPr>
                    <w:pStyle w:val="8"/>
                    <w:keepNext w:val="0"/>
                    <w:keepLines w:val="0"/>
                    <w:suppressLineNumbers w:val="0"/>
                    <w:spacing w:beforeAutospacing="0" w:afterAutospacing="0" w:line="240" w:lineRule="auto"/>
                    <w:ind w:left="0"/>
                    <w:jc w:val="center"/>
                    <w:rPr>
                      <w:rFonts w:hint="default" w:cs="Times New Roman"/>
                      <w:color w:val="auto"/>
                      <w:sz w:val="21"/>
                      <w:szCs w:val="21"/>
                      <w:vertAlign w:val="baseline"/>
                      <w:lang w:val="en-US" w:eastAsia="zh-CN"/>
                    </w:rPr>
                  </w:pPr>
                </w:p>
              </w:tc>
              <w:tc>
                <w:tcPr>
                  <w:tcW w:w="3050" w:type="dxa"/>
                  <w:tcBorders>
                    <w:tl2br w:val="nil"/>
                    <w:tr2bl w:val="nil"/>
                  </w:tcBorders>
                  <w:noWrap w:val="0"/>
                  <w:vAlign w:val="center"/>
                </w:tcPr>
                <w:p w14:paraId="3579BB58">
                  <w:pPr>
                    <w:keepNext w:val="0"/>
                    <w:keepLines w:val="0"/>
                    <w:widowControl/>
                    <w:suppressLineNumbers w:val="0"/>
                    <w:spacing w:before="0" w:beforeAutospacing="0" w:after="0" w:afterAutospacing="0" w:line="240" w:lineRule="auto"/>
                    <w:ind w:left="0" w:right="0"/>
                    <w:jc w:val="both"/>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 xml:space="preserve">10.2.2 </w:t>
                  </w:r>
                  <w:r>
                    <w:rPr>
                      <w:rFonts w:hint="default" w:ascii="仿宋" w:hAnsi="仿宋" w:eastAsia="仿宋" w:cs="仿宋"/>
                      <w:color w:val="auto"/>
                      <w:kern w:val="0"/>
                      <w:sz w:val="21"/>
                      <w:szCs w:val="21"/>
                      <w:lang w:val="en-US" w:eastAsia="zh-CN" w:bidi="ar"/>
                    </w:rPr>
                    <w:t>废气收集系统排风罩（集气罩）的设</w:t>
                  </w:r>
                  <w:r>
                    <w:rPr>
                      <w:rFonts w:hint="eastAsia" w:ascii="仿宋" w:hAnsi="仿宋" w:eastAsia="仿宋" w:cs="仿宋"/>
                      <w:color w:val="auto"/>
                      <w:kern w:val="0"/>
                      <w:sz w:val="21"/>
                      <w:szCs w:val="21"/>
                      <w:lang w:val="en-US" w:eastAsia="zh-CN" w:bidi="ar"/>
                    </w:rPr>
                    <w:t>置应符合</w:t>
                  </w:r>
                  <w:r>
                    <w:rPr>
                      <w:rFonts w:hint="default" w:ascii="Times New Roman" w:hAnsi="Times New Roman" w:eastAsia="宋体" w:cs="Times New Roman"/>
                      <w:color w:val="auto"/>
                      <w:kern w:val="0"/>
                      <w:sz w:val="21"/>
                      <w:szCs w:val="21"/>
                      <w:lang w:val="en-US" w:eastAsia="zh-CN" w:bidi="ar"/>
                    </w:rPr>
                    <w:t>GB/T 16758</w:t>
                  </w:r>
                  <w:r>
                    <w:rPr>
                      <w:rFonts w:hint="eastAsia" w:ascii="仿宋" w:hAnsi="仿宋" w:eastAsia="仿宋" w:cs="仿宋"/>
                      <w:color w:val="auto"/>
                      <w:kern w:val="0"/>
                      <w:sz w:val="21"/>
                      <w:szCs w:val="21"/>
                      <w:lang w:val="en-US" w:eastAsia="zh-CN" w:bidi="ar"/>
                    </w:rPr>
                    <w:t>的规定。采用外部排风罩的，应按</w:t>
                  </w:r>
                  <w:r>
                    <w:rPr>
                      <w:rFonts w:hint="default" w:ascii="Times New Roman" w:hAnsi="Times New Roman" w:eastAsia="宋体" w:cs="Times New Roman"/>
                      <w:color w:val="auto"/>
                      <w:kern w:val="0"/>
                      <w:sz w:val="21"/>
                      <w:szCs w:val="21"/>
                      <w:lang w:val="en-US" w:eastAsia="zh-CN" w:bidi="ar"/>
                    </w:rPr>
                    <w:t>GB/T 16758</w:t>
                  </w:r>
                  <w:r>
                    <w:rPr>
                      <w:rFonts w:hint="eastAsia" w:ascii="仿宋" w:hAnsi="仿宋" w:eastAsia="仿宋" w:cs="仿宋"/>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AQT 4274- 2016</w:t>
                  </w:r>
                  <w:r>
                    <w:rPr>
                      <w:rFonts w:hint="eastAsia" w:ascii="仿宋" w:hAnsi="仿宋" w:eastAsia="仿宋" w:cs="仿宋"/>
                      <w:color w:val="auto"/>
                      <w:kern w:val="0"/>
                      <w:sz w:val="21"/>
                      <w:szCs w:val="21"/>
                      <w:lang w:val="en-US" w:eastAsia="zh-CN" w:bidi="ar"/>
                    </w:rPr>
                    <w:t>规定的方法测量控制风速，测量点应选取在距排风罩开口面最远处的</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无组织排放</w:t>
                  </w:r>
                  <w:r>
                    <w:rPr>
                      <w:rFonts w:hint="default" w:ascii="仿宋" w:hAnsi="仿宋" w:eastAsia="仿宋" w:cs="仿宋"/>
                      <w:color w:val="auto"/>
                      <w:kern w:val="0"/>
                      <w:sz w:val="21"/>
                      <w:szCs w:val="21"/>
                      <w:lang w:val="en-US" w:eastAsia="zh-CN" w:bidi="ar"/>
                    </w:rPr>
                    <w:t>位置，控制风速不应低于</w:t>
                  </w:r>
                  <w:r>
                    <w:rPr>
                      <w:rFonts w:hint="default" w:ascii="Times New Roman" w:hAnsi="Times New Roman" w:eastAsia="宋体" w:cs="Times New Roman"/>
                      <w:color w:val="auto"/>
                      <w:kern w:val="0"/>
                      <w:sz w:val="21"/>
                      <w:szCs w:val="21"/>
                      <w:lang w:val="en-US" w:eastAsia="zh-CN" w:bidi="ar"/>
                    </w:rPr>
                    <w:t>0.3 m/s</w:t>
                  </w:r>
                  <w:r>
                    <w:rPr>
                      <w:rFonts w:hint="eastAsia" w:cs="Times New Roman"/>
                      <w:color w:val="auto"/>
                      <w:kern w:val="0"/>
                      <w:sz w:val="21"/>
                      <w:szCs w:val="21"/>
                      <w:lang w:val="en-US" w:eastAsia="zh-CN" w:bidi="ar"/>
                    </w:rPr>
                    <w:t>（</w:t>
                  </w:r>
                  <w:r>
                    <w:rPr>
                      <w:rFonts w:hint="eastAsia" w:ascii="仿宋" w:hAnsi="仿宋" w:eastAsia="仿宋" w:cs="仿宋"/>
                      <w:color w:val="auto"/>
                      <w:kern w:val="0"/>
                      <w:sz w:val="21"/>
                      <w:szCs w:val="21"/>
                      <w:lang w:val="en-US" w:eastAsia="zh-CN" w:bidi="ar"/>
                    </w:rPr>
                    <w:t>行业相关规范有具体规定的，按相关规定执行）。</w:t>
                  </w:r>
                </w:p>
              </w:tc>
              <w:tc>
                <w:tcPr>
                  <w:tcW w:w="2515" w:type="dxa"/>
                  <w:vMerge w:val="continue"/>
                  <w:tcBorders>
                    <w:tl2br w:val="nil"/>
                    <w:tr2bl w:val="nil"/>
                  </w:tcBorders>
                  <w:noWrap w:val="0"/>
                  <w:vAlign w:val="center"/>
                </w:tcPr>
                <w:p w14:paraId="08E1AA71">
                  <w:pPr>
                    <w:pStyle w:val="8"/>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jc w:val="both"/>
                    <w:textAlignment w:val="auto"/>
                    <w:rPr>
                      <w:rFonts w:hint="default" w:ascii="Times New Roman" w:hAnsi="Times New Roman" w:eastAsia="仿宋" w:cs="Times New Roman"/>
                      <w:color w:val="auto"/>
                      <w:sz w:val="21"/>
                      <w:szCs w:val="21"/>
                      <w:vertAlign w:val="baseline"/>
                      <w:lang w:val="en-US" w:eastAsia="zh-CN"/>
                    </w:rPr>
                  </w:pPr>
                </w:p>
              </w:tc>
              <w:tc>
                <w:tcPr>
                  <w:tcW w:w="1518" w:type="dxa"/>
                  <w:tcBorders>
                    <w:tl2br w:val="nil"/>
                    <w:tr2bl w:val="nil"/>
                  </w:tcBorders>
                  <w:noWrap w:val="0"/>
                  <w:vAlign w:val="center"/>
                </w:tcPr>
                <w:p w14:paraId="3028216E">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lang w:val="en-US" w:eastAsia="zh-CN"/>
                    </w:rPr>
                    <w:t>是</w:t>
                  </w:r>
                </w:p>
              </w:tc>
            </w:tr>
            <w:tr w14:paraId="30849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tcBorders>
                    <w:tl2br w:val="nil"/>
                    <w:tr2bl w:val="nil"/>
                  </w:tcBorders>
                  <w:noWrap w:val="0"/>
                  <w:vAlign w:val="center"/>
                </w:tcPr>
                <w:p w14:paraId="5D30777E">
                  <w:pPr>
                    <w:pStyle w:val="8"/>
                    <w:keepNext w:val="0"/>
                    <w:keepLines w:val="0"/>
                    <w:suppressLineNumbers w:val="0"/>
                    <w:spacing w:beforeAutospacing="0" w:afterAutospacing="0" w:line="240" w:lineRule="auto"/>
                    <w:ind w:left="0"/>
                    <w:jc w:val="center"/>
                    <w:rPr>
                      <w:rFonts w:hint="default" w:cs="Times New Roman"/>
                      <w:color w:val="auto"/>
                      <w:sz w:val="21"/>
                      <w:szCs w:val="21"/>
                      <w:vertAlign w:val="baseline"/>
                      <w:lang w:val="en-US" w:eastAsia="zh-CN"/>
                    </w:rPr>
                  </w:pPr>
                </w:p>
              </w:tc>
              <w:tc>
                <w:tcPr>
                  <w:tcW w:w="1010" w:type="dxa"/>
                  <w:vMerge w:val="restart"/>
                  <w:tcBorders>
                    <w:tl2br w:val="nil"/>
                    <w:tr2bl w:val="nil"/>
                  </w:tcBorders>
                  <w:noWrap w:val="0"/>
                  <w:vAlign w:val="center"/>
                </w:tcPr>
                <w:p w14:paraId="5737E843">
                  <w:pPr>
                    <w:keepNext w:val="0"/>
                    <w:keepLines w:val="0"/>
                    <w:widowControl/>
                    <w:suppressLineNumbers w:val="0"/>
                    <w:spacing w:before="0" w:beforeAutospacing="0" w:after="0" w:afterAutospacing="0" w:line="240" w:lineRule="auto"/>
                    <w:ind w:left="0" w:right="0"/>
                    <w:jc w:val="center"/>
                    <w:rPr>
                      <w:rFonts w:hint="default" w:cs="Times New Roman"/>
                      <w:color w:val="auto"/>
                      <w:sz w:val="21"/>
                      <w:szCs w:val="21"/>
                    </w:rPr>
                  </w:pPr>
                  <w:r>
                    <w:rPr>
                      <w:rFonts w:hint="default" w:ascii="Times New Roman" w:hAnsi="Times New Roman" w:eastAsia="宋体" w:cs="Times New Roman"/>
                      <w:color w:val="auto"/>
                      <w:kern w:val="0"/>
                      <w:sz w:val="21"/>
                      <w:szCs w:val="21"/>
                      <w:lang w:val="en-US" w:eastAsia="zh-CN" w:bidi="ar"/>
                    </w:rPr>
                    <w:t>10.3</w:t>
                  </w:r>
                </w:p>
                <w:p w14:paraId="09BBC3C1">
                  <w:pPr>
                    <w:keepNext w:val="0"/>
                    <w:keepLines w:val="0"/>
                    <w:widowControl/>
                    <w:suppressLineNumbers w:val="0"/>
                    <w:spacing w:before="0" w:beforeAutospacing="0" w:after="0" w:afterAutospacing="0" w:line="240" w:lineRule="auto"/>
                    <w:ind w:left="0" w:right="0"/>
                    <w:jc w:val="both"/>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VOCs</w:t>
                  </w:r>
                  <w:r>
                    <w:rPr>
                      <w:rFonts w:hint="default" w:ascii="仿宋" w:hAnsi="仿宋" w:eastAsia="仿宋" w:cs="仿宋"/>
                      <w:color w:val="auto"/>
                      <w:kern w:val="0"/>
                      <w:sz w:val="21"/>
                      <w:szCs w:val="21"/>
                      <w:lang w:val="en-US" w:eastAsia="zh-CN" w:bidi="ar"/>
                    </w:rPr>
                    <w:t>排</w:t>
                  </w:r>
                  <w:r>
                    <w:rPr>
                      <w:rFonts w:hint="eastAsia" w:ascii="仿宋" w:hAnsi="仿宋" w:eastAsia="仿宋" w:cs="仿宋"/>
                      <w:color w:val="auto"/>
                      <w:kern w:val="0"/>
                      <w:sz w:val="21"/>
                      <w:szCs w:val="21"/>
                      <w:lang w:val="en-US" w:eastAsia="zh-CN" w:bidi="ar"/>
                    </w:rPr>
                    <w:t>放控制要求</w:t>
                  </w:r>
                </w:p>
              </w:tc>
              <w:tc>
                <w:tcPr>
                  <w:tcW w:w="3050" w:type="dxa"/>
                  <w:tcBorders>
                    <w:tl2br w:val="nil"/>
                    <w:tr2bl w:val="nil"/>
                  </w:tcBorders>
                  <w:noWrap w:val="0"/>
                  <w:vAlign w:val="center"/>
                </w:tcPr>
                <w:p w14:paraId="1F8E57CC">
                  <w:pPr>
                    <w:keepNext w:val="0"/>
                    <w:keepLines w:val="0"/>
                    <w:widowControl/>
                    <w:suppressLineNumbers w:val="0"/>
                    <w:spacing w:before="0" w:beforeAutospacing="0" w:after="0" w:afterAutospacing="0" w:line="240" w:lineRule="auto"/>
                    <w:ind w:left="0" w:right="0"/>
                    <w:jc w:val="both"/>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10.3.1 VOCs</w:t>
                  </w:r>
                  <w:r>
                    <w:rPr>
                      <w:rFonts w:hint="default" w:ascii="仿宋" w:hAnsi="仿宋" w:eastAsia="仿宋" w:cs="仿宋"/>
                      <w:color w:val="auto"/>
                      <w:kern w:val="0"/>
                      <w:sz w:val="21"/>
                      <w:szCs w:val="21"/>
                      <w:lang w:val="en-US" w:eastAsia="zh-CN" w:bidi="ar"/>
                    </w:rPr>
                    <w:t>废气收集处理系统污染物排放</w:t>
                  </w:r>
                  <w:r>
                    <w:rPr>
                      <w:rFonts w:hint="eastAsia" w:ascii="仿宋" w:hAnsi="仿宋" w:eastAsia="仿宋" w:cs="仿宋"/>
                      <w:color w:val="auto"/>
                      <w:kern w:val="0"/>
                      <w:sz w:val="21"/>
                      <w:szCs w:val="21"/>
                      <w:lang w:val="en-US" w:eastAsia="zh-CN" w:bidi="ar"/>
                    </w:rPr>
                    <w:t>应符合</w:t>
                  </w:r>
                  <w:r>
                    <w:rPr>
                      <w:rFonts w:hint="default" w:ascii="Times New Roman" w:hAnsi="Times New Roman" w:eastAsia="宋体" w:cs="Times New Roman"/>
                      <w:color w:val="auto"/>
                      <w:kern w:val="0"/>
                      <w:sz w:val="21"/>
                      <w:szCs w:val="21"/>
                      <w:lang w:val="en-US" w:eastAsia="zh-CN" w:bidi="ar"/>
                    </w:rPr>
                    <w:t>GB 16297</w:t>
                  </w:r>
                  <w:r>
                    <w:rPr>
                      <w:rFonts w:hint="eastAsia" w:ascii="仿宋" w:hAnsi="仿宋" w:eastAsia="仿宋" w:cs="仿宋"/>
                      <w:color w:val="auto"/>
                      <w:kern w:val="0"/>
                      <w:sz w:val="21"/>
                      <w:szCs w:val="21"/>
                      <w:lang w:val="en-US" w:eastAsia="zh-CN" w:bidi="ar"/>
                    </w:rPr>
                    <w:t>或相关行业排放标准的规定。</w:t>
                  </w:r>
                </w:p>
              </w:tc>
              <w:tc>
                <w:tcPr>
                  <w:tcW w:w="2515" w:type="dxa"/>
                  <w:tcBorders>
                    <w:tl2br w:val="nil"/>
                    <w:tr2bl w:val="nil"/>
                  </w:tcBorders>
                  <w:noWrap w:val="0"/>
                  <w:vAlign w:val="center"/>
                </w:tcPr>
                <w:p w14:paraId="448C264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本项目有机废气排放满足《橡胶制品工业污染</w:t>
                  </w:r>
                </w:p>
                <w:p w14:paraId="4FBB703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kern w:val="0"/>
                      <w:sz w:val="21"/>
                      <w:szCs w:val="21"/>
                      <w:lang w:val="en-US" w:eastAsia="zh-CN" w:bidi="ar"/>
                    </w:rPr>
                    <w:t>物排放标准》（GB27632-2011）要求</w:t>
                  </w:r>
                </w:p>
              </w:tc>
              <w:tc>
                <w:tcPr>
                  <w:tcW w:w="1518" w:type="dxa"/>
                  <w:tcBorders>
                    <w:tl2br w:val="nil"/>
                    <w:tr2bl w:val="nil"/>
                  </w:tcBorders>
                  <w:noWrap w:val="0"/>
                  <w:vAlign w:val="center"/>
                </w:tcPr>
                <w:p w14:paraId="169E3FC1">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是</w:t>
                  </w:r>
                </w:p>
              </w:tc>
            </w:tr>
            <w:tr w14:paraId="6459D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tcBorders>
                    <w:tl2br w:val="nil"/>
                    <w:tr2bl w:val="nil"/>
                  </w:tcBorders>
                  <w:noWrap w:val="0"/>
                  <w:vAlign w:val="center"/>
                </w:tcPr>
                <w:p w14:paraId="1A1FEFD9">
                  <w:pPr>
                    <w:pStyle w:val="8"/>
                    <w:keepNext w:val="0"/>
                    <w:keepLines w:val="0"/>
                    <w:suppressLineNumbers w:val="0"/>
                    <w:spacing w:beforeAutospacing="0" w:afterAutospacing="0" w:line="240" w:lineRule="auto"/>
                    <w:ind w:left="0"/>
                    <w:jc w:val="center"/>
                    <w:rPr>
                      <w:rFonts w:hint="default" w:cs="Times New Roman"/>
                      <w:color w:val="auto"/>
                      <w:sz w:val="21"/>
                      <w:szCs w:val="21"/>
                      <w:vertAlign w:val="baseline"/>
                      <w:lang w:val="en-US" w:eastAsia="zh-CN"/>
                    </w:rPr>
                  </w:pPr>
                </w:p>
              </w:tc>
              <w:tc>
                <w:tcPr>
                  <w:tcW w:w="1010" w:type="dxa"/>
                  <w:vMerge w:val="continue"/>
                  <w:tcBorders>
                    <w:tl2br w:val="nil"/>
                    <w:tr2bl w:val="nil"/>
                  </w:tcBorders>
                  <w:noWrap w:val="0"/>
                  <w:vAlign w:val="center"/>
                </w:tcPr>
                <w:p w14:paraId="485405C7">
                  <w:pPr>
                    <w:pStyle w:val="8"/>
                    <w:keepNext w:val="0"/>
                    <w:keepLines w:val="0"/>
                    <w:suppressLineNumbers w:val="0"/>
                    <w:spacing w:beforeAutospacing="0" w:afterAutospacing="0" w:line="240" w:lineRule="auto"/>
                    <w:ind w:left="0"/>
                    <w:jc w:val="center"/>
                    <w:rPr>
                      <w:rFonts w:hint="default" w:cs="Times New Roman"/>
                      <w:color w:val="auto"/>
                      <w:sz w:val="21"/>
                      <w:szCs w:val="21"/>
                      <w:vertAlign w:val="baseline"/>
                      <w:lang w:val="en-US" w:eastAsia="zh-CN"/>
                    </w:rPr>
                  </w:pPr>
                </w:p>
              </w:tc>
              <w:tc>
                <w:tcPr>
                  <w:tcW w:w="3050" w:type="dxa"/>
                  <w:tcBorders>
                    <w:tl2br w:val="nil"/>
                    <w:tr2bl w:val="nil"/>
                  </w:tcBorders>
                  <w:noWrap w:val="0"/>
                  <w:vAlign w:val="center"/>
                </w:tcPr>
                <w:p w14:paraId="27557C54">
                  <w:pPr>
                    <w:keepNext w:val="0"/>
                    <w:keepLines w:val="0"/>
                    <w:widowControl/>
                    <w:suppressLineNumbers w:val="0"/>
                    <w:spacing w:before="0" w:beforeAutospacing="0" w:after="0" w:afterAutospacing="0" w:line="240" w:lineRule="auto"/>
                    <w:ind w:left="0" w:right="0"/>
                    <w:jc w:val="both"/>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 xml:space="preserve">10.3.2 </w:t>
                  </w:r>
                  <w:r>
                    <w:rPr>
                      <w:rFonts w:hint="default" w:ascii="仿宋" w:hAnsi="仿宋" w:eastAsia="仿宋" w:cs="仿宋"/>
                      <w:color w:val="auto"/>
                      <w:kern w:val="0"/>
                      <w:sz w:val="21"/>
                      <w:szCs w:val="21"/>
                      <w:lang w:val="en-US" w:eastAsia="zh-CN" w:bidi="ar"/>
                    </w:rPr>
                    <w:t>收集废气</w:t>
                  </w:r>
                  <w:r>
                    <w:rPr>
                      <w:rFonts w:hint="default" w:ascii="Times New Roman" w:hAnsi="Times New Roman" w:eastAsia="宋体" w:cs="Times New Roman"/>
                      <w:color w:val="auto"/>
                      <w:kern w:val="0"/>
                      <w:sz w:val="21"/>
                      <w:szCs w:val="21"/>
                      <w:lang w:val="en-US" w:eastAsia="zh-CN" w:bidi="ar"/>
                    </w:rPr>
                    <w:t>NMHC</w:t>
                  </w:r>
                  <w:r>
                    <w:rPr>
                      <w:rFonts w:hint="eastAsia" w:ascii="仿宋" w:hAnsi="仿宋" w:eastAsia="仿宋" w:cs="仿宋"/>
                      <w:color w:val="auto"/>
                      <w:kern w:val="0"/>
                      <w:sz w:val="21"/>
                      <w:szCs w:val="21"/>
                      <w:lang w:val="en-US" w:eastAsia="zh-CN" w:bidi="ar"/>
                    </w:rPr>
                    <w:t>初始排放速率</w:t>
                  </w:r>
                  <w:r>
                    <w:rPr>
                      <w:rFonts w:hint="default" w:ascii="Times New Roman" w:hAnsi="Times New Roman" w:eastAsia="宋体" w:cs="Times New Roman"/>
                      <w:color w:val="auto"/>
                      <w:kern w:val="0"/>
                      <w:sz w:val="21"/>
                      <w:szCs w:val="21"/>
                      <w:lang w:val="en-US" w:eastAsia="zh-CN" w:bidi="ar"/>
                    </w:rPr>
                    <w:t>≥3kg/h</w:t>
                  </w:r>
                  <w:r>
                    <w:rPr>
                      <w:rFonts w:hint="eastAsia" w:ascii="仿宋" w:hAnsi="仿宋" w:eastAsia="仿宋" w:cs="仿宋"/>
                      <w:color w:val="auto"/>
                      <w:kern w:val="0"/>
                      <w:sz w:val="21"/>
                      <w:szCs w:val="21"/>
                      <w:lang w:val="en-US" w:eastAsia="zh-CN" w:bidi="ar"/>
                    </w:rPr>
                    <w:t>时，应配置</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处理设施，处理效率不应低于</w:t>
                  </w:r>
                  <w:r>
                    <w:rPr>
                      <w:rFonts w:hint="default" w:ascii="Times New Roman" w:hAnsi="Times New Roman" w:eastAsia="宋体" w:cs="Times New Roman"/>
                      <w:color w:val="auto"/>
                      <w:kern w:val="0"/>
                      <w:sz w:val="21"/>
                      <w:szCs w:val="21"/>
                      <w:lang w:val="en-US" w:eastAsia="zh-CN" w:bidi="ar"/>
                    </w:rPr>
                    <w:t>90%</w:t>
                  </w:r>
                  <w:r>
                    <w:rPr>
                      <w:rFonts w:hint="eastAsia" w:ascii="仿宋" w:hAnsi="仿宋" w:eastAsia="仿宋" w:cs="仿宋"/>
                      <w:color w:val="auto"/>
                      <w:kern w:val="0"/>
                      <w:sz w:val="21"/>
                      <w:szCs w:val="21"/>
                      <w:lang w:val="en-US" w:eastAsia="zh-CN" w:bidi="ar"/>
                    </w:rPr>
                    <w:t>；对于重点地区，收集的废气中</w:t>
                  </w:r>
                  <w:r>
                    <w:rPr>
                      <w:rFonts w:hint="default" w:ascii="Times New Roman" w:hAnsi="Times New Roman" w:eastAsia="宋体" w:cs="Times New Roman"/>
                      <w:color w:val="auto"/>
                      <w:kern w:val="0"/>
                      <w:sz w:val="21"/>
                      <w:szCs w:val="21"/>
                      <w:lang w:val="en-US" w:eastAsia="zh-CN" w:bidi="ar"/>
                    </w:rPr>
                    <w:t>NMHC</w:t>
                  </w:r>
                  <w:r>
                    <w:rPr>
                      <w:rFonts w:hint="eastAsia" w:ascii="仿宋" w:hAnsi="仿宋" w:eastAsia="仿宋" w:cs="仿宋"/>
                      <w:color w:val="auto"/>
                      <w:kern w:val="0"/>
                      <w:sz w:val="21"/>
                      <w:szCs w:val="21"/>
                      <w:lang w:val="en-US" w:eastAsia="zh-CN" w:bidi="ar"/>
                    </w:rPr>
                    <w:t>初始排放速率</w:t>
                  </w:r>
                  <w:r>
                    <w:rPr>
                      <w:rFonts w:hint="default" w:ascii="Times New Roman" w:hAnsi="Times New Roman" w:eastAsia="宋体" w:cs="Times New Roman"/>
                      <w:color w:val="auto"/>
                      <w:kern w:val="0"/>
                      <w:sz w:val="21"/>
                      <w:szCs w:val="21"/>
                      <w:lang w:val="en-US" w:eastAsia="zh-CN" w:bidi="ar"/>
                    </w:rPr>
                    <w:t>≥2kg/h</w:t>
                  </w:r>
                  <w:r>
                    <w:rPr>
                      <w:rFonts w:hint="eastAsia" w:ascii="仿宋" w:hAnsi="仿宋" w:eastAsia="仿宋" w:cs="仿宋"/>
                      <w:color w:val="auto"/>
                      <w:kern w:val="0"/>
                      <w:sz w:val="21"/>
                      <w:szCs w:val="21"/>
                      <w:lang w:val="en-US" w:eastAsia="zh-CN" w:bidi="ar"/>
                    </w:rPr>
                    <w:t>时，应配置</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处理设施，处理效率不应低于</w:t>
                  </w:r>
                  <w:r>
                    <w:rPr>
                      <w:rFonts w:hint="default" w:ascii="Times New Roman" w:hAnsi="Times New Roman" w:eastAsia="宋体" w:cs="Times New Roman"/>
                      <w:color w:val="auto"/>
                      <w:kern w:val="0"/>
                      <w:sz w:val="21"/>
                      <w:szCs w:val="21"/>
                      <w:lang w:val="en-US" w:eastAsia="zh-CN" w:bidi="ar"/>
                    </w:rPr>
                    <w:t>80%</w:t>
                  </w:r>
                  <w:r>
                    <w:rPr>
                      <w:rFonts w:hint="eastAsia" w:ascii="仿宋" w:hAnsi="仿宋" w:eastAsia="仿宋" w:cs="仿宋"/>
                      <w:color w:val="auto"/>
                      <w:kern w:val="0"/>
                      <w:sz w:val="21"/>
                      <w:szCs w:val="21"/>
                      <w:lang w:val="en-US" w:eastAsia="zh-CN" w:bidi="ar"/>
                    </w:rPr>
                    <w:t>；采用的原辅材料符合国家有关低</w:t>
                  </w:r>
                  <w:r>
                    <w:rPr>
                      <w:rFonts w:hint="default" w:ascii="Times New Roman" w:hAnsi="Times New Roman" w:eastAsia="宋体"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含量产品规定除外。</w:t>
                  </w:r>
                </w:p>
              </w:tc>
              <w:tc>
                <w:tcPr>
                  <w:tcW w:w="2515" w:type="dxa"/>
                  <w:tcBorders>
                    <w:tl2br w:val="nil"/>
                    <w:tr2bl w:val="nil"/>
                  </w:tcBorders>
                  <w:noWrap w:val="0"/>
                  <w:vAlign w:val="center"/>
                </w:tcPr>
                <w:p w14:paraId="3512D4E5">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0"/>
                      <w:sz w:val="21"/>
                      <w:szCs w:val="21"/>
                      <w:lang w:val="en-US" w:eastAsia="zh-CN" w:bidi="ar"/>
                    </w:rPr>
                    <w:t>本项目位于重点区域，</w:t>
                  </w:r>
                  <w:r>
                    <w:rPr>
                      <w:rFonts w:hint="default" w:ascii="Times New Roman" w:hAnsi="Times New Roman" w:eastAsia="仿宋" w:cs="Times New Roman"/>
                      <w:color w:val="auto"/>
                      <w:kern w:val="0"/>
                      <w:sz w:val="21"/>
                      <w:szCs w:val="21"/>
                      <w:lang w:val="en-US" w:eastAsia="zh-CN" w:bidi="ar"/>
                    </w:rPr>
                    <w:t>非甲烷总烃初始排放速率</w:t>
                  </w:r>
                  <w:r>
                    <w:rPr>
                      <w:rFonts w:hint="eastAsia" w:eastAsia="仿宋" w:cs="Times New Roman"/>
                      <w:color w:val="auto"/>
                      <w:kern w:val="0"/>
                      <w:sz w:val="21"/>
                      <w:szCs w:val="21"/>
                      <w:lang w:val="en-US" w:eastAsia="zh-CN" w:bidi="ar"/>
                    </w:rPr>
                    <w:t>不超过</w:t>
                  </w:r>
                  <w:r>
                    <w:rPr>
                      <w:rFonts w:hint="default" w:ascii="Times New Roman" w:hAnsi="Times New Roman" w:eastAsia="仿宋" w:cs="Times New Roman"/>
                      <w:color w:val="auto"/>
                      <w:kern w:val="0"/>
                      <w:sz w:val="21"/>
                      <w:szCs w:val="21"/>
                      <w:lang w:val="en-US" w:eastAsia="zh-CN" w:bidi="ar"/>
                    </w:rPr>
                    <w:t>2kg/h，配备</w:t>
                  </w:r>
                  <w:r>
                    <w:rPr>
                      <w:rFonts w:hint="eastAsia" w:ascii="Times New Roman" w:hAnsi="Times New Roman" w:eastAsia="仿宋" w:cs="Times New Roman"/>
                      <w:color w:val="auto"/>
                      <w:sz w:val="21"/>
                      <w:szCs w:val="21"/>
                      <w:lang w:val="en-US" w:eastAsia="zh-CN"/>
                    </w:rPr>
                    <w:t>“</w:t>
                  </w:r>
                  <w:r>
                    <w:rPr>
                      <w:rFonts w:hint="eastAsia" w:eastAsia="仿宋" w:cs="Times New Roman"/>
                      <w:color w:val="auto"/>
                      <w:sz w:val="21"/>
                      <w:szCs w:val="21"/>
                      <w:lang w:val="en-US" w:eastAsia="zh-CN"/>
                    </w:rPr>
                    <w:t>两级活性炭吸附</w:t>
                  </w:r>
                  <w:r>
                    <w:rPr>
                      <w:rFonts w:hint="eastAsia" w:ascii="Times New Roman" w:hAnsi="Times New Roman" w:eastAsia="仿宋" w:cs="Times New Roman"/>
                      <w:color w:val="auto"/>
                      <w:sz w:val="21"/>
                      <w:szCs w:val="21"/>
                      <w:lang w:val="en-US" w:eastAsia="zh-CN"/>
                    </w:rPr>
                    <w:t>”装置</w:t>
                  </w:r>
                  <w:r>
                    <w:rPr>
                      <w:rFonts w:hint="default" w:ascii="Times New Roman" w:hAnsi="Times New Roman" w:eastAsia="仿宋" w:cs="Times New Roman"/>
                      <w:color w:val="auto"/>
                      <w:kern w:val="0"/>
                      <w:sz w:val="21"/>
                      <w:szCs w:val="21"/>
                      <w:lang w:val="en-US" w:eastAsia="zh-CN" w:bidi="ar"/>
                    </w:rPr>
                    <w:t>，处理效率</w:t>
                  </w:r>
                  <w:r>
                    <w:rPr>
                      <w:rFonts w:hint="eastAsia" w:eastAsia="仿宋" w:cs="Times New Roman"/>
                      <w:color w:val="auto"/>
                      <w:kern w:val="0"/>
                      <w:sz w:val="21"/>
                      <w:szCs w:val="21"/>
                      <w:lang w:val="en-US" w:eastAsia="zh-CN" w:bidi="ar"/>
                    </w:rPr>
                    <w:t>不低于90%</w:t>
                  </w:r>
                </w:p>
              </w:tc>
              <w:tc>
                <w:tcPr>
                  <w:tcW w:w="1518" w:type="dxa"/>
                  <w:tcBorders>
                    <w:tl2br w:val="nil"/>
                    <w:tr2bl w:val="nil"/>
                  </w:tcBorders>
                  <w:noWrap w:val="0"/>
                  <w:vAlign w:val="center"/>
                </w:tcPr>
                <w:p w14:paraId="515FE7EE">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是</w:t>
                  </w:r>
                </w:p>
              </w:tc>
            </w:tr>
            <w:tr w14:paraId="0F1B9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tcBorders>
                    <w:tl2br w:val="nil"/>
                    <w:tr2bl w:val="nil"/>
                  </w:tcBorders>
                  <w:noWrap w:val="0"/>
                  <w:vAlign w:val="center"/>
                </w:tcPr>
                <w:p w14:paraId="4F010CB0">
                  <w:pPr>
                    <w:pStyle w:val="8"/>
                    <w:keepNext w:val="0"/>
                    <w:keepLines w:val="0"/>
                    <w:suppressLineNumbers w:val="0"/>
                    <w:spacing w:beforeAutospacing="0" w:afterAutospacing="0" w:line="240" w:lineRule="auto"/>
                    <w:ind w:left="0"/>
                    <w:jc w:val="center"/>
                    <w:rPr>
                      <w:rFonts w:hint="default" w:cs="Times New Roman"/>
                      <w:color w:val="auto"/>
                      <w:sz w:val="21"/>
                      <w:szCs w:val="21"/>
                      <w:vertAlign w:val="baseline"/>
                      <w:lang w:val="en-US" w:eastAsia="zh-CN"/>
                    </w:rPr>
                  </w:pPr>
                </w:p>
              </w:tc>
              <w:tc>
                <w:tcPr>
                  <w:tcW w:w="1010" w:type="dxa"/>
                  <w:vMerge w:val="continue"/>
                  <w:tcBorders>
                    <w:tl2br w:val="nil"/>
                    <w:tr2bl w:val="nil"/>
                  </w:tcBorders>
                  <w:noWrap w:val="0"/>
                  <w:vAlign w:val="center"/>
                </w:tcPr>
                <w:p w14:paraId="1C3D68F0">
                  <w:pPr>
                    <w:pStyle w:val="8"/>
                    <w:keepNext w:val="0"/>
                    <w:keepLines w:val="0"/>
                    <w:suppressLineNumbers w:val="0"/>
                    <w:spacing w:beforeAutospacing="0" w:afterAutospacing="0" w:line="240" w:lineRule="auto"/>
                    <w:ind w:left="0"/>
                    <w:jc w:val="center"/>
                    <w:rPr>
                      <w:rFonts w:hint="default" w:cs="Times New Roman"/>
                      <w:color w:val="auto"/>
                      <w:sz w:val="21"/>
                      <w:szCs w:val="21"/>
                      <w:vertAlign w:val="baseline"/>
                      <w:lang w:val="en-US" w:eastAsia="zh-CN"/>
                    </w:rPr>
                  </w:pPr>
                </w:p>
              </w:tc>
              <w:tc>
                <w:tcPr>
                  <w:tcW w:w="3050" w:type="dxa"/>
                  <w:tcBorders>
                    <w:tl2br w:val="nil"/>
                    <w:tr2bl w:val="nil"/>
                  </w:tcBorders>
                  <w:noWrap w:val="0"/>
                  <w:vAlign w:val="center"/>
                </w:tcPr>
                <w:p w14:paraId="75399713">
                  <w:pPr>
                    <w:keepNext w:val="0"/>
                    <w:keepLines w:val="0"/>
                    <w:widowControl/>
                    <w:suppressLineNumbers w:val="0"/>
                    <w:spacing w:before="0" w:beforeAutospacing="0" w:after="0" w:afterAutospacing="0" w:line="240" w:lineRule="auto"/>
                    <w:ind w:left="0" w:right="0"/>
                    <w:jc w:val="both"/>
                    <w:rPr>
                      <w:rFonts w:hint="default"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 xml:space="preserve">10.3.4 </w:t>
                  </w:r>
                  <w:r>
                    <w:rPr>
                      <w:rFonts w:hint="default" w:ascii="仿宋" w:hAnsi="仿宋" w:eastAsia="仿宋" w:cs="仿宋"/>
                      <w:color w:val="auto"/>
                      <w:kern w:val="0"/>
                      <w:sz w:val="21"/>
                      <w:szCs w:val="21"/>
                      <w:lang w:val="en-US" w:eastAsia="zh-CN" w:bidi="ar"/>
                    </w:rPr>
                    <w:t>排气筒高度不低于</w:t>
                  </w:r>
                  <w:r>
                    <w:rPr>
                      <w:rFonts w:hint="default" w:ascii="Times New Roman" w:hAnsi="Times New Roman" w:eastAsia="宋体" w:cs="Times New Roman"/>
                      <w:color w:val="auto"/>
                      <w:kern w:val="0"/>
                      <w:sz w:val="21"/>
                      <w:szCs w:val="21"/>
                      <w:lang w:val="en-US" w:eastAsia="zh-CN" w:bidi="ar"/>
                    </w:rPr>
                    <w:t>15m</w:t>
                  </w:r>
                  <w:r>
                    <w:rPr>
                      <w:rFonts w:hint="eastAsia" w:ascii="仿宋" w:hAnsi="仿宋" w:eastAsia="仿宋" w:cs="仿宋"/>
                      <w:color w:val="auto"/>
                      <w:kern w:val="0"/>
                      <w:sz w:val="21"/>
                      <w:szCs w:val="21"/>
                      <w:lang w:val="en-US" w:eastAsia="zh-CN" w:bidi="ar"/>
                    </w:rPr>
                    <w:t>（因安全考虑或有特殊工艺要求的除外），具体高度以及与周围建筑物的相对高度关系应根据环境影响评价文件确定。</w:t>
                  </w:r>
                </w:p>
              </w:tc>
              <w:tc>
                <w:tcPr>
                  <w:tcW w:w="2515" w:type="dxa"/>
                  <w:tcBorders>
                    <w:tl2br w:val="nil"/>
                    <w:tr2bl w:val="nil"/>
                  </w:tcBorders>
                  <w:noWrap w:val="0"/>
                  <w:vAlign w:val="center"/>
                </w:tcPr>
                <w:p w14:paraId="4660359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本项目</w:t>
                  </w:r>
                  <w:r>
                    <w:rPr>
                      <w:rFonts w:hint="eastAsia" w:ascii="Times New Roman" w:hAnsi="Times New Roman" w:eastAsia="仿宋" w:cs="Times New Roman"/>
                      <w:color w:val="auto"/>
                      <w:kern w:val="0"/>
                      <w:sz w:val="21"/>
                      <w:szCs w:val="21"/>
                      <w:lang w:val="en-US" w:eastAsia="zh-CN" w:bidi="ar"/>
                    </w:rPr>
                    <w:t>排气筒高度为</w:t>
                  </w:r>
                  <w:r>
                    <w:rPr>
                      <w:rFonts w:hint="eastAsia" w:eastAsia="仿宋" w:cs="Times New Roman"/>
                      <w:color w:val="auto"/>
                      <w:kern w:val="0"/>
                      <w:sz w:val="21"/>
                      <w:szCs w:val="21"/>
                      <w:lang w:val="en-US" w:eastAsia="zh-CN" w:bidi="ar"/>
                    </w:rPr>
                    <w:t>15m</w:t>
                  </w:r>
                </w:p>
              </w:tc>
              <w:tc>
                <w:tcPr>
                  <w:tcW w:w="1518" w:type="dxa"/>
                  <w:tcBorders>
                    <w:tl2br w:val="nil"/>
                    <w:tr2bl w:val="nil"/>
                  </w:tcBorders>
                  <w:noWrap w:val="0"/>
                  <w:vAlign w:val="center"/>
                </w:tcPr>
                <w:p w14:paraId="23397FE7">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lang w:val="en-US" w:eastAsia="zh-CN"/>
                    </w:rPr>
                    <w:t>是</w:t>
                  </w:r>
                </w:p>
              </w:tc>
            </w:tr>
          </w:tbl>
          <w:p w14:paraId="66B825D7">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
                <w:bCs/>
                <w:color w:val="auto"/>
                <w:highlight w:val="none"/>
                <w:lang w:val="en-US" w:eastAsia="zh-CN"/>
              </w:rPr>
              <w:t>⑪与</w:t>
            </w:r>
            <w:r>
              <w:rPr>
                <w:rFonts w:hint="default" w:ascii="Times New Roman" w:hAnsi="Times New Roman" w:cs="Times New Roman"/>
                <w:b/>
                <w:bCs/>
                <w:color w:val="auto"/>
                <w:szCs w:val="21"/>
                <w:lang w:val="en-US" w:eastAsia="zh-CN"/>
              </w:rPr>
              <w:t>关于印发《减污降碳协同增效实施方案》的通知（环综合</w:t>
            </w:r>
            <w:r>
              <w:rPr>
                <w:rFonts w:hint="default" w:ascii="Times New Roman" w:hAnsi="Times New Roman" w:eastAsia="宋体" w:cs="Times New Roman"/>
                <w:b/>
                <w:color w:val="auto"/>
                <w:sz w:val="21"/>
                <w:szCs w:val="21"/>
                <w:highlight w:val="none"/>
              </w:rPr>
              <w:t>[2022]</w:t>
            </w:r>
            <w:r>
              <w:rPr>
                <w:rFonts w:hint="default" w:ascii="Times New Roman" w:hAnsi="Times New Roman" w:cs="Times New Roman"/>
                <w:b/>
                <w:bCs/>
                <w:color w:val="auto"/>
                <w:szCs w:val="21"/>
                <w:lang w:val="en-US" w:eastAsia="zh-CN"/>
              </w:rPr>
              <w:t>42号）</w:t>
            </w:r>
            <w:r>
              <w:rPr>
                <w:rFonts w:hint="default" w:ascii="Times New Roman" w:hAnsi="Times New Roman" w:eastAsia="宋体" w:cs="Times New Roman"/>
                <w:b/>
                <w:color w:val="auto"/>
                <w:sz w:val="21"/>
                <w:szCs w:val="21"/>
                <w:highlight w:val="none"/>
              </w:rPr>
              <w:t>的相符性分析</w:t>
            </w:r>
          </w:p>
          <w:p w14:paraId="0B4DF8EF">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b/>
                <w:bCs/>
                <w:color w:val="auto"/>
                <w:szCs w:val="21"/>
                <w:lang w:val="en-US" w:eastAsia="zh-CN"/>
              </w:rPr>
            </w:pPr>
            <w:r>
              <w:rPr>
                <w:rFonts w:hint="default" w:ascii="Times New Roman" w:hAnsi="Times New Roman" w:eastAsia="宋体" w:cs="Times New Roman"/>
                <w:color w:val="auto"/>
                <w:sz w:val="21"/>
                <w:szCs w:val="21"/>
                <w:highlight w:val="none"/>
              </w:rPr>
              <w:t>根据</w:t>
            </w:r>
            <w:r>
              <w:rPr>
                <w:rFonts w:hint="default" w:ascii="Times New Roman" w:hAnsi="Times New Roman" w:eastAsia="宋体" w:cs="Times New Roman"/>
                <w:color w:val="auto"/>
                <w:sz w:val="21"/>
                <w:szCs w:val="21"/>
                <w:highlight w:val="none"/>
                <w:lang w:val="en-US" w:eastAsia="zh-CN"/>
              </w:rPr>
              <w:t>印发《减污降碳协同增效实施方案》的通知（环综合</w:t>
            </w:r>
            <w:r>
              <w:rPr>
                <w:rFonts w:hint="default" w:ascii="Times New Roman" w:hAnsi="Times New Roman" w:eastAsia="宋体" w:cs="Times New Roman"/>
                <w:color w:val="auto"/>
                <w:sz w:val="21"/>
                <w:szCs w:val="21"/>
                <w:highlight w:val="none"/>
              </w:rPr>
              <w:t>[2022]</w:t>
            </w:r>
            <w:r>
              <w:rPr>
                <w:rFonts w:hint="default" w:ascii="Times New Roman" w:hAnsi="Times New Roman" w:eastAsia="宋体" w:cs="Times New Roman"/>
                <w:color w:val="auto"/>
                <w:sz w:val="21"/>
                <w:szCs w:val="21"/>
                <w:highlight w:val="none"/>
                <w:lang w:val="en-US" w:eastAsia="zh-CN"/>
              </w:rPr>
              <w:t>42号）</w:t>
            </w:r>
            <w:r>
              <w:rPr>
                <w:rFonts w:hint="default" w:ascii="Times New Roman" w:hAnsi="Times New Roman" w:eastAsia="宋体" w:cs="Times New Roman"/>
                <w:color w:val="auto"/>
                <w:sz w:val="21"/>
                <w:szCs w:val="21"/>
                <w:highlight w:val="none"/>
              </w:rPr>
              <w:t>，相关要求对照分析</w:t>
            </w:r>
            <w:r>
              <w:rPr>
                <w:rFonts w:hint="eastAsia" w:ascii="Times New Roman" w:hAnsi="Times New Roman" w:eastAsia="宋体" w:cs="Times New Roman"/>
                <w:color w:val="auto"/>
                <w:sz w:val="21"/>
                <w:szCs w:val="21"/>
                <w:highlight w:val="none"/>
                <w:lang w:val="en-US" w:eastAsia="zh-CN"/>
              </w:rPr>
              <w:t>详</w:t>
            </w:r>
            <w:r>
              <w:rPr>
                <w:rFonts w:hint="default" w:ascii="Times New Roman" w:hAnsi="Times New Roman" w:eastAsia="宋体" w:cs="Times New Roman"/>
                <w:color w:val="auto"/>
                <w:sz w:val="21"/>
                <w:szCs w:val="21"/>
                <w:highlight w:val="none"/>
                <w:lang w:eastAsia="zh-CN"/>
              </w:rPr>
              <w:t>见</w:t>
            </w:r>
            <w:r>
              <w:rPr>
                <w:rFonts w:hint="eastAsia" w:ascii="Times New Roman" w:hAnsi="Times New Roman" w:eastAsia="宋体" w:cs="Times New Roman"/>
                <w:color w:val="auto"/>
                <w:sz w:val="21"/>
                <w:szCs w:val="21"/>
                <w:highlight w:val="none"/>
                <w:lang w:val="en-US" w:eastAsia="zh-CN"/>
              </w:rPr>
              <w:t>下表：</w:t>
            </w:r>
          </w:p>
          <w:p w14:paraId="707B6B8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rPr>
              <w:t>表1-</w:t>
            </w:r>
            <w:r>
              <w:rPr>
                <w:rFonts w:hint="eastAsia" w:ascii="Times New Roman" w:hAnsi="Times New Roman" w:eastAsia="仿宋" w:cs="Times New Roman"/>
                <w:b/>
                <w:color w:val="auto"/>
                <w:kern w:val="0"/>
                <w:sz w:val="21"/>
                <w:szCs w:val="21"/>
                <w:highlight w:val="none"/>
                <w:lang w:val="en-US" w:eastAsia="zh-CN"/>
              </w:rPr>
              <w:t>1</w:t>
            </w:r>
            <w:r>
              <w:rPr>
                <w:rFonts w:hint="eastAsia" w:eastAsia="仿宋"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rPr>
              <w:t xml:space="preserve">  </w:t>
            </w:r>
            <w:r>
              <w:rPr>
                <w:rFonts w:hint="default" w:ascii="Times New Roman" w:hAnsi="Times New Roman" w:eastAsia="宋体" w:cs="Times New Roman"/>
                <w:b/>
                <w:color w:val="auto"/>
                <w:kern w:val="0"/>
                <w:sz w:val="21"/>
                <w:szCs w:val="21"/>
                <w:highlight w:val="none"/>
                <w:lang w:val="en-US" w:eastAsia="zh-CN"/>
              </w:rPr>
              <w:t>《减污降碳协同增效实施方案》的通知（环综合</w:t>
            </w:r>
            <w:r>
              <w:rPr>
                <w:rFonts w:hint="default" w:ascii="Times New Roman" w:hAnsi="Times New Roman" w:eastAsia="宋体" w:cs="Times New Roman"/>
                <w:b/>
                <w:color w:val="auto"/>
                <w:kern w:val="0"/>
                <w:sz w:val="21"/>
                <w:szCs w:val="21"/>
                <w:highlight w:val="none"/>
              </w:rPr>
              <w:t>[2022]</w:t>
            </w:r>
            <w:r>
              <w:rPr>
                <w:rFonts w:hint="default" w:ascii="Times New Roman" w:hAnsi="Times New Roman" w:eastAsia="宋体" w:cs="Times New Roman"/>
                <w:b/>
                <w:color w:val="auto"/>
                <w:kern w:val="0"/>
                <w:sz w:val="21"/>
                <w:szCs w:val="21"/>
                <w:highlight w:val="none"/>
                <w:lang w:val="en-US" w:eastAsia="zh-CN"/>
              </w:rPr>
              <w:t>42号）</w:t>
            </w:r>
            <w:r>
              <w:rPr>
                <w:rFonts w:hint="default" w:ascii="Times New Roman" w:hAnsi="Times New Roman" w:eastAsia="宋体" w:cs="Times New Roman"/>
                <w:b/>
                <w:color w:val="auto"/>
                <w:kern w:val="0"/>
                <w:sz w:val="21"/>
                <w:szCs w:val="21"/>
                <w:highlight w:val="none"/>
              </w:rPr>
              <w:t>分析判定对照表</w:t>
            </w:r>
          </w:p>
          <w:tbl>
            <w:tblPr>
              <w:tblStyle w:val="28"/>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16"/>
              <w:gridCol w:w="4670"/>
              <w:gridCol w:w="2077"/>
              <w:gridCol w:w="1525"/>
            </w:tblGrid>
            <w:tr w14:paraId="4E5DDE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995" w:type="pct"/>
                  <w:gridSpan w:val="2"/>
                  <w:tcBorders>
                    <w:tl2br w:val="nil"/>
                    <w:tr2bl w:val="nil"/>
                  </w:tcBorders>
                  <w:noWrap w:val="0"/>
                  <w:vAlign w:val="center"/>
                </w:tcPr>
                <w:p w14:paraId="28B53BE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相关要求</w:t>
                  </w:r>
                </w:p>
              </w:tc>
              <w:tc>
                <w:tcPr>
                  <w:tcW w:w="1155" w:type="pct"/>
                  <w:tcBorders>
                    <w:tl2br w:val="nil"/>
                    <w:tr2bl w:val="nil"/>
                  </w:tcBorders>
                  <w:noWrap w:val="0"/>
                  <w:vAlign w:val="center"/>
                </w:tcPr>
                <w:p w14:paraId="374BA1C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对照分析</w:t>
                  </w:r>
                </w:p>
              </w:tc>
              <w:tc>
                <w:tcPr>
                  <w:tcW w:w="848" w:type="pct"/>
                  <w:tcBorders>
                    <w:tl2br w:val="nil"/>
                    <w:tr2bl w:val="nil"/>
                  </w:tcBorders>
                  <w:noWrap w:val="0"/>
                  <w:vAlign w:val="center"/>
                </w:tcPr>
                <w:p w14:paraId="70927C6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是否满足要求</w:t>
                  </w:r>
                </w:p>
              </w:tc>
            </w:tr>
            <w:tr w14:paraId="4FCA52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98" w:type="pct"/>
                  <w:tcBorders>
                    <w:tl2br w:val="nil"/>
                    <w:tr2bl w:val="nil"/>
                  </w:tcBorders>
                  <w:noWrap w:val="0"/>
                  <w:vAlign w:val="center"/>
                </w:tcPr>
                <w:p w14:paraId="0BDF840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（十三）推进大气污染防治协同控制</w:t>
                  </w:r>
                </w:p>
              </w:tc>
              <w:tc>
                <w:tcPr>
                  <w:tcW w:w="2597" w:type="pct"/>
                  <w:tcBorders>
                    <w:tl2br w:val="nil"/>
                    <w:tr2bl w:val="nil"/>
                  </w:tcBorders>
                  <w:noWrap w:val="0"/>
                  <w:vAlign w:val="center"/>
                </w:tcPr>
                <w:p w14:paraId="1B7E39E3">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优化治理技术路线，加大氮氧化物、挥发性有机物（VOCs）以及温室气体协同减排力度。一体推进重点行业大气污染深度治理与节能降碳行动，推动钢铁、水泥、焦化行业及锅炉超低排放改造，探索开展大气污染物与温室气体排放协同控制改造提升工程试点。VOCs等大气污染物治理优先采用源头替代措施。推进大气污染治理设备节能降耗，提高设备自动化智能化运行水平。加强消耗臭氧层物质和氢氟碳化物管理，加快使用含氢氯氟烃生产线改造，逐步淘汰氢氯氟烃使用。推进移动源大气污染物排放和碳排放协同治理。</w:t>
                  </w:r>
                </w:p>
              </w:tc>
              <w:tc>
                <w:tcPr>
                  <w:tcW w:w="1155" w:type="pct"/>
                  <w:tcBorders>
                    <w:tl2br w:val="nil"/>
                    <w:tr2bl w:val="nil"/>
                  </w:tcBorders>
                  <w:noWrap w:val="0"/>
                  <w:vAlign w:val="center"/>
                </w:tcPr>
                <w:p w14:paraId="2ECA6040">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eastAsia="zh-CN"/>
                    </w:rPr>
                    <w:t>本项目</w:t>
                  </w:r>
                  <w:r>
                    <w:rPr>
                      <w:rFonts w:hint="default" w:ascii="Times New Roman" w:hAnsi="Times New Roman" w:eastAsia="仿宋" w:cs="Times New Roman"/>
                      <w:color w:val="auto"/>
                      <w:kern w:val="0"/>
                      <w:sz w:val="21"/>
                      <w:szCs w:val="21"/>
                      <w:lang w:val="en-US" w:eastAsia="zh-CN" w:bidi="ar"/>
                    </w:rPr>
                    <w:t>根据废气特点将炼胶+硫化废气</w:t>
                  </w:r>
                  <w:r>
                    <w:rPr>
                      <w:rFonts w:hint="eastAsia" w:eastAsia="仿宋" w:cs="Times New Roman"/>
                      <w:color w:val="auto"/>
                      <w:kern w:val="0"/>
                      <w:sz w:val="21"/>
                      <w:szCs w:val="21"/>
                      <w:lang w:val="en-US" w:eastAsia="zh-CN" w:bidi="ar"/>
                    </w:rPr>
                    <w:t>经密闭</w:t>
                  </w:r>
                  <w:r>
                    <w:rPr>
                      <w:rFonts w:hint="default" w:ascii="Times New Roman" w:hAnsi="Times New Roman" w:eastAsia="仿宋" w:cs="Times New Roman"/>
                      <w:color w:val="auto"/>
                      <w:kern w:val="0"/>
                      <w:sz w:val="21"/>
                      <w:szCs w:val="21"/>
                      <w:lang w:val="en-US" w:eastAsia="zh-CN" w:bidi="ar"/>
                    </w:rPr>
                    <w:t>收集，通过“</w:t>
                  </w:r>
                  <w:r>
                    <w:rPr>
                      <w:rFonts w:hint="eastAsia" w:ascii="Times New Roman" w:hAnsi="Times New Roman" w:eastAsia="仿宋" w:cs="Times New Roman"/>
                      <w:color w:val="auto"/>
                      <w:kern w:val="0"/>
                      <w:szCs w:val="21"/>
                      <w:lang w:val="en-US" w:eastAsia="zh-CN"/>
                    </w:rPr>
                    <w:t>脉冲除尘+</w:t>
                  </w:r>
                  <w:r>
                    <w:rPr>
                      <w:rFonts w:hint="default" w:ascii="Times New Roman" w:hAnsi="Times New Roman" w:eastAsia="仿宋" w:cs="Times New Roman"/>
                      <w:color w:val="auto"/>
                      <w:kern w:val="0"/>
                      <w:sz w:val="21"/>
                      <w:szCs w:val="21"/>
                      <w:lang w:val="en-US" w:eastAsia="zh-CN" w:bidi="ar"/>
                    </w:rPr>
                    <w:t>水喷淋+</w:t>
                  </w:r>
                  <w:r>
                    <w:rPr>
                      <w:rFonts w:hint="eastAsia" w:eastAsia="仿宋" w:cs="Times New Roman"/>
                      <w:color w:val="auto"/>
                      <w:kern w:val="0"/>
                      <w:sz w:val="21"/>
                      <w:szCs w:val="21"/>
                      <w:lang w:val="en-US" w:eastAsia="zh-CN" w:bidi="ar"/>
                    </w:rPr>
                    <w:t>除雾+</w:t>
                  </w:r>
                  <w:r>
                    <w:rPr>
                      <w:rFonts w:hint="default" w:ascii="Times New Roman" w:hAnsi="Times New Roman" w:eastAsia="仿宋" w:cs="Times New Roman"/>
                      <w:color w:val="auto"/>
                      <w:kern w:val="0"/>
                      <w:sz w:val="21"/>
                      <w:szCs w:val="21"/>
                      <w:lang w:val="en-US" w:eastAsia="zh-CN" w:bidi="ar"/>
                    </w:rPr>
                    <w:t>两级活性炭吸附”装置进行处理</w:t>
                  </w:r>
                  <w:r>
                    <w:rPr>
                      <w:rFonts w:hint="eastAsia" w:eastAsia="仿宋" w:cs="Times New Roman"/>
                      <w:color w:val="auto"/>
                      <w:sz w:val="21"/>
                      <w:szCs w:val="21"/>
                      <w:highlight w:val="none"/>
                      <w:lang w:val="en-US" w:eastAsia="zh-CN"/>
                    </w:rPr>
                    <w:t>，尾气有组织达标排放</w:t>
                  </w:r>
                </w:p>
              </w:tc>
              <w:tc>
                <w:tcPr>
                  <w:tcW w:w="848" w:type="pct"/>
                  <w:tcBorders>
                    <w:tl2br w:val="nil"/>
                    <w:tr2bl w:val="nil"/>
                  </w:tcBorders>
                  <w:noWrap w:val="0"/>
                  <w:vAlign w:val="center"/>
                </w:tcPr>
                <w:p w14:paraId="204D25CF">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eastAsia="zh-CN"/>
                    </w:rPr>
                    <w:t>是</w:t>
                  </w:r>
                </w:p>
              </w:tc>
            </w:tr>
          </w:tbl>
          <w:p w14:paraId="0F11CBB1">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
                <w:bCs/>
                <w:color w:val="auto"/>
                <w:highlight w:val="none"/>
                <w:lang w:val="en-US" w:eastAsia="zh-CN"/>
              </w:rPr>
              <w:t>⑫</w:t>
            </w:r>
            <w:r>
              <w:rPr>
                <w:rFonts w:hint="default" w:ascii="Times New Roman" w:hAnsi="Times New Roman" w:eastAsia="宋体" w:cs="Times New Roman"/>
                <w:b/>
                <w:color w:val="auto"/>
                <w:sz w:val="21"/>
                <w:szCs w:val="21"/>
                <w:highlight w:val="none"/>
              </w:rPr>
              <w:t>与《省生态环境厅关于深入开展涉VOCs治理重点工作核查的通知》（苏环办</w:t>
            </w:r>
            <w:r>
              <w:rPr>
                <w:rFonts w:hint="eastAsia"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2022</w:t>
            </w:r>
            <w:r>
              <w:rPr>
                <w:rFonts w:hint="eastAsia"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218号）的相符性分析</w:t>
            </w:r>
          </w:p>
          <w:p w14:paraId="44E2CCD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根据《省生态环境厅关于深入开展涉VOCs治理重点工作核查的通知》（苏环办</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2022</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218号），相关要求对照分析见表1-</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p w14:paraId="6E3A8C7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表1-</w:t>
            </w:r>
            <w:r>
              <w:rPr>
                <w:rFonts w:hint="eastAsia" w:ascii="Times New Roman" w:hAnsi="Times New Roman" w:eastAsia="仿宋" w:cs="Times New Roman"/>
                <w:b/>
                <w:color w:val="auto"/>
                <w:kern w:val="0"/>
                <w:sz w:val="21"/>
                <w:szCs w:val="21"/>
                <w:highlight w:val="none"/>
                <w:lang w:val="en-US" w:eastAsia="zh-CN"/>
              </w:rPr>
              <w:t>1</w:t>
            </w:r>
            <w:r>
              <w:rPr>
                <w:rFonts w:hint="eastAsia" w:eastAsia="仿宋" w:cs="Times New Roman"/>
                <w:b/>
                <w:color w:val="auto"/>
                <w:kern w:val="0"/>
                <w:sz w:val="21"/>
                <w:szCs w:val="21"/>
                <w:highlight w:val="none"/>
                <w:lang w:val="en-US" w:eastAsia="zh-CN"/>
              </w:rPr>
              <w:t>4</w:t>
            </w:r>
            <w:r>
              <w:rPr>
                <w:rFonts w:hint="default" w:ascii="Times New Roman" w:hAnsi="Times New Roman" w:eastAsia="宋体" w:cs="Times New Roman"/>
                <w:b/>
                <w:color w:val="auto"/>
                <w:kern w:val="0"/>
                <w:sz w:val="21"/>
                <w:szCs w:val="21"/>
                <w:highlight w:val="none"/>
              </w:rPr>
              <w:t xml:space="preserve">  《省生态环境厅关于深入开展涉VOCs治理重点工作核查的通知》分析判定对照表</w:t>
            </w:r>
          </w:p>
          <w:tbl>
            <w:tblPr>
              <w:tblStyle w:val="27"/>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5"/>
              <w:gridCol w:w="4114"/>
              <w:gridCol w:w="3392"/>
              <w:gridCol w:w="938"/>
            </w:tblGrid>
            <w:tr w14:paraId="67982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7" w:type="pct"/>
                  <w:tcBorders>
                    <w:top w:val="single" w:color="auto" w:sz="12" w:space="0"/>
                    <w:left w:val="nil"/>
                    <w:bottom w:val="single" w:color="auto" w:sz="4" w:space="0"/>
                    <w:right w:val="single" w:color="auto" w:sz="4" w:space="0"/>
                    <w:tl2br w:val="nil"/>
                    <w:tr2bl w:val="nil"/>
                  </w:tcBorders>
                  <w:noWrap w:val="0"/>
                  <w:vAlign w:val="center"/>
                </w:tcPr>
                <w:p w14:paraId="3A8DCB4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序号</w:t>
                  </w:r>
                </w:p>
              </w:tc>
              <w:tc>
                <w:tcPr>
                  <w:tcW w:w="2290"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60658CA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相关要求</w:t>
                  </w:r>
                </w:p>
              </w:tc>
              <w:tc>
                <w:tcPr>
                  <w:tcW w:w="1888"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2A502C7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对照分析</w:t>
                  </w:r>
                </w:p>
              </w:tc>
              <w:tc>
                <w:tcPr>
                  <w:tcW w:w="522" w:type="pct"/>
                  <w:tcBorders>
                    <w:top w:val="single" w:color="auto" w:sz="12" w:space="0"/>
                    <w:left w:val="single" w:color="auto" w:sz="4" w:space="0"/>
                    <w:bottom w:val="single" w:color="auto" w:sz="4" w:space="0"/>
                    <w:right w:val="nil"/>
                    <w:tl2br w:val="nil"/>
                    <w:tr2bl w:val="nil"/>
                  </w:tcBorders>
                  <w:noWrap w:val="0"/>
                  <w:vAlign w:val="center"/>
                </w:tcPr>
                <w:p w14:paraId="35915ED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是否满足要求</w:t>
                  </w:r>
                </w:p>
              </w:tc>
            </w:tr>
            <w:tr w14:paraId="4C816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7" w:type="pct"/>
                  <w:tcBorders>
                    <w:top w:val="single" w:color="auto" w:sz="4" w:space="0"/>
                    <w:left w:val="nil"/>
                    <w:bottom w:val="single" w:color="auto" w:sz="4" w:space="0"/>
                    <w:right w:val="single" w:color="auto" w:sz="4" w:space="0"/>
                    <w:tl2br w:val="nil"/>
                    <w:tr2bl w:val="nil"/>
                  </w:tcBorders>
                  <w:noWrap w:val="0"/>
                  <w:vAlign w:val="center"/>
                </w:tcPr>
                <w:p w14:paraId="154A949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22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2FF6D9">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0"/>
                      <w:sz w:val="21"/>
                      <w:szCs w:val="21"/>
                      <w:highlight w:val="none"/>
                      <w:lang w:val="en"/>
                    </w:rPr>
                  </w:pPr>
                  <w:r>
                    <w:rPr>
                      <w:rFonts w:hint="default" w:ascii="Times New Roman" w:hAnsi="Times New Roman" w:eastAsia="仿宋" w:cs="Times New Roman"/>
                      <w:color w:val="auto"/>
                      <w:kern w:val="0"/>
                      <w:sz w:val="21"/>
                      <w:szCs w:val="21"/>
                      <w:highlight w:val="none"/>
                      <w:lang w:val="en"/>
                    </w:rPr>
                    <w:t>涉VOCs排放工序应在密闭空间中操作或采用全密闭集气罩收集，无法密闭采用局部集气罩的，应根据废气排放特点合理选择收集点位，按《排风罩的分类和技术条件》（GB/T 16758）规定，设置能有效收集废气的集气罩，距集气罩开口面最远处的VOCs无组织排放位置，控制风速不低于0.3米/秒</w:t>
                  </w:r>
                </w:p>
                <w:p w14:paraId="224DBC48">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0"/>
                      <w:sz w:val="21"/>
                      <w:szCs w:val="21"/>
                      <w:highlight w:val="none"/>
                      <w:lang w:val="en"/>
                    </w:rPr>
                  </w:pPr>
                  <w:r>
                    <w:rPr>
                      <w:rFonts w:hint="default" w:ascii="Times New Roman" w:hAnsi="Times New Roman" w:eastAsia="仿宋" w:cs="Times New Roman"/>
                      <w:color w:val="auto"/>
                      <w:kern w:val="0"/>
                      <w:sz w:val="21"/>
                      <w:szCs w:val="21"/>
                      <w:highlight w:val="none"/>
                      <w:lang w:val="en"/>
                    </w:rPr>
                    <w:t>活性炭吸附装置风机应满足依据车间集气罩形状、大小数量及控制风速等测算的风量所需，达不到要求的通过更换大功率风机、增设烟道风机、增加垂帘等方式进行改造</w:t>
                  </w:r>
                </w:p>
              </w:tc>
              <w:tc>
                <w:tcPr>
                  <w:tcW w:w="18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30547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default" w:ascii="Times New Roman" w:hAnsi="Times New Roman" w:eastAsia="仿宋" w:cs="Times New Roman"/>
                      <w:color w:val="auto"/>
                      <w:kern w:val="0"/>
                      <w:sz w:val="21"/>
                      <w:szCs w:val="21"/>
                      <w:lang w:val="en" w:eastAsia="zh-CN" w:bidi="ar"/>
                    </w:rPr>
                  </w:pPr>
                  <w:r>
                    <w:rPr>
                      <w:rFonts w:hint="default" w:ascii="Times New Roman" w:hAnsi="Times New Roman" w:eastAsia="仿宋" w:cs="Times New Roman"/>
                      <w:color w:val="auto"/>
                      <w:kern w:val="0"/>
                      <w:sz w:val="21"/>
                      <w:szCs w:val="21"/>
                      <w:lang w:val="en-US" w:eastAsia="zh-CN" w:bidi="ar"/>
                    </w:rPr>
                    <w:t>本项目按应收尽收原则，根据废气特点将炼胶+硫化废气</w:t>
                  </w:r>
                  <w:r>
                    <w:rPr>
                      <w:rFonts w:hint="eastAsia" w:eastAsia="仿宋" w:cs="Times New Roman"/>
                      <w:color w:val="auto"/>
                      <w:kern w:val="0"/>
                      <w:sz w:val="21"/>
                      <w:szCs w:val="21"/>
                      <w:lang w:val="en-US" w:eastAsia="zh-CN" w:bidi="ar"/>
                    </w:rPr>
                    <w:t>经密闭</w:t>
                  </w:r>
                  <w:r>
                    <w:rPr>
                      <w:rFonts w:hint="default" w:ascii="Times New Roman" w:hAnsi="Times New Roman" w:eastAsia="仿宋" w:cs="Times New Roman"/>
                      <w:color w:val="auto"/>
                      <w:kern w:val="0"/>
                      <w:sz w:val="21"/>
                      <w:szCs w:val="21"/>
                      <w:lang w:val="en-US" w:eastAsia="zh-CN" w:bidi="ar"/>
                    </w:rPr>
                    <w:t>收集，通过“</w:t>
                  </w:r>
                  <w:r>
                    <w:rPr>
                      <w:rFonts w:hint="eastAsia" w:ascii="Times New Roman" w:hAnsi="Times New Roman" w:eastAsia="仿宋" w:cs="Times New Roman"/>
                      <w:color w:val="auto"/>
                      <w:kern w:val="0"/>
                      <w:szCs w:val="21"/>
                      <w:lang w:val="en-US" w:eastAsia="zh-CN"/>
                    </w:rPr>
                    <w:t>脉冲除尘+</w:t>
                  </w:r>
                  <w:r>
                    <w:rPr>
                      <w:rFonts w:hint="default" w:ascii="Times New Roman" w:hAnsi="Times New Roman" w:eastAsia="仿宋" w:cs="Times New Roman"/>
                      <w:color w:val="auto"/>
                      <w:kern w:val="0"/>
                      <w:sz w:val="21"/>
                      <w:szCs w:val="21"/>
                      <w:lang w:val="en-US" w:eastAsia="zh-CN" w:bidi="ar"/>
                    </w:rPr>
                    <w:t>水喷淋+</w:t>
                  </w:r>
                  <w:r>
                    <w:rPr>
                      <w:rFonts w:hint="eastAsia" w:eastAsia="仿宋" w:cs="Times New Roman"/>
                      <w:color w:val="auto"/>
                      <w:kern w:val="0"/>
                      <w:sz w:val="21"/>
                      <w:szCs w:val="21"/>
                      <w:lang w:val="en-US" w:eastAsia="zh-CN" w:bidi="ar"/>
                    </w:rPr>
                    <w:t>除雾+</w:t>
                  </w:r>
                  <w:r>
                    <w:rPr>
                      <w:rFonts w:hint="default" w:ascii="Times New Roman" w:hAnsi="Times New Roman" w:eastAsia="仿宋" w:cs="Times New Roman"/>
                      <w:color w:val="auto"/>
                      <w:kern w:val="0"/>
                      <w:sz w:val="21"/>
                      <w:szCs w:val="21"/>
                      <w:lang w:val="en-US" w:eastAsia="zh-CN" w:bidi="ar"/>
                    </w:rPr>
                    <w:t>两级活性炭吸附”装置进行处理</w:t>
                  </w:r>
                </w:p>
              </w:tc>
              <w:tc>
                <w:tcPr>
                  <w:tcW w:w="522" w:type="pct"/>
                  <w:tcBorders>
                    <w:top w:val="single" w:color="auto" w:sz="4" w:space="0"/>
                    <w:left w:val="single" w:color="auto" w:sz="4" w:space="0"/>
                    <w:bottom w:val="single" w:color="auto" w:sz="4" w:space="0"/>
                    <w:right w:val="nil"/>
                    <w:tl2br w:val="nil"/>
                    <w:tr2bl w:val="nil"/>
                  </w:tcBorders>
                  <w:noWrap w:val="0"/>
                  <w:vAlign w:val="center"/>
                </w:tcPr>
                <w:p w14:paraId="79B9C0C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是</w:t>
                  </w:r>
                </w:p>
              </w:tc>
            </w:tr>
            <w:tr w14:paraId="51E30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7" w:type="pct"/>
                  <w:tcBorders>
                    <w:top w:val="single" w:color="auto" w:sz="4" w:space="0"/>
                    <w:left w:val="nil"/>
                    <w:bottom w:val="single" w:color="auto" w:sz="4" w:space="0"/>
                    <w:right w:val="single" w:color="auto" w:sz="4" w:space="0"/>
                    <w:tl2br w:val="nil"/>
                    <w:tr2bl w:val="nil"/>
                  </w:tcBorders>
                  <w:noWrap w:val="0"/>
                  <w:vAlign w:val="center"/>
                </w:tcPr>
                <w:p w14:paraId="2E9C495F">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w:t>
                  </w:r>
                </w:p>
              </w:tc>
              <w:tc>
                <w:tcPr>
                  <w:tcW w:w="22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5B1F5E">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0"/>
                      <w:sz w:val="21"/>
                      <w:szCs w:val="21"/>
                      <w:highlight w:val="none"/>
                      <w:lang w:val="en"/>
                    </w:rPr>
                  </w:pPr>
                  <w:r>
                    <w:rPr>
                      <w:rFonts w:hint="default" w:ascii="Times New Roman" w:hAnsi="Times New Roman" w:eastAsia="仿宋" w:cs="Times New Roman"/>
                      <w:color w:val="auto"/>
                      <w:kern w:val="0"/>
                      <w:sz w:val="21"/>
                      <w:szCs w:val="21"/>
                      <w:highlight w:val="none"/>
                      <w:lang w:val="en"/>
                    </w:rPr>
                    <w:t>排放风机宜安装在吸附装置后端，使装置形成负压，尽量保证无污染气体泄漏到设备箱罐体体外应在活性炭吸附装置进气和出气管道上设置采样口，采样口设置应符合《环境保护产品技术要求工业废气吸附净化装置HJ</w:t>
                  </w:r>
                  <w:r>
                    <w:rPr>
                      <w:rFonts w:hint="eastAsia" w:eastAsia="仿宋" w:cs="Times New Roman"/>
                      <w:color w:val="auto"/>
                      <w:kern w:val="0"/>
                      <w:sz w:val="21"/>
                      <w:szCs w:val="21"/>
                      <w:highlight w:val="none"/>
                      <w:lang w:val="en-US" w:eastAsia="zh-CN"/>
                    </w:rPr>
                    <w:t>/</w:t>
                  </w:r>
                  <w:r>
                    <w:rPr>
                      <w:rFonts w:hint="default" w:ascii="Times New Roman" w:hAnsi="Times New Roman" w:eastAsia="仿宋" w:cs="Times New Roman"/>
                      <w:color w:val="auto"/>
                      <w:kern w:val="0"/>
                      <w:sz w:val="21"/>
                      <w:szCs w:val="21"/>
                      <w:highlight w:val="none"/>
                      <w:lang w:val="en"/>
                    </w:rPr>
                    <w:t>T 386</w:t>
                  </w:r>
                  <w:r>
                    <w:rPr>
                      <w:rFonts w:hint="eastAsia" w:eastAsia="仿宋" w:cs="Times New Roman"/>
                      <w:color w:val="auto"/>
                      <w:kern w:val="0"/>
                      <w:sz w:val="21"/>
                      <w:szCs w:val="21"/>
                      <w:highlight w:val="none"/>
                      <w:lang w:val="en-US" w:eastAsia="zh-CN"/>
                    </w:rPr>
                    <w:t>-</w:t>
                  </w:r>
                  <w:r>
                    <w:rPr>
                      <w:rFonts w:hint="default" w:ascii="Times New Roman" w:hAnsi="Times New Roman" w:eastAsia="仿宋" w:cs="Times New Roman"/>
                      <w:color w:val="auto"/>
                      <w:kern w:val="0"/>
                      <w:sz w:val="21"/>
                      <w:szCs w:val="21"/>
                      <w:highlight w:val="none"/>
                      <w:lang w:val="en"/>
                    </w:rPr>
                    <w:t>2007》的要求，便于日常监测活性炭吸附效率。根据活性炭更换周期及时更换活性炭，更换下来的活性炭按危险废物处理。采用活性炭吸附装置的企业应配备VOCs快速监测设备</w:t>
                  </w:r>
                </w:p>
              </w:tc>
              <w:tc>
                <w:tcPr>
                  <w:tcW w:w="18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B47F44">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kern w:val="0"/>
                      <w:sz w:val="21"/>
                      <w:szCs w:val="21"/>
                      <w:highlight w:val="none"/>
                      <w:lang w:val="en" w:eastAsia="zh-CN"/>
                    </w:rPr>
                    <w:t>本项目</w:t>
                  </w:r>
                  <w:r>
                    <w:rPr>
                      <w:rFonts w:hint="default" w:ascii="Times New Roman" w:hAnsi="Times New Roman" w:eastAsia="仿宋" w:cs="Times New Roman"/>
                      <w:color w:val="auto"/>
                      <w:kern w:val="0"/>
                      <w:sz w:val="21"/>
                      <w:szCs w:val="21"/>
                      <w:highlight w:val="none"/>
                      <w:lang w:val="en"/>
                    </w:rPr>
                    <w:t>风机安装在吸附装置后端</w:t>
                  </w:r>
                  <w:r>
                    <w:rPr>
                      <w:rFonts w:hint="default" w:ascii="Times New Roman" w:hAnsi="Times New Roman" w:eastAsia="仿宋" w:cs="Times New Roman"/>
                      <w:color w:val="auto"/>
                      <w:kern w:val="0"/>
                      <w:sz w:val="21"/>
                      <w:szCs w:val="21"/>
                      <w:highlight w:val="none"/>
                      <w:lang w:val="en" w:eastAsia="zh-CN"/>
                    </w:rPr>
                    <w:t>，</w:t>
                  </w:r>
                  <w:r>
                    <w:rPr>
                      <w:rFonts w:hint="default" w:ascii="Times New Roman" w:hAnsi="Times New Roman" w:eastAsia="仿宋" w:cs="Times New Roman"/>
                      <w:color w:val="auto"/>
                      <w:kern w:val="0"/>
                      <w:sz w:val="21"/>
                      <w:szCs w:val="21"/>
                      <w:highlight w:val="none"/>
                      <w:lang w:val="en"/>
                    </w:rPr>
                    <w:t>使装置形成负压，尽量保证无污染气体泄漏到设备箱罐体体外</w:t>
                  </w:r>
                  <w:r>
                    <w:rPr>
                      <w:rFonts w:hint="eastAsia" w:ascii="Times New Roman" w:hAnsi="Times New Roman" w:eastAsia="仿宋" w:cs="Times New Roman"/>
                      <w:color w:val="auto"/>
                      <w:kern w:val="0"/>
                      <w:sz w:val="21"/>
                      <w:szCs w:val="21"/>
                      <w:highlight w:val="none"/>
                      <w:lang w:val="en" w:eastAsia="zh-CN"/>
                    </w:rPr>
                    <w:t>；</w:t>
                  </w:r>
                  <w:r>
                    <w:rPr>
                      <w:rFonts w:hint="default" w:ascii="Times New Roman" w:hAnsi="Times New Roman" w:eastAsia="仿宋" w:cs="Times New Roman"/>
                      <w:color w:val="auto"/>
                      <w:kern w:val="0"/>
                      <w:sz w:val="21"/>
                      <w:szCs w:val="21"/>
                      <w:highlight w:val="none"/>
                      <w:lang w:val="en" w:eastAsia="zh-CN"/>
                    </w:rPr>
                    <w:t>项目建成后将在</w:t>
                  </w:r>
                  <w:r>
                    <w:rPr>
                      <w:rFonts w:hint="default" w:ascii="Times New Roman" w:hAnsi="Times New Roman" w:eastAsia="仿宋" w:cs="Times New Roman"/>
                      <w:color w:val="auto"/>
                      <w:kern w:val="0"/>
                      <w:sz w:val="21"/>
                      <w:szCs w:val="21"/>
                      <w:highlight w:val="none"/>
                      <w:lang w:val="en"/>
                    </w:rPr>
                    <w:t>活性炭吸附装置进气和出气管道上设置采样口</w:t>
                  </w:r>
                  <w:r>
                    <w:rPr>
                      <w:rFonts w:hint="default" w:ascii="Times New Roman" w:hAnsi="Times New Roman" w:eastAsia="仿宋" w:cs="Times New Roman"/>
                      <w:color w:val="auto"/>
                      <w:kern w:val="0"/>
                      <w:sz w:val="21"/>
                      <w:szCs w:val="21"/>
                      <w:highlight w:val="none"/>
                      <w:lang w:val="en" w:eastAsia="zh-CN"/>
                    </w:rPr>
                    <w:t>，定期更换</w:t>
                  </w:r>
                  <w:r>
                    <w:rPr>
                      <w:rFonts w:hint="eastAsia" w:eastAsia="仿宋" w:cs="Times New Roman"/>
                      <w:color w:val="auto"/>
                      <w:kern w:val="0"/>
                      <w:sz w:val="21"/>
                      <w:szCs w:val="21"/>
                      <w:highlight w:val="none"/>
                      <w:lang w:val="en-US" w:eastAsia="zh-CN"/>
                    </w:rPr>
                    <w:t>过滤材料、</w:t>
                  </w:r>
                  <w:r>
                    <w:rPr>
                      <w:rFonts w:hint="default" w:ascii="Times New Roman" w:hAnsi="Times New Roman" w:eastAsia="仿宋" w:cs="Times New Roman"/>
                      <w:color w:val="auto"/>
                      <w:kern w:val="0"/>
                      <w:sz w:val="21"/>
                      <w:szCs w:val="21"/>
                      <w:highlight w:val="none"/>
                      <w:lang w:val="en" w:eastAsia="zh-CN"/>
                    </w:rPr>
                    <w:t>活性炭</w:t>
                  </w:r>
                  <w:r>
                    <w:rPr>
                      <w:rFonts w:hint="eastAsia" w:eastAsia="仿宋" w:cs="Times New Roman"/>
                      <w:color w:val="auto"/>
                      <w:kern w:val="0"/>
                      <w:sz w:val="21"/>
                      <w:szCs w:val="21"/>
                      <w:highlight w:val="none"/>
                      <w:lang w:val="en" w:eastAsia="zh-CN"/>
                    </w:rPr>
                    <w:t>、</w:t>
                  </w:r>
                  <w:r>
                    <w:rPr>
                      <w:rFonts w:hint="eastAsia" w:eastAsia="仿宋" w:cs="Times New Roman"/>
                      <w:color w:val="auto"/>
                      <w:kern w:val="0"/>
                      <w:sz w:val="21"/>
                      <w:szCs w:val="21"/>
                      <w:highlight w:val="none"/>
                      <w:lang w:val="en-US" w:eastAsia="zh-CN"/>
                    </w:rPr>
                    <w:t>催化剂</w:t>
                  </w:r>
                  <w:r>
                    <w:rPr>
                      <w:rFonts w:hint="default" w:ascii="Times New Roman" w:hAnsi="Times New Roman" w:eastAsia="仿宋" w:cs="Times New Roman"/>
                      <w:color w:val="auto"/>
                      <w:kern w:val="0"/>
                      <w:sz w:val="21"/>
                      <w:szCs w:val="21"/>
                      <w:highlight w:val="none"/>
                      <w:lang w:val="en" w:eastAsia="zh-CN"/>
                    </w:rPr>
                    <w:t>作为危险废物</w:t>
                  </w:r>
                  <w:r>
                    <w:rPr>
                      <w:rFonts w:hint="eastAsia" w:eastAsia="仿宋" w:cs="Times New Roman"/>
                      <w:color w:val="auto"/>
                      <w:kern w:val="0"/>
                      <w:sz w:val="21"/>
                      <w:szCs w:val="21"/>
                      <w:highlight w:val="none"/>
                      <w:lang w:val="en-US" w:eastAsia="zh-CN"/>
                    </w:rPr>
                    <w:t>委托有资质单位</w:t>
                  </w:r>
                  <w:r>
                    <w:rPr>
                      <w:rFonts w:hint="default" w:ascii="Times New Roman" w:hAnsi="Times New Roman" w:eastAsia="仿宋" w:cs="Times New Roman"/>
                      <w:color w:val="auto"/>
                      <w:kern w:val="0"/>
                      <w:sz w:val="21"/>
                      <w:szCs w:val="21"/>
                      <w:highlight w:val="none"/>
                      <w:lang w:val="en" w:eastAsia="zh-CN"/>
                    </w:rPr>
                    <w:t>处置</w:t>
                  </w:r>
                </w:p>
              </w:tc>
              <w:tc>
                <w:tcPr>
                  <w:tcW w:w="522" w:type="pct"/>
                  <w:tcBorders>
                    <w:top w:val="single" w:color="auto" w:sz="4" w:space="0"/>
                    <w:left w:val="single" w:color="auto" w:sz="4" w:space="0"/>
                    <w:bottom w:val="single" w:color="auto" w:sz="4" w:space="0"/>
                    <w:right w:val="nil"/>
                    <w:tl2br w:val="nil"/>
                    <w:tr2bl w:val="nil"/>
                  </w:tcBorders>
                  <w:noWrap w:val="0"/>
                  <w:vAlign w:val="center"/>
                </w:tcPr>
                <w:p w14:paraId="2D14078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是</w:t>
                  </w:r>
                </w:p>
              </w:tc>
            </w:tr>
            <w:tr w14:paraId="3E626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7" w:type="pct"/>
                  <w:tcBorders>
                    <w:top w:val="single" w:color="auto" w:sz="4" w:space="0"/>
                    <w:left w:val="nil"/>
                    <w:bottom w:val="single" w:color="auto" w:sz="4" w:space="0"/>
                    <w:right w:val="single" w:color="auto" w:sz="4" w:space="0"/>
                    <w:tl2br w:val="nil"/>
                    <w:tr2bl w:val="nil"/>
                  </w:tcBorders>
                  <w:noWrap w:val="0"/>
                  <w:vAlign w:val="center"/>
                </w:tcPr>
                <w:p w14:paraId="10A0FBD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22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C4FFFF">
                  <w:pPr>
                    <w:keepNext w:val="0"/>
                    <w:keepLines w:val="0"/>
                    <w:suppressLineNumbers w:val="0"/>
                    <w:spacing w:before="0" w:beforeAutospacing="0" w:after="0" w:afterAutospacing="0"/>
                    <w:ind w:left="0" w:right="0"/>
                    <w:jc w:val="both"/>
                    <w:rPr>
                      <w:rFonts w:hint="eastAsia" w:ascii="Times New Roman" w:hAnsi="Times New Roman" w:eastAsia="仿宋" w:cs="Times New Roman"/>
                      <w:color w:val="auto"/>
                      <w:kern w:val="0"/>
                      <w:sz w:val="21"/>
                      <w:szCs w:val="21"/>
                      <w:highlight w:val="none"/>
                      <w:lang w:val="en" w:eastAsia="zh-CN"/>
                    </w:rPr>
                  </w:pPr>
                  <w:r>
                    <w:rPr>
                      <w:rFonts w:hint="default" w:ascii="Times New Roman" w:hAnsi="Times New Roman" w:eastAsia="仿宋" w:cs="Times New Roman"/>
                      <w:color w:val="auto"/>
                      <w:kern w:val="0"/>
                      <w:sz w:val="21"/>
                      <w:szCs w:val="21"/>
                      <w:highlight w:val="none"/>
                      <w:lang w:val="en"/>
                    </w:rPr>
                    <w:t>吸附装置吸附层的气体流速应根据吸附剂的形态确定。采用颗粒活性炭时，气体流速宜低于0.60m/s，装填厚度不得低于0.4m。活性炭应装填齐整，避免气流短路；采用活性炭纤维时，气体流速宜低于0.15m/s；采用蜂窝活性炭时，气体流速宜低于1.20m/s</w:t>
                  </w:r>
                  <w:r>
                    <w:rPr>
                      <w:rFonts w:hint="eastAsia" w:ascii="Times New Roman" w:hAnsi="Times New Roman" w:eastAsia="仿宋" w:cs="Times New Roman"/>
                      <w:color w:val="auto"/>
                      <w:kern w:val="0"/>
                      <w:sz w:val="21"/>
                      <w:szCs w:val="21"/>
                      <w:highlight w:val="none"/>
                      <w:lang w:val="en" w:eastAsia="zh-CN"/>
                    </w:rPr>
                    <w:t>。</w:t>
                  </w:r>
                </w:p>
                <w:p w14:paraId="42955996">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0"/>
                      <w:sz w:val="21"/>
                      <w:szCs w:val="21"/>
                      <w:highlight w:val="none"/>
                      <w:lang w:val="en"/>
                    </w:rPr>
                  </w:pPr>
                  <w:r>
                    <w:rPr>
                      <w:rFonts w:hint="default" w:ascii="Times New Roman" w:hAnsi="Times New Roman" w:eastAsia="仿宋" w:cs="Times New Roman"/>
                      <w:color w:val="auto"/>
                      <w:kern w:val="0"/>
                      <w:sz w:val="21"/>
                      <w:szCs w:val="21"/>
                      <w:highlight w:val="none"/>
                      <w:lang w:val="en"/>
                    </w:rPr>
                    <w:t>进入吸附设备的废气颗粒物含量和温度应分别低于1mg/m</w:t>
                  </w:r>
                  <w:r>
                    <w:rPr>
                      <w:rFonts w:hint="default" w:ascii="Times New Roman" w:hAnsi="Times New Roman" w:eastAsia="仿宋" w:cs="Times New Roman"/>
                      <w:color w:val="auto"/>
                      <w:kern w:val="0"/>
                      <w:sz w:val="21"/>
                      <w:szCs w:val="21"/>
                      <w:highlight w:val="none"/>
                      <w:vertAlign w:val="superscript"/>
                      <w:lang w:val="en-US" w:eastAsia="zh-CN"/>
                    </w:rPr>
                    <w:t>3</w:t>
                  </w:r>
                  <w:r>
                    <w:rPr>
                      <w:rFonts w:hint="default" w:ascii="Times New Roman" w:hAnsi="Times New Roman" w:eastAsia="仿宋" w:cs="Times New Roman"/>
                      <w:color w:val="auto"/>
                      <w:kern w:val="0"/>
                      <w:sz w:val="21"/>
                      <w:szCs w:val="21"/>
                      <w:highlight w:val="none"/>
                      <w:lang w:val="en"/>
                    </w:rPr>
                    <w:t>和40</w:t>
                  </w:r>
                  <w:r>
                    <w:rPr>
                      <w:rFonts w:hint="default" w:ascii="Times New Roman" w:hAnsi="Times New Roman" w:eastAsia="仿宋" w:cs="Times New Roman"/>
                      <w:color w:val="auto"/>
                      <w:kern w:val="0"/>
                      <w:sz w:val="21"/>
                      <w:szCs w:val="21"/>
                      <w:highlight w:val="none"/>
                      <w:lang w:val="en" w:eastAsia="zh-CN"/>
                    </w:rPr>
                    <w:t>℃</w:t>
                  </w:r>
                  <w:r>
                    <w:rPr>
                      <w:rFonts w:hint="default" w:ascii="Times New Roman" w:hAnsi="Times New Roman" w:eastAsia="仿宋" w:cs="Times New Roman"/>
                      <w:color w:val="auto"/>
                      <w:kern w:val="0"/>
                      <w:sz w:val="21"/>
                      <w:szCs w:val="21"/>
                      <w:highlight w:val="none"/>
                      <w:lang w:val="en"/>
                    </w:rPr>
                    <w:t>，若颗粒物含量超过1mg/m</w:t>
                  </w:r>
                  <w:r>
                    <w:rPr>
                      <w:rFonts w:hint="default" w:ascii="Times New Roman" w:hAnsi="Times New Roman" w:eastAsia="仿宋" w:cs="Times New Roman"/>
                      <w:color w:val="auto"/>
                      <w:kern w:val="0"/>
                      <w:sz w:val="21"/>
                      <w:szCs w:val="21"/>
                      <w:highlight w:val="none"/>
                      <w:vertAlign w:val="superscript"/>
                      <w:lang w:val="en-US" w:eastAsia="zh-CN"/>
                    </w:rPr>
                    <w:t>3</w:t>
                  </w:r>
                  <w:r>
                    <w:rPr>
                      <w:rFonts w:hint="default" w:ascii="Times New Roman" w:hAnsi="Times New Roman" w:eastAsia="仿宋" w:cs="Times New Roman"/>
                      <w:color w:val="auto"/>
                      <w:kern w:val="0"/>
                      <w:sz w:val="21"/>
                      <w:szCs w:val="21"/>
                      <w:highlight w:val="none"/>
                      <w:lang w:val="en"/>
                    </w:rPr>
                    <w:t>时，应先采用过滤或洗涤等方式进行预处理</w:t>
                  </w:r>
                </w:p>
              </w:tc>
              <w:tc>
                <w:tcPr>
                  <w:tcW w:w="18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DE2E6D">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eastAsia="zh-CN"/>
                    </w:rPr>
                    <w:t>本项目</w:t>
                  </w:r>
                  <w:r>
                    <w:rPr>
                      <w:rFonts w:hint="eastAsia" w:ascii="Times New Roman" w:hAnsi="Times New Roman" w:eastAsia="仿宋" w:cs="Times New Roman"/>
                      <w:color w:val="auto"/>
                      <w:szCs w:val="21"/>
                      <w:lang w:val="en-US" w:eastAsia="zh-CN"/>
                    </w:rPr>
                    <w:t>“</w:t>
                  </w:r>
                  <w:r>
                    <w:rPr>
                      <w:rFonts w:hint="eastAsia" w:eastAsia="仿宋" w:cs="Times New Roman"/>
                      <w:color w:val="auto"/>
                      <w:szCs w:val="21"/>
                      <w:lang w:val="en-US" w:eastAsia="zh-CN"/>
                    </w:rPr>
                    <w:t>两级活性炭吸附</w:t>
                  </w:r>
                  <w:r>
                    <w:rPr>
                      <w:rFonts w:hint="eastAsia" w:ascii="Times New Roman" w:hAnsi="Times New Roman" w:eastAsia="仿宋" w:cs="Times New Roman"/>
                      <w:color w:val="auto"/>
                      <w:szCs w:val="21"/>
                      <w:lang w:val="en-US" w:eastAsia="zh-CN"/>
                    </w:rPr>
                    <w:t>”装置</w:t>
                  </w:r>
                  <w:r>
                    <w:rPr>
                      <w:rFonts w:hint="default" w:ascii="Times New Roman" w:hAnsi="Times New Roman" w:eastAsia="仿宋" w:cs="Times New Roman"/>
                      <w:color w:val="auto"/>
                      <w:sz w:val="21"/>
                      <w:szCs w:val="21"/>
                      <w:highlight w:val="none"/>
                      <w:lang w:eastAsia="zh-CN"/>
                    </w:rPr>
                    <w:t>采用</w:t>
                  </w:r>
                  <w:r>
                    <w:rPr>
                      <w:rFonts w:hint="eastAsia" w:eastAsia="仿宋" w:cs="Times New Roman"/>
                      <w:color w:val="auto"/>
                      <w:sz w:val="21"/>
                      <w:szCs w:val="21"/>
                      <w:highlight w:val="none"/>
                      <w:lang w:val="en-US" w:eastAsia="zh-CN"/>
                    </w:rPr>
                    <w:t>颗粒</w:t>
                  </w:r>
                  <w:r>
                    <w:rPr>
                      <w:rFonts w:hint="default" w:ascii="Times New Roman" w:hAnsi="Times New Roman" w:eastAsia="仿宋" w:cs="Times New Roman"/>
                      <w:color w:val="auto"/>
                      <w:kern w:val="0"/>
                      <w:sz w:val="21"/>
                      <w:szCs w:val="21"/>
                      <w:highlight w:val="none"/>
                      <w:lang w:val="en"/>
                    </w:rPr>
                    <w:t>活性炭</w:t>
                  </w:r>
                  <w:r>
                    <w:rPr>
                      <w:rFonts w:hint="default" w:ascii="Times New Roman" w:hAnsi="Times New Roman" w:eastAsia="仿宋" w:cs="Times New Roman"/>
                      <w:color w:val="auto"/>
                      <w:kern w:val="0"/>
                      <w:sz w:val="21"/>
                      <w:szCs w:val="21"/>
                      <w:highlight w:val="none"/>
                      <w:lang w:val="en" w:eastAsia="zh-CN"/>
                    </w:rPr>
                    <w:t>的活性炭装置</w:t>
                  </w:r>
                  <w:r>
                    <w:rPr>
                      <w:rFonts w:hint="eastAsia" w:ascii="Times New Roman" w:hAnsi="Times New Roman" w:eastAsia="仿宋" w:cs="Times New Roman"/>
                      <w:color w:val="auto"/>
                      <w:kern w:val="0"/>
                      <w:sz w:val="21"/>
                      <w:szCs w:val="21"/>
                      <w:highlight w:val="none"/>
                      <w:lang w:val="en" w:eastAsia="zh-CN"/>
                    </w:rPr>
                    <w:t>，</w:t>
                  </w:r>
                  <w:r>
                    <w:rPr>
                      <w:rFonts w:hint="default" w:ascii="Times New Roman" w:hAnsi="Times New Roman" w:eastAsia="仿宋" w:cs="Times New Roman"/>
                      <w:color w:val="auto"/>
                      <w:kern w:val="0"/>
                      <w:sz w:val="21"/>
                      <w:szCs w:val="21"/>
                      <w:highlight w:val="none"/>
                      <w:lang w:val="en" w:eastAsia="zh-CN"/>
                    </w:rPr>
                    <w:t>设计</w:t>
                  </w:r>
                  <w:r>
                    <w:rPr>
                      <w:rFonts w:hint="default" w:ascii="Times New Roman" w:hAnsi="Times New Roman" w:eastAsia="仿宋" w:cs="Times New Roman"/>
                      <w:color w:val="auto"/>
                      <w:kern w:val="0"/>
                      <w:sz w:val="21"/>
                      <w:szCs w:val="21"/>
                      <w:highlight w:val="none"/>
                      <w:lang w:val="en"/>
                    </w:rPr>
                    <w:t>气体流速低于</w:t>
                  </w:r>
                  <w:r>
                    <w:rPr>
                      <w:rFonts w:hint="eastAsia" w:eastAsia="仿宋" w:cs="Times New Roman"/>
                      <w:color w:val="auto"/>
                      <w:kern w:val="0"/>
                      <w:sz w:val="21"/>
                      <w:szCs w:val="21"/>
                      <w:highlight w:val="none"/>
                      <w:lang w:val="en-US" w:eastAsia="zh-CN"/>
                    </w:rPr>
                    <w:t>0.60</w:t>
                  </w:r>
                  <w:r>
                    <w:rPr>
                      <w:rFonts w:hint="default" w:ascii="Times New Roman" w:hAnsi="Times New Roman" w:eastAsia="仿宋" w:cs="Times New Roman"/>
                      <w:color w:val="auto"/>
                      <w:kern w:val="0"/>
                      <w:sz w:val="21"/>
                      <w:szCs w:val="21"/>
                      <w:highlight w:val="none"/>
                      <w:lang w:val="en"/>
                    </w:rPr>
                    <w:t>m/</w:t>
                  </w:r>
                  <w:r>
                    <w:rPr>
                      <w:rFonts w:hint="default" w:ascii="Times New Roman" w:hAnsi="Times New Roman" w:eastAsia="仿宋" w:cs="Times New Roman"/>
                      <w:color w:val="auto"/>
                      <w:kern w:val="0"/>
                      <w:sz w:val="21"/>
                      <w:szCs w:val="21"/>
                      <w:highlight w:val="none"/>
                      <w:u w:val="none"/>
                      <w:lang w:val="en"/>
                    </w:rPr>
                    <w:t>s</w:t>
                  </w:r>
                </w:p>
              </w:tc>
              <w:tc>
                <w:tcPr>
                  <w:tcW w:w="522" w:type="pct"/>
                  <w:tcBorders>
                    <w:top w:val="single" w:color="auto" w:sz="4" w:space="0"/>
                    <w:left w:val="single" w:color="auto" w:sz="4" w:space="0"/>
                    <w:bottom w:val="single" w:color="auto" w:sz="4" w:space="0"/>
                    <w:right w:val="nil"/>
                    <w:tl2br w:val="nil"/>
                    <w:tr2bl w:val="nil"/>
                  </w:tcBorders>
                  <w:noWrap w:val="0"/>
                  <w:vAlign w:val="center"/>
                </w:tcPr>
                <w:p w14:paraId="6CBC1E7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是</w:t>
                  </w:r>
                </w:p>
              </w:tc>
            </w:tr>
            <w:tr w14:paraId="72DE8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7" w:type="pct"/>
                  <w:tcBorders>
                    <w:top w:val="single" w:color="auto" w:sz="4" w:space="0"/>
                    <w:left w:val="nil"/>
                    <w:bottom w:val="single" w:color="auto" w:sz="4" w:space="0"/>
                    <w:right w:val="single" w:color="auto" w:sz="4" w:space="0"/>
                    <w:tl2br w:val="nil"/>
                    <w:tr2bl w:val="nil"/>
                  </w:tcBorders>
                  <w:noWrap w:val="0"/>
                  <w:vAlign w:val="center"/>
                </w:tcPr>
                <w:p w14:paraId="664DE6A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4</w:t>
                  </w:r>
                </w:p>
              </w:tc>
              <w:tc>
                <w:tcPr>
                  <w:tcW w:w="22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4C26D0">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0"/>
                      <w:sz w:val="21"/>
                      <w:szCs w:val="21"/>
                      <w:highlight w:val="none"/>
                      <w:lang w:val="en"/>
                    </w:rPr>
                  </w:pPr>
                  <w:r>
                    <w:rPr>
                      <w:rFonts w:hint="default" w:ascii="Times New Roman" w:hAnsi="Times New Roman" w:eastAsia="仿宋" w:cs="Times New Roman"/>
                      <w:color w:val="auto"/>
                      <w:kern w:val="0"/>
                      <w:sz w:val="21"/>
                      <w:szCs w:val="21"/>
                      <w:highlight w:val="none"/>
                      <w:lang w:val="en"/>
                    </w:rPr>
                    <w:t>颗粒活性炭碘吸附值≥800mg/g，比表面积≥850m</w:t>
                  </w:r>
                  <w:r>
                    <w:rPr>
                      <w:rFonts w:hint="default" w:ascii="Times New Roman" w:hAnsi="Times New Roman" w:eastAsia="仿宋" w:cs="Times New Roman"/>
                      <w:color w:val="auto"/>
                      <w:kern w:val="0"/>
                      <w:sz w:val="21"/>
                      <w:szCs w:val="21"/>
                      <w:highlight w:val="none"/>
                      <w:vertAlign w:val="superscript"/>
                      <w:lang w:val="en"/>
                    </w:rPr>
                    <w:t>2</w:t>
                  </w:r>
                  <w:r>
                    <w:rPr>
                      <w:rFonts w:hint="default" w:ascii="Times New Roman" w:hAnsi="Times New Roman" w:eastAsia="仿宋" w:cs="Times New Roman"/>
                      <w:color w:val="auto"/>
                      <w:kern w:val="0"/>
                      <w:sz w:val="21"/>
                      <w:szCs w:val="21"/>
                      <w:highlight w:val="none"/>
                      <w:lang w:val="en"/>
                    </w:rPr>
                    <w:t>/g；蜂窝活性炭横向抗压强度应不低于0.9MPa，纵向强度应不低于0.4MPa，碘吸附值≥650mg/g，比表面积≥750m</w:t>
                  </w:r>
                  <w:r>
                    <w:rPr>
                      <w:rFonts w:hint="default" w:ascii="Times New Roman" w:hAnsi="Times New Roman" w:eastAsia="仿宋" w:cs="Times New Roman"/>
                      <w:color w:val="auto"/>
                      <w:kern w:val="0"/>
                      <w:sz w:val="21"/>
                      <w:szCs w:val="21"/>
                      <w:highlight w:val="none"/>
                      <w:vertAlign w:val="superscript"/>
                      <w:lang w:val="en"/>
                    </w:rPr>
                    <w:t>2</w:t>
                  </w:r>
                  <w:r>
                    <w:rPr>
                      <w:rFonts w:hint="default" w:ascii="Times New Roman" w:hAnsi="Times New Roman" w:eastAsia="仿宋" w:cs="Times New Roman"/>
                      <w:color w:val="auto"/>
                      <w:kern w:val="0"/>
                      <w:sz w:val="21"/>
                      <w:szCs w:val="21"/>
                      <w:highlight w:val="none"/>
                      <w:lang w:val="en"/>
                    </w:rPr>
                    <w:t>/g</w:t>
                  </w:r>
                </w:p>
              </w:tc>
              <w:tc>
                <w:tcPr>
                  <w:tcW w:w="18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07E2E2">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严格遵照执行</w:t>
                  </w:r>
                </w:p>
              </w:tc>
              <w:tc>
                <w:tcPr>
                  <w:tcW w:w="522" w:type="pct"/>
                  <w:tcBorders>
                    <w:top w:val="single" w:color="auto" w:sz="4" w:space="0"/>
                    <w:left w:val="single" w:color="auto" w:sz="4" w:space="0"/>
                    <w:bottom w:val="single" w:color="auto" w:sz="4" w:space="0"/>
                    <w:right w:val="nil"/>
                    <w:tl2br w:val="nil"/>
                    <w:tr2bl w:val="nil"/>
                  </w:tcBorders>
                  <w:noWrap w:val="0"/>
                  <w:vAlign w:val="center"/>
                </w:tcPr>
                <w:p w14:paraId="7E190BA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是</w:t>
                  </w:r>
                </w:p>
              </w:tc>
            </w:tr>
            <w:tr w14:paraId="56091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7" w:type="pct"/>
                  <w:tcBorders>
                    <w:top w:val="single" w:color="auto" w:sz="4" w:space="0"/>
                    <w:left w:val="nil"/>
                    <w:bottom w:val="single" w:color="auto" w:sz="12" w:space="0"/>
                    <w:right w:val="single" w:color="auto" w:sz="4" w:space="0"/>
                    <w:tl2br w:val="nil"/>
                    <w:tr2bl w:val="nil"/>
                  </w:tcBorders>
                  <w:noWrap w:val="0"/>
                  <w:vAlign w:val="center"/>
                </w:tcPr>
                <w:p w14:paraId="2E0661C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2290"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6DD3B5A5">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0"/>
                      <w:sz w:val="21"/>
                      <w:szCs w:val="21"/>
                      <w:highlight w:val="none"/>
                      <w:lang w:val="en"/>
                    </w:rPr>
                  </w:pPr>
                  <w:r>
                    <w:rPr>
                      <w:rFonts w:hint="default" w:ascii="Times New Roman" w:hAnsi="Times New Roman" w:eastAsia="仿宋" w:cs="Times New Roman"/>
                      <w:color w:val="auto"/>
                      <w:kern w:val="0"/>
                      <w:sz w:val="21"/>
                      <w:szCs w:val="21"/>
                      <w:highlight w:val="none"/>
                      <w:lang w:val="en"/>
                    </w:rPr>
                    <w:t>采用一次性颗粒状活性炭处理VOCs废气，年活性炭使用量不应低于VOCs产生量的5倍，即1吨VOCs产生量，需5吨活性炭用于吸附。活性炭更换周期一般不应超过累计运行500小时或3个月，更换周期计算按《省生态环境厅关于将排污单位活性炭使用更换纳入排污许可管理的通知》有关要求执行</w:t>
                  </w:r>
                </w:p>
              </w:tc>
              <w:tc>
                <w:tcPr>
                  <w:tcW w:w="1888"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3054A5D4">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 w:eastAsia="zh-CN"/>
                    </w:rPr>
                    <w:t>本项目本项目活性炭</w:t>
                  </w:r>
                  <w:r>
                    <w:rPr>
                      <w:rFonts w:hint="default" w:ascii="Times New Roman" w:hAnsi="Times New Roman" w:eastAsia="仿宋" w:cs="Times New Roman"/>
                      <w:color w:val="auto"/>
                      <w:kern w:val="0"/>
                      <w:sz w:val="21"/>
                      <w:szCs w:val="21"/>
                      <w:highlight w:val="none"/>
                      <w:lang w:val="en"/>
                    </w:rPr>
                    <w:t>更换周期按《省生态环境厅关于将排污单位活性炭使用更换纳入排污许可管理的通知》计算</w:t>
                  </w:r>
                  <w:r>
                    <w:rPr>
                      <w:rFonts w:hint="eastAsia" w:ascii="Times New Roman" w:hAnsi="Times New Roman" w:eastAsia="仿宋" w:cs="Times New Roman"/>
                      <w:color w:val="auto"/>
                      <w:kern w:val="0"/>
                      <w:sz w:val="21"/>
                      <w:szCs w:val="21"/>
                      <w:highlight w:val="none"/>
                      <w:lang w:val="en-US" w:eastAsia="zh-CN"/>
                    </w:rPr>
                    <w:t>，</w:t>
                  </w:r>
                  <w:r>
                    <w:rPr>
                      <w:rFonts w:hint="eastAsia" w:ascii="Times New Roman" w:hAnsi="Times New Roman" w:eastAsia="仿宋" w:cs="Times New Roman"/>
                      <w:color w:val="auto"/>
                      <w:kern w:val="0"/>
                      <w:szCs w:val="21"/>
                      <w:lang w:val="en-US" w:eastAsia="zh-CN"/>
                    </w:rPr>
                    <w:t>每年更换</w:t>
                  </w:r>
                  <w:r>
                    <w:rPr>
                      <w:rFonts w:hint="eastAsia" w:eastAsia="仿宋" w:cs="Times New Roman"/>
                      <w:color w:val="auto"/>
                      <w:kern w:val="0"/>
                      <w:szCs w:val="21"/>
                      <w:lang w:val="en-US" w:eastAsia="zh-CN"/>
                    </w:rPr>
                    <w:t>4</w:t>
                  </w:r>
                  <w:r>
                    <w:rPr>
                      <w:rFonts w:hint="eastAsia" w:ascii="Times New Roman" w:hAnsi="Times New Roman" w:eastAsia="仿宋" w:cs="Times New Roman"/>
                      <w:color w:val="auto"/>
                      <w:kern w:val="0"/>
                      <w:szCs w:val="21"/>
                      <w:lang w:val="en-US" w:eastAsia="zh-CN"/>
                    </w:rPr>
                    <w:t>次</w:t>
                  </w:r>
                </w:p>
              </w:tc>
              <w:tc>
                <w:tcPr>
                  <w:tcW w:w="522" w:type="pct"/>
                  <w:tcBorders>
                    <w:top w:val="single" w:color="auto" w:sz="4" w:space="0"/>
                    <w:left w:val="single" w:color="auto" w:sz="4" w:space="0"/>
                    <w:bottom w:val="single" w:color="auto" w:sz="12" w:space="0"/>
                    <w:right w:val="nil"/>
                    <w:tl2br w:val="nil"/>
                    <w:tr2bl w:val="nil"/>
                  </w:tcBorders>
                  <w:noWrap w:val="0"/>
                  <w:vAlign w:val="center"/>
                </w:tcPr>
                <w:p w14:paraId="3D4452A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是</w:t>
                  </w:r>
                </w:p>
              </w:tc>
            </w:tr>
          </w:tbl>
          <w:p w14:paraId="2B0D1D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⑬</w:t>
            </w:r>
            <w:r>
              <w:rPr>
                <w:rFonts w:hint="default" w:ascii="Times New Roman" w:hAnsi="Times New Roman" w:eastAsia="宋体" w:cs="Times New Roman"/>
                <w:b/>
                <w:bCs/>
                <w:color w:val="auto"/>
                <w:highlight w:val="none"/>
                <w:lang w:val="en-US" w:eastAsia="zh-CN"/>
              </w:rPr>
              <w:t>与《生态环境部关于加快解决当前挥发性有机物治理突出问题的通知》（环大气〔2021〕65号）的相符性分析</w:t>
            </w:r>
          </w:p>
          <w:p w14:paraId="02C4AAAB">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根据《生态环境部关于加快解决当前挥发性有机物治理突出问题的通知》（环大气〔2021〕65号），相关要求对照分析</w:t>
            </w:r>
            <w:r>
              <w:rPr>
                <w:rFonts w:hint="eastAsia" w:ascii="Times New Roman" w:hAnsi="Times New Roman" w:eastAsia="宋体" w:cs="Times New Roman"/>
                <w:color w:val="auto"/>
                <w:sz w:val="21"/>
                <w:szCs w:val="21"/>
                <w:highlight w:val="none"/>
                <w:lang w:val="en-US" w:eastAsia="zh-CN"/>
              </w:rPr>
              <w:t>详</w:t>
            </w:r>
            <w:r>
              <w:rPr>
                <w:rFonts w:hint="default" w:ascii="Times New Roman" w:hAnsi="Times New Roman" w:eastAsia="宋体" w:cs="Times New Roman"/>
                <w:color w:val="auto"/>
                <w:sz w:val="21"/>
                <w:szCs w:val="21"/>
                <w:highlight w:val="none"/>
                <w:lang w:eastAsia="zh-CN"/>
              </w:rPr>
              <w:t>见</w:t>
            </w:r>
            <w:r>
              <w:rPr>
                <w:rFonts w:hint="eastAsia" w:ascii="Times New Roman" w:hAnsi="Times New Roman" w:eastAsia="宋体" w:cs="Times New Roman"/>
                <w:color w:val="auto"/>
                <w:sz w:val="21"/>
                <w:szCs w:val="21"/>
                <w:highlight w:val="none"/>
                <w:lang w:val="en-US" w:eastAsia="zh-CN"/>
              </w:rPr>
              <w:t>下表：</w:t>
            </w:r>
          </w:p>
          <w:p w14:paraId="3582C34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b/>
                <w:color w:val="auto"/>
                <w:kern w:val="0"/>
                <w:sz w:val="21"/>
                <w:szCs w:val="21"/>
              </w:rPr>
              <w:t>表1-</w:t>
            </w:r>
            <w:r>
              <w:rPr>
                <w:rFonts w:hint="eastAsia" w:cs="Times New Roman"/>
                <w:b/>
                <w:color w:val="auto"/>
                <w:kern w:val="0"/>
                <w:sz w:val="21"/>
                <w:szCs w:val="21"/>
                <w:lang w:val="en-US" w:eastAsia="zh-CN"/>
              </w:rPr>
              <w:t>15  《生态环境部关于加快解决当前挥发性有机物治理突出问题的通知》（环大气〔2021〕65号）</w:t>
            </w:r>
            <w:r>
              <w:rPr>
                <w:rFonts w:hint="default" w:ascii="Times New Roman" w:hAnsi="Times New Roman" w:eastAsia="宋体" w:cs="Times New Roman"/>
                <w:b/>
                <w:color w:val="auto"/>
                <w:kern w:val="0"/>
                <w:sz w:val="21"/>
                <w:szCs w:val="21"/>
              </w:rPr>
              <w:t>分析</w:t>
            </w:r>
            <w:r>
              <w:rPr>
                <w:rFonts w:hint="eastAsia" w:cs="Times New Roman"/>
                <w:b/>
                <w:color w:val="auto"/>
                <w:kern w:val="0"/>
                <w:sz w:val="21"/>
                <w:szCs w:val="21"/>
                <w:lang w:val="en-US" w:eastAsia="zh-CN"/>
              </w:rPr>
              <w:t>判定对照表</w:t>
            </w:r>
          </w:p>
          <w:tbl>
            <w:tblPr>
              <w:tblStyle w:val="28"/>
              <w:tblW w:w="8993"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45"/>
              <w:gridCol w:w="1007"/>
              <w:gridCol w:w="3229"/>
              <w:gridCol w:w="2453"/>
              <w:gridCol w:w="1559"/>
            </w:tblGrid>
            <w:tr w14:paraId="5CA5E1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45" w:type="dxa"/>
                  <w:tcBorders>
                    <w:tl2br w:val="nil"/>
                    <w:tr2bl w:val="nil"/>
                  </w:tcBorders>
                  <w:noWrap w:val="0"/>
                  <w:vAlign w:val="center"/>
                </w:tcPr>
                <w:p w14:paraId="294B9AE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序号</w:t>
                  </w:r>
                </w:p>
              </w:tc>
              <w:tc>
                <w:tcPr>
                  <w:tcW w:w="4236" w:type="dxa"/>
                  <w:gridSpan w:val="2"/>
                  <w:tcBorders>
                    <w:tl2br w:val="nil"/>
                    <w:tr2bl w:val="nil"/>
                  </w:tcBorders>
                  <w:noWrap w:val="0"/>
                  <w:vAlign w:val="center"/>
                </w:tcPr>
                <w:p w14:paraId="760209FC">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相关要求</w:t>
                  </w:r>
                </w:p>
              </w:tc>
              <w:tc>
                <w:tcPr>
                  <w:tcW w:w="2453" w:type="dxa"/>
                  <w:tcBorders>
                    <w:tl2br w:val="nil"/>
                    <w:tr2bl w:val="nil"/>
                  </w:tcBorders>
                  <w:noWrap w:val="0"/>
                  <w:vAlign w:val="center"/>
                </w:tcPr>
                <w:p w14:paraId="2BCF0FD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对照分析</w:t>
                  </w:r>
                </w:p>
              </w:tc>
              <w:tc>
                <w:tcPr>
                  <w:tcW w:w="1559" w:type="dxa"/>
                  <w:tcBorders>
                    <w:tl2br w:val="nil"/>
                    <w:tr2bl w:val="nil"/>
                  </w:tcBorders>
                  <w:noWrap w:val="0"/>
                  <w:vAlign w:val="center"/>
                </w:tcPr>
                <w:p w14:paraId="4A20CEC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是否满足要求</w:t>
                  </w:r>
                </w:p>
              </w:tc>
            </w:tr>
            <w:tr w14:paraId="48C8A5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45" w:type="dxa"/>
                  <w:tcBorders>
                    <w:tl2br w:val="nil"/>
                    <w:tr2bl w:val="nil"/>
                  </w:tcBorders>
                  <w:noWrap w:val="0"/>
                  <w:vAlign w:val="center"/>
                </w:tcPr>
                <w:p w14:paraId="6663F85E">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007" w:type="dxa"/>
                  <w:tcBorders>
                    <w:tl2br w:val="nil"/>
                    <w:tr2bl w:val="nil"/>
                  </w:tcBorders>
                  <w:noWrap w:val="0"/>
                  <w:vAlign w:val="center"/>
                </w:tcPr>
                <w:p w14:paraId="7532D69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rPr>
                    <w:t>废气收集设施</w:t>
                  </w:r>
                </w:p>
              </w:tc>
              <w:tc>
                <w:tcPr>
                  <w:tcW w:w="3229" w:type="dxa"/>
                  <w:tcBorders>
                    <w:tl2br w:val="nil"/>
                    <w:tr2bl w:val="nil"/>
                  </w:tcBorders>
                  <w:noWrap w:val="0"/>
                  <w:vAlign w:val="center"/>
                </w:tcPr>
                <w:p w14:paraId="1F240614">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2"/>
                      <w:sz w:val="21"/>
                      <w:szCs w:val="21"/>
                      <w:lang w:val="en-US" w:eastAsia="zh-CN" w:bidi="ar-SA"/>
                    </w:rPr>
                    <w:t>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无组织排放位置控制风速不低于0.3m/s；推广以生产线或设备为单位设置隔间，收集风量应确保隔间保持微负压。</w:t>
                  </w:r>
                </w:p>
              </w:tc>
              <w:tc>
                <w:tcPr>
                  <w:tcW w:w="2453" w:type="dxa"/>
                  <w:tcBorders>
                    <w:tl2br w:val="nil"/>
                    <w:tr2bl w:val="nil"/>
                  </w:tcBorders>
                  <w:noWrap w:val="0"/>
                  <w:vAlign w:val="center"/>
                </w:tcPr>
                <w:p w14:paraId="5212545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0"/>
                      <w:sz w:val="21"/>
                      <w:szCs w:val="21"/>
                      <w:lang w:val="en-US" w:eastAsia="zh-CN" w:bidi="ar"/>
                    </w:rPr>
                    <w:t>本项目按应收尽收原则，根据废气特点将炼胶废气</w:t>
                  </w:r>
                  <w:r>
                    <w:rPr>
                      <w:rFonts w:hint="eastAsia" w:eastAsia="仿宋" w:cs="Times New Roman"/>
                      <w:color w:val="auto"/>
                      <w:kern w:val="0"/>
                      <w:sz w:val="21"/>
                      <w:szCs w:val="21"/>
                      <w:lang w:val="en-US" w:eastAsia="zh-CN" w:bidi="ar"/>
                    </w:rPr>
                    <w:t>密闭</w:t>
                  </w:r>
                  <w:r>
                    <w:rPr>
                      <w:rFonts w:hint="default" w:ascii="Times New Roman" w:hAnsi="Times New Roman" w:eastAsia="仿宋" w:cs="Times New Roman"/>
                      <w:color w:val="auto"/>
                      <w:kern w:val="0"/>
                      <w:sz w:val="21"/>
                      <w:szCs w:val="21"/>
                      <w:lang w:val="en-US" w:eastAsia="zh-CN" w:bidi="ar"/>
                    </w:rPr>
                    <w:t>收集，通过“</w:t>
                  </w:r>
                  <w:r>
                    <w:rPr>
                      <w:rFonts w:hint="eastAsia" w:ascii="Times New Roman" w:hAnsi="Times New Roman" w:eastAsia="仿宋" w:cs="Times New Roman"/>
                      <w:color w:val="auto"/>
                      <w:kern w:val="0"/>
                      <w:szCs w:val="21"/>
                      <w:lang w:val="en-US" w:eastAsia="zh-CN"/>
                    </w:rPr>
                    <w:t>脉冲除尘+</w:t>
                  </w:r>
                  <w:r>
                    <w:rPr>
                      <w:rFonts w:hint="default" w:ascii="Times New Roman" w:hAnsi="Times New Roman" w:eastAsia="仿宋" w:cs="Times New Roman"/>
                      <w:color w:val="auto"/>
                      <w:kern w:val="0"/>
                      <w:sz w:val="21"/>
                      <w:szCs w:val="21"/>
                      <w:lang w:val="en-US" w:eastAsia="zh-CN" w:bidi="ar"/>
                    </w:rPr>
                    <w:t>水喷淋+</w:t>
                  </w:r>
                  <w:r>
                    <w:rPr>
                      <w:rFonts w:hint="eastAsia" w:eastAsia="仿宋" w:cs="Times New Roman"/>
                      <w:color w:val="auto"/>
                      <w:kern w:val="0"/>
                      <w:sz w:val="21"/>
                      <w:szCs w:val="21"/>
                      <w:lang w:val="en-US" w:eastAsia="zh-CN" w:bidi="ar"/>
                    </w:rPr>
                    <w:t>除雾+</w:t>
                  </w:r>
                  <w:r>
                    <w:rPr>
                      <w:rFonts w:hint="default" w:ascii="Times New Roman" w:hAnsi="Times New Roman" w:eastAsia="仿宋" w:cs="Times New Roman"/>
                      <w:color w:val="auto"/>
                      <w:kern w:val="0"/>
                      <w:sz w:val="21"/>
                      <w:szCs w:val="21"/>
                      <w:lang w:val="en-US" w:eastAsia="zh-CN" w:bidi="ar"/>
                    </w:rPr>
                    <w:t>两级活性炭吸附”装置进行处理</w:t>
                  </w:r>
                </w:p>
              </w:tc>
              <w:tc>
                <w:tcPr>
                  <w:tcW w:w="1559" w:type="dxa"/>
                  <w:tcBorders>
                    <w:tl2br w:val="nil"/>
                    <w:tr2bl w:val="nil"/>
                  </w:tcBorders>
                  <w:noWrap w:val="0"/>
                  <w:vAlign w:val="center"/>
                </w:tcPr>
                <w:p w14:paraId="5546C2E4">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是</w:t>
                  </w:r>
                </w:p>
              </w:tc>
            </w:tr>
            <w:tr w14:paraId="06F9F1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7" w:hRule="atLeast"/>
              </w:trPr>
              <w:tc>
                <w:tcPr>
                  <w:tcW w:w="745" w:type="dxa"/>
                  <w:vMerge w:val="restart"/>
                  <w:tcBorders>
                    <w:tl2br w:val="nil"/>
                    <w:tr2bl w:val="nil"/>
                  </w:tcBorders>
                  <w:noWrap w:val="0"/>
                  <w:vAlign w:val="center"/>
                </w:tcPr>
                <w:p w14:paraId="24A76D71">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c>
                <w:tcPr>
                  <w:tcW w:w="1007" w:type="dxa"/>
                  <w:vMerge w:val="restart"/>
                  <w:tcBorders>
                    <w:tl2br w:val="nil"/>
                    <w:tr2bl w:val="nil"/>
                  </w:tcBorders>
                  <w:noWrap w:val="0"/>
                  <w:vAlign w:val="center"/>
                </w:tcPr>
                <w:p w14:paraId="1D695702">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0"/>
                      <w:szCs w:val="21"/>
                      <w:lang w:val="en-US" w:eastAsia="zh-CN"/>
                    </w:rPr>
                    <w:t>有机废气治理设施</w:t>
                  </w:r>
                </w:p>
              </w:tc>
              <w:tc>
                <w:tcPr>
                  <w:tcW w:w="3229" w:type="dxa"/>
                  <w:tcBorders>
                    <w:tl2br w:val="nil"/>
                    <w:tr2bl w:val="nil"/>
                  </w:tcBorders>
                  <w:noWrap w:val="0"/>
                  <w:vAlign w:val="center"/>
                </w:tcPr>
                <w:p w14:paraId="23B6EA28">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2"/>
                      <w:sz w:val="21"/>
                      <w:szCs w:val="21"/>
                      <w:lang w:val="en-US" w:eastAsia="zh-CN" w:bidi="ar-SA"/>
                    </w:rPr>
                    <w:t>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tc>
              <w:tc>
                <w:tcPr>
                  <w:tcW w:w="2453" w:type="dxa"/>
                  <w:tcBorders>
                    <w:tl2br w:val="nil"/>
                    <w:tr2bl w:val="nil"/>
                  </w:tcBorders>
                  <w:noWrap w:val="0"/>
                  <w:vAlign w:val="center"/>
                </w:tcPr>
                <w:p w14:paraId="0109EC7C">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w:t>
                  </w:r>
                  <w:r>
                    <w:rPr>
                      <w:rFonts w:hint="eastAsia" w:eastAsia="仿宋" w:cs="Times New Roman"/>
                      <w:color w:val="auto"/>
                      <w:sz w:val="21"/>
                      <w:szCs w:val="21"/>
                      <w:highlight w:val="none"/>
                      <w:lang w:val="en-US" w:eastAsia="zh-CN"/>
                    </w:rPr>
                    <w:t>炼胶+硫化</w:t>
                  </w:r>
                  <w:r>
                    <w:rPr>
                      <w:rFonts w:hint="eastAsia" w:ascii="Times New Roman" w:hAnsi="Times New Roman" w:eastAsia="仿宋" w:cs="Times New Roman"/>
                      <w:color w:val="auto"/>
                      <w:sz w:val="21"/>
                      <w:szCs w:val="21"/>
                      <w:highlight w:val="none"/>
                      <w:lang w:val="en-US" w:eastAsia="zh-CN"/>
                    </w:rPr>
                    <w:t>废气</w:t>
                  </w:r>
                  <w:r>
                    <w:rPr>
                      <w:rFonts w:hint="default" w:ascii="Times New Roman" w:hAnsi="Times New Roman" w:eastAsia="仿宋" w:cs="Times New Roman"/>
                      <w:color w:val="auto"/>
                      <w:sz w:val="21"/>
                      <w:szCs w:val="21"/>
                      <w:highlight w:val="none"/>
                      <w:lang w:val="en-US" w:eastAsia="zh-CN"/>
                    </w:rPr>
                    <w:t>经收集进入</w:t>
                  </w:r>
                  <w:r>
                    <w:rPr>
                      <w:rFonts w:hint="eastAsia" w:eastAsia="仿宋" w:cs="Times New Roman"/>
                      <w:color w:val="auto"/>
                      <w:sz w:val="21"/>
                      <w:szCs w:val="21"/>
                      <w:highlight w:val="none"/>
                      <w:lang w:val="en-US" w:eastAsia="zh-CN"/>
                    </w:rPr>
                    <w:t>一套</w:t>
                  </w:r>
                  <w:r>
                    <w:rPr>
                      <w:rFonts w:hint="eastAsia" w:ascii="Times New Roman" w:hAnsi="Times New Roman" w:eastAsia="仿宋" w:cs="Times New Roman"/>
                      <w:color w:val="auto"/>
                      <w:sz w:val="21"/>
                      <w:szCs w:val="21"/>
                      <w:highlight w:val="none"/>
                      <w:lang w:val="en-US" w:eastAsia="zh-CN"/>
                    </w:rPr>
                    <w:t>“</w:t>
                  </w:r>
                  <w:r>
                    <w:rPr>
                      <w:rFonts w:hint="eastAsia" w:ascii="Times New Roman" w:hAnsi="Times New Roman" w:eastAsia="仿宋" w:cs="Times New Roman"/>
                      <w:color w:val="auto"/>
                      <w:kern w:val="0"/>
                      <w:szCs w:val="21"/>
                      <w:lang w:val="en-US" w:eastAsia="zh-CN"/>
                    </w:rPr>
                    <w:t>脉冲除尘+</w:t>
                  </w:r>
                  <w:r>
                    <w:rPr>
                      <w:rFonts w:hint="eastAsia" w:ascii="Times New Roman" w:hAnsi="Times New Roman" w:eastAsia="仿宋" w:cs="Times New Roman"/>
                      <w:color w:val="auto"/>
                      <w:sz w:val="21"/>
                      <w:szCs w:val="21"/>
                      <w:lang w:val="en-US" w:eastAsia="zh-CN"/>
                    </w:rPr>
                    <w:t>水喷淋+除雾+两级活性炭吸附</w:t>
                  </w:r>
                  <w:r>
                    <w:rPr>
                      <w:rFonts w:hint="eastAsia" w:ascii="Times New Roman" w:hAnsi="Times New Roman" w:eastAsia="仿宋" w:cs="Times New Roman"/>
                      <w:color w:val="auto"/>
                      <w:sz w:val="21"/>
                      <w:szCs w:val="21"/>
                      <w:highlight w:val="none"/>
                      <w:lang w:val="en-US" w:eastAsia="zh-CN"/>
                    </w:rPr>
                    <w:t>”</w:t>
                  </w:r>
                  <w:r>
                    <w:rPr>
                      <w:rFonts w:hint="eastAsia" w:ascii="Times New Roman" w:hAnsi="Times New Roman" w:eastAsia="仿宋" w:cs="Times New Roman"/>
                      <w:color w:val="auto"/>
                      <w:szCs w:val="21"/>
                      <w:lang w:val="en-US" w:eastAsia="zh-CN"/>
                    </w:rPr>
                    <w:t>装置</w:t>
                  </w:r>
                  <w:r>
                    <w:rPr>
                      <w:rFonts w:hint="default" w:ascii="Times New Roman" w:hAnsi="Times New Roman" w:eastAsia="仿宋" w:cs="Times New Roman"/>
                      <w:color w:val="auto"/>
                      <w:sz w:val="21"/>
                      <w:szCs w:val="21"/>
                      <w:highlight w:val="none"/>
                      <w:lang w:val="en-US" w:eastAsia="zh-CN"/>
                    </w:rPr>
                    <w:t>进行处理，尾气通过</w:t>
                  </w:r>
                  <w:r>
                    <w:rPr>
                      <w:rFonts w:hint="eastAsia" w:eastAsia="仿宋" w:cs="Times New Roman"/>
                      <w:color w:val="auto"/>
                      <w:sz w:val="21"/>
                      <w:szCs w:val="21"/>
                      <w:highlight w:val="none"/>
                      <w:lang w:val="en-US" w:eastAsia="zh-CN"/>
                    </w:rPr>
                    <w:t>一根15m</w:t>
                  </w:r>
                  <w:r>
                    <w:rPr>
                      <w:rFonts w:hint="eastAsia" w:ascii="Times New Roman" w:hAnsi="Times New Roman" w:eastAsia="仿宋" w:cs="Times New Roman"/>
                      <w:color w:val="auto"/>
                      <w:sz w:val="21"/>
                      <w:szCs w:val="21"/>
                      <w:highlight w:val="none"/>
                      <w:lang w:val="en-US" w:eastAsia="zh-CN"/>
                    </w:rPr>
                    <w:t>高</w:t>
                  </w:r>
                  <w:r>
                    <w:rPr>
                      <w:rFonts w:hint="default" w:ascii="Times New Roman" w:hAnsi="Times New Roman" w:eastAsia="仿宋" w:cs="Times New Roman"/>
                      <w:color w:val="auto"/>
                      <w:sz w:val="21"/>
                      <w:szCs w:val="21"/>
                      <w:highlight w:val="none"/>
                      <w:lang w:val="en-US" w:eastAsia="zh-CN"/>
                    </w:rPr>
                    <w:t>排气筒</w:t>
                  </w:r>
                  <w:r>
                    <w:rPr>
                      <w:rFonts w:hint="eastAsia" w:eastAsia="仿宋" w:cs="Times New Roman"/>
                      <w:color w:val="auto"/>
                      <w:sz w:val="21"/>
                      <w:szCs w:val="21"/>
                      <w:highlight w:val="none"/>
                      <w:lang w:val="en-US" w:eastAsia="zh-CN"/>
                    </w:rPr>
                    <w:t>（DA002）</w:t>
                  </w:r>
                  <w:r>
                    <w:rPr>
                      <w:rFonts w:hint="default" w:ascii="Times New Roman" w:hAnsi="Times New Roman" w:eastAsia="仿宋" w:cs="Times New Roman"/>
                      <w:color w:val="auto"/>
                      <w:sz w:val="21"/>
                      <w:szCs w:val="21"/>
                      <w:highlight w:val="none"/>
                      <w:lang w:val="en-US" w:eastAsia="zh-CN"/>
                    </w:rPr>
                    <w:t>排放</w:t>
                  </w:r>
                </w:p>
              </w:tc>
              <w:tc>
                <w:tcPr>
                  <w:tcW w:w="1559" w:type="dxa"/>
                  <w:tcBorders>
                    <w:tl2br w:val="nil"/>
                    <w:tr2bl w:val="nil"/>
                  </w:tcBorders>
                  <w:noWrap w:val="0"/>
                  <w:vAlign w:val="center"/>
                </w:tcPr>
                <w:p w14:paraId="737D8EF2">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是</w:t>
                  </w:r>
                </w:p>
              </w:tc>
            </w:tr>
            <w:tr w14:paraId="01D1B9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7" w:hRule="atLeast"/>
              </w:trPr>
              <w:tc>
                <w:tcPr>
                  <w:tcW w:w="745" w:type="dxa"/>
                  <w:vMerge w:val="continue"/>
                  <w:tcBorders>
                    <w:tl2br w:val="nil"/>
                    <w:tr2bl w:val="nil"/>
                  </w:tcBorders>
                  <w:noWrap w:val="0"/>
                  <w:vAlign w:val="center"/>
                </w:tcPr>
                <w:p w14:paraId="5EC8B012">
                  <w:pPr>
                    <w:keepNext w:val="0"/>
                    <w:keepLines w:val="0"/>
                    <w:suppressLineNumbers w:val="0"/>
                    <w:autoSpaceDE w:val="0"/>
                    <w:autoSpaceDN w:val="0"/>
                    <w:adjustRightInd w:val="0"/>
                    <w:spacing w:before="0" w:beforeAutospacing="0" w:after="0" w:afterAutospacing="0"/>
                    <w:ind w:left="0" w:right="0"/>
                    <w:jc w:val="center"/>
                    <w:rPr>
                      <w:rFonts w:hint="default" w:cs="Times New Roman"/>
                      <w:color w:val="auto"/>
                    </w:rPr>
                  </w:pPr>
                </w:p>
              </w:tc>
              <w:tc>
                <w:tcPr>
                  <w:tcW w:w="1007" w:type="dxa"/>
                  <w:vMerge w:val="continue"/>
                  <w:tcBorders>
                    <w:tl2br w:val="nil"/>
                    <w:tr2bl w:val="nil"/>
                  </w:tcBorders>
                  <w:noWrap w:val="0"/>
                  <w:vAlign w:val="center"/>
                </w:tcPr>
                <w:p w14:paraId="2965590E">
                  <w:pPr>
                    <w:keepNext w:val="0"/>
                    <w:keepLines w:val="0"/>
                    <w:suppressLineNumbers w:val="0"/>
                    <w:autoSpaceDE w:val="0"/>
                    <w:autoSpaceDN w:val="0"/>
                    <w:adjustRightInd w:val="0"/>
                    <w:spacing w:before="0" w:beforeAutospacing="0" w:after="0" w:afterAutospacing="0"/>
                    <w:ind w:left="0" w:right="0"/>
                    <w:jc w:val="center"/>
                    <w:rPr>
                      <w:rFonts w:hint="default" w:cs="Times New Roman"/>
                      <w:color w:val="auto"/>
                    </w:rPr>
                  </w:pPr>
                </w:p>
              </w:tc>
              <w:tc>
                <w:tcPr>
                  <w:tcW w:w="3229" w:type="dxa"/>
                  <w:tcBorders>
                    <w:tl2br w:val="nil"/>
                    <w:tr2bl w:val="nil"/>
                  </w:tcBorders>
                  <w:noWrap w:val="0"/>
                  <w:vAlign w:val="center"/>
                </w:tcPr>
                <w:p w14:paraId="766030A3">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加强运行维护管理，做到在治理设施达到正常运行条件后方可启动生产设备，在生产设备停止、残留VOCs废气收集处理完毕后，方可停运治理设施；</w:t>
                  </w:r>
                </w:p>
              </w:tc>
              <w:tc>
                <w:tcPr>
                  <w:tcW w:w="2453" w:type="dxa"/>
                  <w:tcBorders>
                    <w:tl2br w:val="nil"/>
                    <w:tr2bl w:val="nil"/>
                  </w:tcBorders>
                  <w:noWrap w:val="0"/>
                  <w:vAlign w:val="center"/>
                </w:tcPr>
                <w:p w14:paraId="32567853">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strike w:val="0"/>
                      <w:color w:val="auto"/>
                      <w:kern w:val="0"/>
                      <w:sz w:val="21"/>
                      <w:szCs w:val="21"/>
                      <w:lang w:val="en-US" w:eastAsia="zh-CN" w:bidi="ar"/>
                    </w:rPr>
                    <w:t>本项目</w:t>
                  </w:r>
                  <w:r>
                    <w:rPr>
                      <w:rFonts w:hint="default" w:ascii="Times New Roman" w:hAnsi="Times New Roman" w:eastAsia="仿宋" w:cs="Times New Roman"/>
                      <w:color w:val="auto"/>
                      <w:kern w:val="0"/>
                      <w:sz w:val="21"/>
                      <w:szCs w:val="21"/>
                      <w:lang w:val="en-US" w:eastAsia="zh-CN" w:bidi="ar"/>
                    </w:rPr>
                    <w:t>VOCs废气收集处理系统将先于各生产设施运转前开启，后于生产设施关闭而关闭。当VOCs废气收集处理系统发生故障或检修时，建设单位立即停止生产作业</w:t>
                  </w:r>
                </w:p>
              </w:tc>
              <w:tc>
                <w:tcPr>
                  <w:tcW w:w="1559" w:type="dxa"/>
                  <w:tcBorders>
                    <w:tl2br w:val="nil"/>
                    <w:tr2bl w:val="nil"/>
                  </w:tcBorders>
                  <w:noWrap w:val="0"/>
                  <w:vAlign w:val="center"/>
                </w:tcPr>
                <w:p w14:paraId="2109913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highlight w:val="none"/>
                      <w:lang w:val="en-US" w:eastAsia="zh-CN"/>
                    </w:rPr>
                    <w:t>是</w:t>
                  </w:r>
                </w:p>
              </w:tc>
            </w:tr>
            <w:tr w14:paraId="771B55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1" w:hRule="atLeast"/>
              </w:trPr>
              <w:tc>
                <w:tcPr>
                  <w:tcW w:w="745" w:type="dxa"/>
                  <w:vMerge w:val="continue"/>
                  <w:tcBorders>
                    <w:tl2br w:val="nil"/>
                    <w:tr2bl w:val="nil"/>
                  </w:tcBorders>
                  <w:noWrap w:val="0"/>
                  <w:vAlign w:val="center"/>
                </w:tcPr>
                <w:p w14:paraId="2E7CC72F">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p>
              </w:tc>
              <w:tc>
                <w:tcPr>
                  <w:tcW w:w="1007" w:type="dxa"/>
                  <w:vMerge w:val="continue"/>
                  <w:tcBorders>
                    <w:tl2br w:val="nil"/>
                    <w:tr2bl w:val="nil"/>
                  </w:tcBorders>
                  <w:noWrap w:val="0"/>
                  <w:vAlign w:val="center"/>
                </w:tcPr>
                <w:p w14:paraId="2B45FF2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p>
              </w:tc>
              <w:tc>
                <w:tcPr>
                  <w:tcW w:w="3229" w:type="dxa"/>
                  <w:tcBorders>
                    <w:tl2br w:val="nil"/>
                    <w:tr2bl w:val="nil"/>
                  </w:tcBorders>
                  <w:noWrap w:val="0"/>
                  <w:vAlign w:val="center"/>
                </w:tcPr>
                <w:p w14:paraId="57516B51">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w:t>
                  </w:r>
                </w:p>
              </w:tc>
              <w:tc>
                <w:tcPr>
                  <w:tcW w:w="2453" w:type="dxa"/>
                  <w:tcBorders>
                    <w:tl2br w:val="nil"/>
                    <w:tr2bl w:val="nil"/>
                  </w:tcBorders>
                  <w:noWrap w:val="0"/>
                  <w:vAlign w:val="center"/>
                </w:tcPr>
                <w:p w14:paraId="7DC7E9EA">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严格遵照执行</w:t>
                  </w:r>
                </w:p>
              </w:tc>
              <w:tc>
                <w:tcPr>
                  <w:tcW w:w="1559" w:type="dxa"/>
                  <w:tcBorders>
                    <w:tl2br w:val="nil"/>
                    <w:tr2bl w:val="nil"/>
                  </w:tcBorders>
                  <w:noWrap w:val="0"/>
                  <w:vAlign w:val="center"/>
                </w:tcPr>
                <w:p w14:paraId="41966E6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highlight w:val="none"/>
                      <w:lang w:val="en-US" w:eastAsia="zh-CN"/>
                    </w:rPr>
                    <w:t>是</w:t>
                  </w:r>
                </w:p>
              </w:tc>
            </w:tr>
            <w:tr w14:paraId="749C20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1" w:hRule="atLeast"/>
              </w:trPr>
              <w:tc>
                <w:tcPr>
                  <w:tcW w:w="745" w:type="dxa"/>
                  <w:vMerge w:val="continue"/>
                  <w:tcBorders>
                    <w:tl2br w:val="nil"/>
                    <w:tr2bl w:val="nil"/>
                  </w:tcBorders>
                  <w:noWrap w:val="0"/>
                  <w:vAlign w:val="center"/>
                </w:tcPr>
                <w:p w14:paraId="3077DDEE">
                  <w:pPr>
                    <w:keepNext w:val="0"/>
                    <w:keepLines w:val="0"/>
                    <w:suppressLineNumbers w:val="0"/>
                    <w:autoSpaceDE w:val="0"/>
                    <w:autoSpaceDN w:val="0"/>
                    <w:adjustRightInd w:val="0"/>
                    <w:spacing w:before="0" w:beforeAutospacing="0" w:after="0" w:afterAutospacing="0"/>
                    <w:ind w:left="0" w:right="0"/>
                    <w:jc w:val="both"/>
                    <w:rPr>
                      <w:rFonts w:hint="default" w:cs="Times New Roman"/>
                      <w:color w:val="auto"/>
                    </w:rPr>
                  </w:pPr>
                </w:p>
              </w:tc>
              <w:tc>
                <w:tcPr>
                  <w:tcW w:w="1007" w:type="dxa"/>
                  <w:vMerge w:val="continue"/>
                  <w:tcBorders>
                    <w:tl2br w:val="nil"/>
                    <w:tr2bl w:val="nil"/>
                  </w:tcBorders>
                  <w:noWrap w:val="0"/>
                  <w:vAlign w:val="center"/>
                </w:tcPr>
                <w:p w14:paraId="782F0653">
                  <w:pPr>
                    <w:keepNext w:val="0"/>
                    <w:keepLines w:val="0"/>
                    <w:suppressLineNumbers w:val="0"/>
                    <w:autoSpaceDE w:val="0"/>
                    <w:autoSpaceDN w:val="0"/>
                    <w:adjustRightInd w:val="0"/>
                    <w:spacing w:before="0" w:beforeAutospacing="0" w:after="0" w:afterAutospacing="0"/>
                    <w:ind w:left="0" w:right="0"/>
                    <w:jc w:val="both"/>
                    <w:rPr>
                      <w:rFonts w:hint="default" w:cs="Times New Roman"/>
                      <w:color w:val="auto"/>
                    </w:rPr>
                  </w:pPr>
                </w:p>
              </w:tc>
              <w:tc>
                <w:tcPr>
                  <w:tcW w:w="3229" w:type="dxa"/>
                  <w:tcBorders>
                    <w:tl2br w:val="nil"/>
                    <w:tr2bl w:val="nil"/>
                  </w:tcBorders>
                  <w:noWrap w:val="0"/>
                  <w:vAlign w:val="center"/>
                </w:tcPr>
                <w:p w14:paraId="275B7CE7">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eastAsia="仿宋" w:cs="Times New Roman"/>
                      <w:color w:val="auto"/>
                      <w:kern w:val="2"/>
                      <w:sz w:val="21"/>
                      <w:szCs w:val="21"/>
                      <w:vertAlign w:val="superscript"/>
                      <w:lang w:val="en-US" w:eastAsia="zh-CN" w:bidi="ar-SA"/>
                    </w:rPr>
                    <w:t>2</w:t>
                  </w:r>
                  <w:r>
                    <w:rPr>
                      <w:rFonts w:hint="default" w:ascii="Times New Roman" w:hAnsi="Times New Roman" w:eastAsia="仿宋" w:cs="Times New Roman"/>
                      <w:color w:val="auto"/>
                      <w:kern w:val="2"/>
                      <w:sz w:val="21"/>
                      <w:szCs w:val="21"/>
                      <w:lang w:val="en-US" w:eastAsia="zh-CN" w:bidi="ar-SA"/>
                    </w:rPr>
                    <w:t>/g（BET法）。</w:t>
                  </w:r>
                  <w:r>
                    <w:rPr>
                      <w:rFonts w:hint="default" w:ascii="Times New Roman" w:hAnsi="Times New Roman" w:eastAsia="仿宋" w:cs="Times New Roman"/>
                      <w:color w:val="auto"/>
                      <w:kern w:val="2"/>
                      <w:sz w:val="21"/>
                      <w:szCs w:val="21"/>
                      <w:highlight w:val="none"/>
                      <w:lang w:val="en-US" w:eastAsia="zh-CN" w:bidi="ar-SA"/>
                    </w:rPr>
                    <w:t>一次性活性炭吸附工艺宜采用颗粒活性炭作为吸附剂。</w:t>
                  </w:r>
                </w:p>
              </w:tc>
              <w:tc>
                <w:tcPr>
                  <w:tcW w:w="2453" w:type="dxa"/>
                  <w:tcBorders>
                    <w:tl2br w:val="nil"/>
                    <w:tr2bl w:val="nil"/>
                  </w:tcBorders>
                  <w:noWrap w:val="0"/>
                  <w:vAlign w:val="center"/>
                </w:tcPr>
                <w:p w14:paraId="6E347222">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 w:val="21"/>
                      <w:szCs w:val="21"/>
                      <w:highlight w:val="none"/>
                      <w:lang w:val="en" w:eastAsia="zh-CN"/>
                    </w:rPr>
                    <w:t>本项目</w:t>
                  </w:r>
                  <w:r>
                    <w:rPr>
                      <w:rFonts w:hint="eastAsia" w:eastAsia="仿宋" w:cs="Times New Roman"/>
                      <w:color w:val="auto"/>
                      <w:kern w:val="0"/>
                      <w:sz w:val="21"/>
                      <w:szCs w:val="21"/>
                      <w:highlight w:val="none"/>
                      <w:lang w:val="en-US" w:eastAsia="zh-CN"/>
                    </w:rPr>
                    <w:t>活性炭装置</w:t>
                  </w:r>
                  <w:r>
                    <w:rPr>
                      <w:rFonts w:hint="default" w:ascii="Times New Roman" w:hAnsi="Times New Roman" w:eastAsia="仿宋" w:cs="Times New Roman"/>
                      <w:color w:val="auto"/>
                      <w:kern w:val="0"/>
                      <w:sz w:val="21"/>
                      <w:szCs w:val="21"/>
                      <w:highlight w:val="none"/>
                      <w:lang w:val="en" w:eastAsia="zh-CN"/>
                    </w:rPr>
                    <w:t>拟采用</w:t>
                  </w:r>
                  <w:r>
                    <w:rPr>
                      <w:rFonts w:hint="eastAsia" w:eastAsia="仿宋" w:cs="Times New Roman"/>
                      <w:color w:val="auto"/>
                      <w:kern w:val="0"/>
                      <w:sz w:val="21"/>
                      <w:szCs w:val="21"/>
                      <w:highlight w:val="none"/>
                      <w:lang w:val="en-US" w:eastAsia="zh-CN"/>
                    </w:rPr>
                    <w:t>颗粒</w:t>
                  </w:r>
                  <w:r>
                    <w:rPr>
                      <w:rFonts w:hint="default" w:ascii="Times New Roman" w:hAnsi="Times New Roman" w:eastAsia="仿宋" w:cs="Times New Roman"/>
                      <w:color w:val="auto"/>
                      <w:kern w:val="0"/>
                      <w:sz w:val="21"/>
                      <w:szCs w:val="21"/>
                      <w:highlight w:val="none"/>
                      <w:lang w:val="en"/>
                    </w:rPr>
                    <w:t>活性炭</w:t>
                  </w:r>
                  <w:r>
                    <w:rPr>
                      <w:rFonts w:hint="eastAsia" w:ascii="Times New Roman" w:hAnsi="Times New Roman" w:eastAsia="仿宋" w:cs="Times New Roman"/>
                      <w:color w:val="auto"/>
                      <w:kern w:val="0"/>
                      <w:sz w:val="21"/>
                      <w:szCs w:val="21"/>
                      <w:highlight w:val="none"/>
                      <w:lang w:val="en" w:eastAsia="zh-CN"/>
                    </w:rPr>
                    <w:t>，</w:t>
                  </w:r>
                  <w:r>
                    <w:rPr>
                      <w:rFonts w:hint="default" w:ascii="Times New Roman" w:hAnsi="Times New Roman" w:eastAsia="仿宋" w:cs="Times New Roman"/>
                      <w:color w:val="auto"/>
                      <w:kern w:val="0"/>
                      <w:sz w:val="21"/>
                      <w:szCs w:val="21"/>
                      <w:highlight w:val="none"/>
                      <w:lang w:val="en"/>
                    </w:rPr>
                    <w:t>碘吸附值≥</w:t>
                  </w:r>
                  <w:r>
                    <w:rPr>
                      <w:rFonts w:hint="eastAsia" w:eastAsia="仿宋" w:cs="Times New Roman"/>
                      <w:color w:val="auto"/>
                      <w:kern w:val="0"/>
                      <w:sz w:val="21"/>
                      <w:szCs w:val="21"/>
                      <w:highlight w:val="none"/>
                      <w:lang w:val="en-US" w:eastAsia="zh-CN"/>
                    </w:rPr>
                    <w:t>80</w:t>
                  </w:r>
                  <w:r>
                    <w:rPr>
                      <w:rFonts w:hint="default" w:ascii="Times New Roman" w:hAnsi="Times New Roman" w:eastAsia="仿宋" w:cs="Times New Roman"/>
                      <w:color w:val="auto"/>
                      <w:kern w:val="0"/>
                      <w:sz w:val="21"/>
                      <w:szCs w:val="21"/>
                      <w:highlight w:val="none"/>
                      <w:lang w:val="en-US" w:eastAsia="zh-CN"/>
                    </w:rPr>
                    <w:t>0</w:t>
                  </w:r>
                  <w:r>
                    <w:rPr>
                      <w:rFonts w:hint="default" w:ascii="Times New Roman" w:hAnsi="Times New Roman" w:eastAsia="仿宋" w:cs="Times New Roman"/>
                      <w:color w:val="auto"/>
                      <w:kern w:val="0"/>
                      <w:sz w:val="21"/>
                      <w:szCs w:val="21"/>
                      <w:highlight w:val="none"/>
                      <w:lang w:val="en"/>
                    </w:rPr>
                    <w:t>mg/g</w:t>
                  </w:r>
                </w:p>
              </w:tc>
              <w:tc>
                <w:tcPr>
                  <w:tcW w:w="1559" w:type="dxa"/>
                  <w:tcBorders>
                    <w:tl2br w:val="nil"/>
                    <w:tr2bl w:val="nil"/>
                  </w:tcBorders>
                  <w:noWrap w:val="0"/>
                  <w:vAlign w:val="center"/>
                </w:tcPr>
                <w:p w14:paraId="3B68F8DC">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highlight w:val="none"/>
                      <w:lang w:val="en-US" w:eastAsia="zh-CN"/>
                    </w:rPr>
                    <w:t>是</w:t>
                  </w:r>
                </w:p>
              </w:tc>
            </w:tr>
          </w:tbl>
          <w:p w14:paraId="3A310C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val="0"/>
                <w:bCs w:val="0"/>
                <w:color w:val="auto"/>
                <w:highlight w:val="none"/>
                <w:lang w:val="en-US" w:eastAsia="zh-CN"/>
              </w:rPr>
            </w:pPr>
            <w:r>
              <w:rPr>
                <w:rFonts w:hint="eastAsia" w:ascii="宋体" w:hAnsi="宋体" w:eastAsia="宋体" w:cs="宋体"/>
                <w:b/>
                <w:bCs/>
                <w:color w:val="auto"/>
                <w:lang w:val="en-US" w:eastAsia="zh-CN"/>
              </w:rPr>
              <w:t>⑭</w:t>
            </w:r>
            <w:r>
              <w:rPr>
                <w:rFonts w:hint="default" w:ascii="Times New Roman" w:hAnsi="Times New Roman" w:eastAsia="宋体" w:cs="Times New Roman"/>
                <w:b/>
                <w:bCs/>
                <w:color w:val="auto"/>
                <w:highlight w:val="none"/>
                <w:lang w:val="en-US" w:eastAsia="zh-CN"/>
              </w:rPr>
              <w:t>与《关于印发江苏省挥发性有机物清洁原料替代工作方案的通知》（苏大气办</w:t>
            </w:r>
            <w:r>
              <w:rPr>
                <w:rFonts w:hint="eastAsia"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2021</w:t>
            </w:r>
            <w:r>
              <w:rPr>
                <w:rFonts w:hint="eastAsia"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2号）、《关于印发常州市挥发性有机物清洁原料替代工作方案的通知》（常污防攻坚指办</w:t>
            </w:r>
            <w:r>
              <w:rPr>
                <w:rFonts w:hint="eastAsia"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2021</w:t>
            </w:r>
            <w:r>
              <w:rPr>
                <w:rFonts w:hint="eastAsia"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32号）的对照分析</w:t>
            </w:r>
          </w:p>
          <w:p w14:paraId="2F026C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相关要求：</w:t>
            </w:r>
          </w:p>
          <w:p w14:paraId="2E4CEEE8">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明确替代要求。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 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p w14:paraId="47FF8BF1">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严格准入条件。禁止建设生产和使用高VOCs含量的涂料、油墨、胶黏剂等项目。2021年起，全市工业涂装、包装印刷、纺织、木材加工等行业以及涂料、油墨等生产企业的新（改、扩）建项目需满足低（无）VOCs含量限值要求。全市市场上流通的水性涂料等低挥发性有机物含量涂料产品，执行国家《低挥发性有机化合物含量涂料产品技术要求》（GB/T 38597-2020）。</w:t>
            </w:r>
          </w:p>
          <w:p w14:paraId="5C912C28">
            <w:pPr>
              <w:keepNext w:val="0"/>
              <w:keepLines w:val="0"/>
              <w:suppressLineNumbers w:val="0"/>
              <w:autoSpaceDE/>
              <w:autoSpaceDN/>
              <w:adjustRightInd/>
              <w:snapToGrid/>
              <w:spacing w:before="0" w:beforeAutospacing="0" w:after="0" w:afterAutospacing="0" w:line="360" w:lineRule="auto"/>
              <w:ind w:left="0" w:right="0" w:firstLine="422" w:firstLineChars="200"/>
              <w:jc w:val="both"/>
              <w:rPr>
                <w:rFonts w:hint="eastAsia" w:cs="Times New Roman"/>
                <w:b/>
                <w:bCs/>
                <w:color w:val="auto"/>
                <w:sz w:val="21"/>
                <w:szCs w:val="24"/>
                <w:highlight w:val="none"/>
                <w:lang w:val="en-US" w:eastAsia="zh-CN"/>
              </w:rPr>
            </w:pPr>
            <w:r>
              <w:rPr>
                <w:rFonts w:hint="eastAsia" w:cs="Times New Roman"/>
                <w:b/>
                <w:bCs/>
                <w:color w:val="auto"/>
                <w:sz w:val="21"/>
                <w:szCs w:val="24"/>
                <w:highlight w:val="none"/>
                <w:lang w:val="en-US" w:eastAsia="zh-CN"/>
              </w:rPr>
              <w:t>对照分析：</w:t>
            </w:r>
          </w:p>
          <w:p w14:paraId="1BA9A52D">
            <w:pPr>
              <w:keepNext w:val="0"/>
              <w:keepLines w:val="0"/>
              <w:suppressLineNumbers w:val="0"/>
              <w:autoSpaceDE/>
              <w:autoSpaceDN/>
              <w:adjustRightInd/>
              <w:snapToGrid/>
              <w:spacing w:before="0" w:beforeAutospacing="0" w:after="0" w:afterAutospacing="0" w:line="360" w:lineRule="auto"/>
              <w:ind w:left="0" w:right="0" w:firstLine="420" w:firstLineChars="20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4"/>
                <w:highlight w:val="none"/>
                <w:lang w:eastAsia="zh-CN"/>
              </w:rPr>
              <w:t>本项目</w:t>
            </w:r>
            <w:r>
              <w:rPr>
                <w:rFonts w:hint="default" w:ascii="Times New Roman" w:hAnsi="Times New Roman" w:eastAsia="宋体" w:cs="Times New Roman"/>
                <w:color w:val="auto"/>
                <w:sz w:val="21"/>
                <w:szCs w:val="24"/>
                <w:highlight w:val="none"/>
              </w:rPr>
              <w:t>从事</w:t>
            </w:r>
            <w:r>
              <w:rPr>
                <w:rFonts w:hint="eastAsia" w:cs="Times New Roman"/>
                <w:color w:val="auto"/>
                <w:szCs w:val="21"/>
                <w:lang w:val="en-US" w:eastAsia="zh-CN"/>
              </w:rPr>
              <w:t>橡胶辊轮制造</w:t>
            </w:r>
            <w:r>
              <w:rPr>
                <w:rFonts w:hint="default" w:ascii="Times New Roman" w:hAnsi="Times New Roman" w:eastAsia="宋体" w:cs="Times New Roman"/>
                <w:color w:val="auto"/>
                <w:sz w:val="21"/>
                <w:szCs w:val="24"/>
                <w:highlight w:val="none"/>
                <w:lang w:val="en-US" w:eastAsia="zh-CN"/>
              </w:rPr>
              <w:t>，</w:t>
            </w:r>
            <w:r>
              <w:rPr>
                <w:rFonts w:hint="eastAsia" w:ascii="Times New Roman" w:hAnsi="Times New Roman" w:cs="Times New Roman"/>
                <w:color w:val="auto"/>
                <w:sz w:val="21"/>
                <w:szCs w:val="24"/>
                <w:highlight w:val="none"/>
                <w:lang w:val="en-US" w:eastAsia="zh-CN"/>
              </w:rPr>
              <w:t>涉及</w:t>
            </w:r>
            <w:r>
              <w:rPr>
                <w:rFonts w:hint="eastAsia" w:cs="Times New Roman"/>
                <w:b w:val="0"/>
                <w:bCs w:val="0"/>
                <w:color w:val="auto"/>
                <w:highlight w:val="none"/>
                <w:lang w:val="en-US" w:eastAsia="zh-CN"/>
              </w:rPr>
              <w:t>胶粘剂的使用</w:t>
            </w:r>
            <w:r>
              <w:rPr>
                <w:rFonts w:hint="eastAsia" w:ascii="Times New Roman" w:hAnsi="Times New Roman" w:eastAsia="宋体" w:cs="Times New Roman"/>
                <w:color w:val="auto"/>
                <w:sz w:val="21"/>
                <w:szCs w:val="24"/>
                <w:highlight w:val="none"/>
                <w:lang w:val="en-US" w:eastAsia="zh-CN"/>
              </w:rPr>
              <w:t>；</w:t>
            </w:r>
            <w:r>
              <w:rPr>
                <w:rFonts w:hint="default" w:ascii="Times New Roman" w:hAnsi="Times New Roman" w:eastAsia="宋体" w:cs="Times New Roman"/>
                <w:b w:val="0"/>
                <w:bCs w:val="0"/>
                <w:color w:val="auto"/>
                <w:spacing w:val="0"/>
                <w:kern w:val="2"/>
                <w:sz w:val="21"/>
                <w:szCs w:val="21"/>
                <w:lang w:val="en-US" w:eastAsia="zh-CN" w:bidi="ar-SA"/>
              </w:rPr>
              <w:t>本项目拟采用的</w:t>
            </w:r>
            <w:r>
              <w:rPr>
                <w:rFonts w:hint="eastAsia" w:cs="Times New Roman"/>
                <w:b w:val="0"/>
                <w:bCs w:val="0"/>
                <w:color w:val="auto"/>
                <w:spacing w:val="0"/>
                <w:kern w:val="2"/>
                <w:sz w:val="21"/>
                <w:szCs w:val="21"/>
                <w:lang w:val="en-US" w:eastAsia="zh-CN" w:bidi="ar-SA"/>
              </w:rPr>
              <w:t>胶粘剂</w:t>
            </w:r>
            <w:r>
              <w:rPr>
                <w:rFonts w:hint="default" w:ascii="Times New Roman" w:hAnsi="Times New Roman" w:eastAsia="宋体" w:cs="Times New Roman"/>
                <w:b w:val="0"/>
                <w:bCs w:val="0"/>
                <w:color w:val="auto"/>
                <w:spacing w:val="0"/>
                <w:kern w:val="2"/>
                <w:sz w:val="21"/>
                <w:szCs w:val="21"/>
                <w:lang w:val="en-US" w:eastAsia="zh-CN" w:bidi="ar-SA"/>
              </w:rPr>
              <w:t>满足</w:t>
            </w:r>
            <w:r>
              <w:rPr>
                <w:rFonts w:hint="default" w:ascii="Times New Roman" w:hAnsi="Times New Roman" w:eastAsia="宋体" w:cs="Times New Roman"/>
                <w:b w:val="0"/>
                <w:bCs w:val="0"/>
                <w:color w:val="auto"/>
                <w:highlight w:val="none"/>
                <w:lang w:val="en-US" w:eastAsia="zh-CN"/>
              </w:rPr>
              <w:t>《胶粘剂挥发性有机化合物限量》（GB 33372-2020）</w:t>
            </w:r>
            <w:r>
              <w:rPr>
                <w:rFonts w:hint="default" w:ascii="Times New Roman" w:hAnsi="Times New Roman" w:eastAsia="宋体" w:cs="Times New Roman"/>
                <w:b w:val="0"/>
                <w:bCs w:val="0"/>
                <w:color w:val="auto"/>
                <w:spacing w:val="0"/>
                <w:kern w:val="2"/>
                <w:sz w:val="21"/>
                <w:szCs w:val="21"/>
                <w:lang w:val="en-US" w:eastAsia="zh-CN" w:bidi="ar-SA"/>
              </w:rPr>
              <w:t>中挥发性有机物含量的相关</w:t>
            </w:r>
            <w:r>
              <w:rPr>
                <w:rFonts w:hint="eastAsia" w:ascii="Times New Roman" w:hAnsi="Times New Roman" w:eastAsia="宋体" w:cs="Times New Roman"/>
                <w:b w:val="0"/>
                <w:bCs w:val="0"/>
                <w:color w:val="auto"/>
                <w:spacing w:val="0"/>
                <w:kern w:val="2"/>
                <w:sz w:val="21"/>
                <w:szCs w:val="21"/>
                <w:lang w:val="en-US" w:eastAsia="zh-CN" w:bidi="ar-SA"/>
              </w:rPr>
              <w:t>限值</w:t>
            </w:r>
            <w:r>
              <w:rPr>
                <w:rFonts w:hint="default" w:ascii="Times New Roman" w:hAnsi="Times New Roman" w:eastAsia="宋体" w:cs="Times New Roman"/>
                <w:b w:val="0"/>
                <w:bCs w:val="0"/>
                <w:color w:val="auto"/>
                <w:spacing w:val="0"/>
                <w:kern w:val="2"/>
                <w:sz w:val="21"/>
                <w:szCs w:val="21"/>
                <w:lang w:val="en-US" w:eastAsia="zh-CN" w:bidi="ar-SA"/>
              </w:rPr>
              <w:t>要求。</w:t>
            </w:r>
          </w:p>
          <w:p w14:paraId="222B11D3">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因此，本项目</w:t>
            </w:r>
            <w:r>
              <w:rPr>
                <w:rFonts w:hint="default" w:ascii="Times New Roman" w:hAnsi="Times New Roman" w:eastAsia="宋体" w:cs="Times New Roman"/>
                <w:color w:val="auto"/>
                <w:sz w:val="21"/>
                <w:szCs w:val="21"/>
                <w:highlight w:val="none"/>
              </w:rPr>
              <w:t>建设符合</w:t>
            </w:r>
            <w:r>
              <w:rPr>
                <w:rFonts w:hint="default" w:ascii="Times New Roman" w:hAnsi="Times New Roman" w:eastAsia="宋体" w:cs="Times New Roman"/>
                <w:color w:val="auto"/>
                <w:sz w:val="21"/>
                <w:szCs w:val="21"/>
                <w:highlight w:val="none"/>
                <w:lang w:val="en-US" w:eastAsia="zh-CN"/>
              </w:rPr>
              <w:t>《省大气办关于印发江苏省挥发性有机物清洁原料替代工作方案的通知》（苏大气办</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2021</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2号）及《关于印发常州市挥发性有机物清洁原料替代工作方案的通知》（常污防攻坚指办〔2021〕32号）的相关要求。</w:t>
            </w:r>
          </w:p>
          <w:p w14:paraId="4A0A794A">
            <w:pPr>
              <w:keepNext w:val="0"/>
              <w:keepLines w:val="0"/>
              <w:suppressLineNumbers w:val="0"/>
              <w:autoSpaceDE/>
              <w:autoSpaceDN/>
              <w:adjustRightInd/>
              <w:snapToGrid/>
              <w:spacing w:before="0" w:beforeAutospacing="0" w:after="0" w:afterAutospacing="0" w:line="360" w:lineRule="auto"/>
              <w:ind w:left="0" w:right="0" w:firstLine="422" w:firstLineChars="200"/>
              <w:jc w:val="both"/>
              <w:rPr>
                <w:rFonts w:hint="default" w:ascii="Times New Roman" w:hAnsi="Times New Roman" w:eastAsia="宋体" w:cs="Times New Roman"/>
                <w:b/>
                <w:bCs/>
                <w:color w:val="auto"/>
                <w:sz w:val="21"/>
                <w:szCs w:val="24"/>
                <w:highlight w:val="none"/>
                <w:lang w:val="en-US" w:eastAsia="zh-CN"/>
              </w:rPr>
            </w:pPr>
            <w:r>
              <w:rPr>
                <w:rFonts w:hint="eastAsia" w:ascii="Times New Roman" w:hAnsi="Times New Roman" w:eastAsia="宋体" w:cs="Times New Roman"/>
                <w:b/>
                <w:bCs/>
                <w:color w:val="auto"/>
                <w:sz w:val="21"/>
                <w:szCs w:val="24"/>
                <w:highlight w:val="none"/>
                <w:lang w:val="en-US" w:eastAsia="zh-CN"/>
              </w:rPr>
              <w:t>⑮与《省生态环境厅关于进一步做好建设项目环境审批工作的通知》（苏环办〔2019〕36号）相符性</w:t>
            </w:r>
          </w:p>
          <w:p w14:paraId="34DE55B8">
            <w:pPr>
              <w:pStyle w:val="6"/>
              <w:keepNext w:val="0"/>
              <w:keepLines w:val="0"/>
              <w:suppressLineNumbers w:val="0"/>
              <w:adjustRightInd w:val="0"/>
              <w:snapToGrid w:val="0"/>
              <w:spacing w:before="0" w:beforeAutospacing="0" w:after="0" w:afterAutospacing="0" w:line="360" w:lineRule="auto"/>
              <w:ind w:left="0" w:right="0" w:firstLine="420"/>
              <w:rPr>
                <w:rFonts w:hint="default" w:cs="Times New Roman"/>
                <w:color w:val="auto"/>
                <w:szCs w:val="21"/>
              </w:rPr>
            </w:pPr>
            <w:r>
              <w:rPr>
                <w:rFonts w:hint="eastAsia" w:ascii="Times New Roman" w:hAnsi="Times New Roman" w:eastAsia="宋体" w:cs="Times New Roman"/>
                <w:b w:val="0"/>
                <w:bCs w:val="0"/>
                <w:color w:val="auto"/>
                <w:kern w:val="2"/>
                <w:sz w:val="21"/>
                <w:szCs w:val="24"/>
                <w:highlight w:val="none"/>
                <w:lang w:val="en-US" w:eastAsia="zh-CN" w:bidi="ar-SA"/>
              </w:rPr>
              <w:t>项目与《省生态环境厅关于进一步做好建设项目环境审批工作的通知》（苏环办〔2019〕36号）相符性分析见表1-16。</w:t>
            </w:r>
          </w:p>
          <w:p w14:paraId="701FEFD8">
            <w:pPr>
              <w:pStyle w:val="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rPr>
              <w:t>表1-</w:t>
            </w:r>
            <w:r>
              <w:rPr>
                <w:rFonts w:hint="eastAsia" w:ascii="Times New Roman" w:hAnsi="Times New Roman" w:eastAsia="宋体" w:cs="Times New Roman"/>
                <w:b/>
                <w:color w:val="auto"/>
                <w:kern w:val="0"/>
                <w:sz w:val="21"/>
                <w:szCs w:val="21"/>
                <w:lang w:val="en-US" w:eastAsia="zh-CN"/>
              </w:rPr>
              <w:t>1</w:t>
            </w:r>
            <w:r>
              <w:rPr>
                <w:rFonts w:hint="default" w:ascii="Times New Roman" w:hAnsi="Times New Roman" w:cs="Times New Roman"/>
                <w:b/>
                <w:color w:val="auto"/>
                <w:kern w:val="0"/>
                <w:sz w:val="21"/>
                <w:szCs w:val="21"/>
                <w:lang w:val="en-US" w:eastAsia="zh-CN"/>
              </w:rPr>
              <w:t>6</w:t>
            </w:r>
            <w:r>
              <w:rPr>
                <w:rFonts w:hint="default" w:ascii="Times New Roman" w:hAnsi="Times New Roman" w:eastAsia="宋体" w:cs="Times New Roman"/>
                <w:b/>
                <w:color w:val="auto"/>
                <w:kern w:val="0"/>
                <w:sz w:val="21"/>
                <w:szCs w:val="21"/>
              </w:rPr>
              <w:t xml:space="preserve"> </w:t>
            </w:r>
            <w:r>
              <w:rPr>
                <w:rFonts w:hint="eastAsia" w:ascii="Times New Roman" w:hAnsi="Times New Roman" w:eastAsia="宋体" w:cs="Times New Roman"/>
                <w:b/>
                <w:color w:val="auto"/>
                <w:kern w:val="0"/>
                <w:sz w:val="21"/>
                <w:szCs w:val="21"/>
                <w:lang w:val="en-US" w:eastAsia="zh-CN" w:bidi="ar-SA"/>
              </w:rPr>
              <w:t>与《省生态环境厅关于进一步做好建设项目环评审批工作的通知》相符性分析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129"/>
              <w:gridCol w:w="2433"/>
              <w:gridCol w:w="1431"/>
            </w:tblGrid>
            <w:tr w14:paraId="4EFE1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29" w:type="dxa"/>
                  <w:noWrap w:val="0"/>
                  <w:vAlign w:val="center"/>
                </w:tcPr>
                <w:p w14:paraId="29E5EA0C">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相关要求</w:t>
                  </w:r>
                </w:p>
              </w:tc>
              <w:tc>
                <w:tcPr>
                  <w:tcW w:w="2433" w:type="dxa"/>
                  <w:noWrap w:val="0"/>
                  <w:vAlign w:val="center"/>
                </w:tcPr>
                <w:p w14:paraId="48E0E32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对照分析</w:t>
                  </w:r>
                </w:p>
              </w:tc>
              <w:tc>
                <w:tcPr>
                  <w:tcW w:w="1431" w:type="dxa"/>
                  <w:noWrap w:val="0"/>
                  <w:vAlign w:val="center"/>
                </w:tcPr>
                <w:p w14:paraId="0A60958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是否满足要求</w:t>
                  </w:r>
                </w:p>
              </w:tc>
            </w:tr>
            <w:tr w14:paraId="3BE9D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29" w:type="dxa"/>
                  <w:noWrap w:val="0"/>
                  <w:vAlign w:val="center"/>
                </w:tcPr>
                <w:p w14:paraId="1C38C9F5">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2433" w:type="dxa"/>
                  <w:noWrap w:val="0"/>
                  <w:vAlign w:val="center"/>
                </w:tcPr>
                <w:p w14:paraId="13AFC542">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r>
                    <w:rPr>
                      <w:rFonts w:hint="eastAsia" w:ascii="Times New Roman" w:hAnsi="Times New Roman" w:eastAsia="仿宋" w:cs="Times New Roman"/>
                      <w:color w:val="auto"/>
                      <w:kern w:val="2"/>
                      <w:sz w:val="21"/>
                      <w:szCs w:val="21"/>
                      <w:highlight w:val="none"/>
                      <w:lang w:val="en-US" w:eastAsia="zh-CN" w:bidi="ar-SA"/>
                    </w:rPr>
                    <w:t>项目选址位于常州市金坛区</w:t>
                  </w:r>
                  <w:r>
                    <w:rPr>
                      <w:rFonts w:hint="eastAsia" w:eastAsia="仿宋" w:cs="Times New Roman"/>
                      <w:color w:val="auto"/>
                      <w:kern w:val="2"/>
                      <w:sz w:val="21"/>
                      <w:szCs w:val="21"/>
                      <w:highlight w:val="none"/>
                      <w:lang w:val="en-US" w:eastAsia="zh-CN" w:bidi="ar-SA"/>
                    </w:rPr>
                    <w:t>朱林镇</w:t>
                  </w:r>
                  <w:r>
                    <w:rPr>
                      <w:rFonts w:hint="eastAsia" w:ascii="Times New Roman" w:hAnsi="Times New Roman" w:eastAsia="仿宋" w:cs="Times New Roman"/>
                      <w:color w:val="auto"/>
                      <w:kern w:val="2"/>
                      <w:sz w:val="21"/>
                      <w:szCs w:val="21"/>
                      <w:highlight w:val="none"/>
                      <w:lang w:val="en-US" w:eastAsia="zh-CN" w:bidi="ar-SA"/>
                    </w:rPr>
                    <w:t>，符合相关法律法规及规划要求；</w:t>
                  </w:r>
                  <w:r>
                    <w:rPr>
                      <w:rFonts w:hint="default" w:ascii="Times New Roman" w:hAnsi="Times New Roman" w:eastAsia="仿宋" w:cs="Times New Roman"/>
                      <w:color w:val="auto"/>
                      <w:kern w:val="2"/>
                      <w:sz w:val="21"/>
                      <w:szCs w:val="21"/>
                      <w:highlight w:val="none"/>
                      <w:lang w:val="en-US" w:eastAsia="zh-CN" w:bidi="ar-SA"/>
                    </w:rPr>
                    <w:t>（2）</w:t>
                  </w:r>
                  <w:r>
                    <w:rPr>
                      <w:rFonts w:hint="eastAsia" w:ascii="Times New Roman" w:hAnsi="Times New Roman" w:eastAsia="仿宋" w:cs="Times New Roman"/>
                      <w:color w:val="auto"/>
                      <w:kern w:val="2"/>
                      <w:sz w:val="21"/>
                      <w:szCs w:val="21"/>
                      <w:highlight w:val="none"/>
                      <w:lang w:val="en-US" w:eastAsia="zh-CN" w:bidi="ar-SA"/>
                    </w:rPr>
                    <w:t>项目采取的措施能够满足区域环境质量改善目标管理要求</w:t>
                  </w:r>
                  <w:r>
                    <w:rPr>
                      <w:rFonts w:hint="default" w:ascii="Times New Roman" w:hAnsi="Times New Roman" w:eastAsia="仿宋" w:cs="Times New Roman"/>
                      <w:color w:val="auto"/>
                      <w:kern w:val="2"/>
                      <w:sz w:val="21"/>
                      <w:szCs w:val="21"/>
                      <w:highlight w:val="none"/>
                      <w:lang w:val="en-US" w:eastAsia="zh-CN" w:bidi="ar-SA"/>
                    </w:rPr>
                    <w:t>；（3）项目采取的污染防治措施</w:t>
                  </w:r>
                  <w:r>
                    <w:rPr>
                      <w:rFonts w:hint="eastAsia" w:ascii="Times New Roman" w:hAnsi="Times New Roman" w:eastAsia="仿宋" w:cs="Times New Roman"/>
                      <w:color w:val="auto"/>
                      <w:kern w:val="2"/>
                      <w:sz w:val="21"/>
                      <w:szCs w:val="21"/>
                      <w:highlight w:val="none"/>
                      <w:lang w:val="en-US" w:eastAsia="zh-CN" w:bidi="ar-SA"/>
                    </w:rPr>
                    <w:t>能够满足</w:t>
                  </w:r>
                  <w:r>
                    <w:rPr>
                      <w:rFonts w:hint="default" w:ascii="Times New Roman" w:hAnsi="Times New Roman" w:eastAsia="仿宋" w:cs="Times New Roman"/>
                      <w:color w:val="auto"/>
                      <w:kern w:val="2"/>
                      <w:sz w:val="21"/>
                      <w:szCs w:val="21"/>
                      <w:highlight w:val="none"/>
                      <w:lang w:val="en-US" w:eastAsia="zh-CN" w:bidi="ar-SA"/>
                    </w:rPr>
                    <w:t>污染物排放达到</w:t>
                  </w:r>
                  <w:r>
                    <w:rPr>
                      <w:rFonts w:hint="eastAsia" w:ascii="Times New Roman" w:hAnsi="Times New Roman" w:eastAsia="仿宋" w:cs="Times New Roman"/>
                      <w:color w:val="auto"/>
                      <w:kern w:val="2"/>
                      <w:sz w:val="21"/>
                      <w:szCs w:val="21"/>
                      <w:highlight w:val="none"/>
                      <w:lang w:val="en-US" w:eastAsia="zh-CN" w:bidi="ar-SA"/>
                    </w:rPr>
                    <w:t>关排放标准</w:t>
                  </w:r>
                  <w:r>
                    <w:rPr>
                      <w:rFonts w:hint="default" w:ascii="Times New Roman" w:hAnsi="Times New Roman" w:eastAsia="仿宋" w:cs="Times New Roman"/>
                      <w:color w:val="auto"/>
                      <w:kern w:val="2"/>
                      <w:sz w:val="21"/>
                      <w:szCs w:val="21"/>
                      <w:highlight w:val="none"/>
                      <w:lang w:val="en-US" w:eastAsia="zh-CN" w:bidi="ar-SA"/>
                    </w:rPr>
                    <w:t>；（4）</w:t>
                  </w:r>
                  <w:r>
                    <w:rPr>
                      <w:rFonts w:hint="eastAsia" w:ascii="Times New Roman" w:hAnsi="Times New Roman" w:eastAsia="仿宋" w:cs="Times New Roman"/>
                      <w:color w:val="auto"/>
                      <w:kern w:val="2"/>
                      <w:sz w:val="21"/>
                      <w:szCs w:val="21"/>
                      <w:highlight w:val="none"/>
                      <w:lang w:val="en-US" w:eastAsia="zh-CN" w:bidi="ar-SA"/>
                    </w:rPr>
                    <w:t>本项目为新建项目，无原有环境污染</w:t>
                  </w:r>
                  <w:r>
                    <w:rPr>
                      <w:rFonts w:hint="default" w:ascii="Times New Roman" w:hAnsi="Times New Roman" w:eastAsia="仿宋" w:cs="Times New Roman"/>
                      <w:color w:val="auto"/>
                      <w:kern w:val="2"/>
                      <w:sz w:val="21"/>
                      <w:szCs w:val="21"/>
                      <w:highlight w:val="none"/>
                      <w:lang w:val="en-US" w:eastAsia="zh-CN" w:bidi="ar-SA"/>
                    </w:rPr>
                    <w:t>；（5）</w:t>
                  </w:r>
                  <w:r>
                    <w:rPr>
                      <w:rFonts w:hint="eastAsia" w:ascii="Times New Roman" w:hAnsi="Times New Roman" w:eastAsia="仿宋" w:cs="Times New Roman"/>
                      <w:color w:val="auto"/>
                      <w:kern w:val="2"/>
                      <w:sz w:val="21"/>
                      <w:szCs w:val="21"/>
                      <w:highlight w:val="none"/>
                      <w:lang w:val="en-US" w:eastAsia="zh-CN" w:bidi="ar-SA"/>
                    </w:rPr>
                    <w:t>本项目</w:t>
                  </w:r>
                  <w:r>
                    <w:rPr>
                      <w:rFonts w:hint="default" w:ascii="Times New Roman" w:hAnsi="Times New Roman" w:eastAsia="仿宋" w:cs="Times New Roman"/>
                      <w:color w:val="auto"/>
                      <w:kern w:val="2"/>
                      <w:sz w:val="21"/>
                      <w:szCs w:val="21"/>
                      <w:highlight w:val="none"/>
                      <w:lang w:val="en-US" w:eastAsia="zh-CN" w:bidi="ar-SA"/>
                    </w:rPr>
                    <w:t>基础资料数据</w:t>
                  </w:r>
                  <w:r>
                    <w:rPr>
                      <w:rFonts w:hint="eastAsia" w:ascii="Times New Roman" w:hAnsi="Times New Roman" w:eastAsia="仿宋" w:cs="Times New Roman"/>
                      <w:color w:val="auto"/>
                      <w:kern w:val="2"/>
                      <w:sz w:val="21"/>
                      <w:szCs w:val="21"/>
                      <w:highlight w:val="none"/>
                      <w:lang w:val="en-US" w:eastAsia="zh-CN" w:bidi="ar-SA"/>
                    </w:rPr>
                    <w:t>符合实际情况</w:t>
                  </w:r>
                  <w:r>
                    <w:rPr>
                      <w:rFonts w:hint="default" w:ascii="Times New Roman" w:hAnsi="Times New Roman" w:eastAsia="仿宋" w:cs="Times New Roman"/>
                      <w:color w:val="auto"/>
                      <w:kern w:val="2"/>
                      <w:sz w:val="21"/>
                      <w:szCs w:val="21"/>
                      <w:highlight w:val="none"/>
                      <w:lang w:val="en-US" w:eastAsia="zh-CN" w:bidi="ar-SA"/>
                    </w:rPr>
                    <w:t>。</w:t>
                  </w:r>
                </w:p>
              </w:tc>
              <w:tc>
                <w:tcPr>
                  <w:tcW w:w="1431" w:type="dxa"/>
                  <w:noWrap w:val="0"/>
                  <w:vAlign w:val="center"/>
                </w:tcPr>
                <w:p w14:paraId="0D0F6290">
                  <w:pPr>
                    <w:pStyle w:val="7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是</w:t>
                  </w:r>
                </w:p>
              </w:tc>
            </w:tr>
            <w:tr w14:paraId="7B7BE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29" w:type="dxa"/>
                  <w:noWrap w:val="0"/>
                  <w:vAlign w:val="center"/>
                </w:tcPr>
                <w:p w14:paraId="5F33AA6C">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排放主要污染物的建设项目，在环境影响评价文件审批前，须取得主要污染物排放总量指标。</w:t>
                  </w:r>
                </w:p>
              </w:tc>
              <w:tc>
                <w:tcPr>
                  <w:tcW w:w="2433" w:type="dxa"/>
                  <w:noWrap w:val="0"/>
                  <w:vAlign w:val="center"/>
                </w:tcPr>
                <w:p w14:paraId="69E0B7A2">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本项目需按要求取得总量指标。</w:t>
                  </w:r>
                </w:p>
              </w:tc>
              <w:tc>
                <w:tcPr>
                  <w:tcW w:w="1431" w:type="dxa"/>
                  <w:noWrap w:val="0"/>
                  <w:vAlign w:val="center"/>
                </w:tcPr>
                <w:p w14:paraId="4DC47E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是</w:t>
                  </w:r>
                </w:p>
              </w:tc>
            </w:tr>
            <w:tr w14:paraId="6B1F9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29" w:type="dxa"/>
                  <w:noWrap w:val="0"/>
                  <w:vAlign w:val="center"/>
                </w:tcPr>
                <w:p w14:paraId="2EDD9793">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严禁在长江干流及主要支流岸线1公里范围内新建布局化工园区和化工企业。</w:t>
                  </w:r>
                </w:p>
              </w:tc>
              <w:tc>
                <w:tcPr>
                  <w:tcW w:w="2433" w:type="dxa"/>
                  <w:noWrap w:val="0"/>
                  <w:vAlign w:val="center"/>
                </w:tcPr>
                <w:p w14:paraId="726843B0">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本项目不在长江干流及主要支流岸线1公里范围内。</w:t>
                  </w:r>
                </w:p>
              </w:tc>
              <w:tc>
                <w:tcPr>
                  <w:tcW w:w="1431" w:type="dxa"/>
                  <w:noWrap w:val="0"/>
                  <w:vAlign w:val="center"/>
                </w:tcPr>
                <w:p w14:paraId="3660FE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是</w:t>
                  </w:r>
                </w:p>
              </w:tc>
            </w:tr>
            <w:tr w14:paraId="3E6A2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29" w:type="dxa"/>
                  <w:noWrap w:val="0"/>
                  <w:vAlign w:val="center"/>
                </w:tcPr>
                <w:p w14:paraId="27A0C81A">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生态保护红线原则上按禁止开发区域的要求进行管理，严禁不符合主体功能定位的各类开发活动，严禁任意改变用途。</w:t>
                  </w:r>
                </w:p>
              </w:tc>
              <w:tc>
                <w:tcPr>
                  <w:tcW w:w="2433" w:type="dxa"/>
                  <w:noWrap w:val="0"/>
                  <w:vAlign w:val="center"/>
                </w:tcPr>
                <w:p w14:paraId="1891520E">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本项目选址不在生态保护红线范围内。</w:t>
                  </w:r>
                </w:p>
              </w:tc>
              <w:tc>
                <w:tcPr>
                  <w:tcW w:w="1431" w:type="dxa"/>
                  <w:noWrap w:val="0"/>
                  <w:vAlign w:val="center"/>
                </w:tcPr>
                <w:p w14:paraId="24B39E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是</w:t>
                  </w:r>
                </w:p>
              </w:tc>
            </w:tr>
            <w:tr w14:paraId="0EEC3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29" w:type="dxa"/>
                  <w:noWrap w:val="0"/>
                  <w:vAlign w:val="center"/>
                </w:tcPr>
                <w:p w14:paraId="17B479E7">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禁止审批无法落实危险废物利用、处置途径的项目，从严审批危险废物产生量大、本地无配套利用处置能力、且需设区市统筹解决的项目。</w:t>
                  </w:r>
                </w:p>
              </w:tc>
              <w:tc>
                <w:tcPr>
                  <w:tcW w:w="2433" w:type="dxa"/>
                  <w:noWrap w:val="0"/>
                  <w:vAlign w:val="center"/>
                </w:tcPr>
                <w:p w14:paraId="5A7A4396">
                  <w:pPr>
                    <w:keepNext w:val="0"/>
                    <w:keepLines w:val="0"/>
                    <w:suppressLineNumbers w:val="0"/>
                    <w:adjustRightInd w:val="0"/>
                    <w:snapToGrid w:val="0"/>
                    <w:spacing w:before="0" w:beforeAutospacing="0" w:after="0" w:afterAutospacing="0"/>
                    <w:ind w:left="0" w:right="0"/>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本项目产生的危险废物收集后委托有资质单位处置。</w:t>
                  </w:r>
                </w:p>
              </w:tc>
              <w:tc>
                <w:tcPr>
                  <w:tcW w:w="1431" w:type="dxa"/>
                  <w:noWrap w:val="0"/>
                  <w:vAlign w:val="center"/>
                </w:tcPr>
                <w:p w14:paraId="437C06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是</w:t>
                  </w:r>
                </w:p>
              </w:tc>
            </w:tr>
          </w:tbl>
          <w:p w14:paraId="3D9BEF53">
            <w:pPr>
              <w:keepNext/>
              <w:keepLines w:val="0"/>
              <w:widowControl w:val="0"/>
              <w:suppressLineNumbers w:val="0"/>
              <w:adjustRightInd w:val="0"/>
              <w:snapToGrid w:val="0"/>
              <w:spacing w:before="0" w:beforeAutospacing="0" w:after="0" w:afterAutospacing="0" w:line="360" w:lineRule="auto"/>
              <w:ind w:left="0" w:right="0" w:firstLine="422" w:firstLineChars="200"/>
              <w:jc w:val="both"/>
              <w:outlineLvl w:val="2"/>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⑯与《省政府关于印发江苏省空气质量持续改善行动计划实施方案的通知》（苏政发〔2024〕53号）相符性分析</w:t>
            </w:r>
          </w:p>
          <w:p w14:paraId="773C609F">
            <w:pPr>
              <w:pStyle w:val="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rPr>
              <w:t>表1-</w:t>
            </w:r>
            <w:r>
              <w:rPr>
                <w:rFonts w:hint="eastAsia" w:ascii="Times New Roman" w:hAnsi="Times New Roman" w:eastAsia="宋体" w:cs="Times New Roman"/>
                <w:b/>
                <w:color w:val="auto"/>
                <w:kern w:val="0"/>
                <w:sz w:val="21"/>
                <w:szCs w:val="21"/>
                <w:lang w:val="en-US" w:eastAsia="zh-CN"/>
              </w:rPr>
              <w:t>1</w:t>
            </w:r>
            <w:r>
              <w:rPr>
                <w:rFonts w:hint="eastAsia" w:ascii="Times New Roman" w:hAnsi="Times New Roman" w:cs="Times New Roman"/>
                <w:b/>
                <w:color w:val="auto"/>
                <w:kern w:val="0"/>
                <w:sz w:val="21"/>
                <w:szCs w:val="21"/>
                <w:lang w:val="en-US" w:eastAsia="zh-CN"/>
              </w:rPr>
              <w:t xml:space="preserve">7 </w:t>
            </w:r>
            <w:r>
              <w:rPr>
                <w:rFonts w:hint="default" w:ascii="Times New Roman" w:hAnsi="Times New Roman" w:eastAsia="宋体" w:cs="Times New Roman"/>
                <w:b/>
                <w:color w:val="auto"/>
                <w:kern w:val="0"/>
                <w:sz w:val="21"/>
                <w:szCs w:val="21"/>
              </w:rPr>
              <w:t xml:space="preserve"> </w:t>
            </w:r>
            <w:r>
              <w:rPr>
                <w:rFonts w:hint="eastAsia" w:ascii="Times New Roman" w:hAnsi="Times New Roman" w:eastAsia="宋体" w:cs="Times New Roman"/>
                <w:b/>
                <w:color w:val="auto"/>
                <w:kern w:val="0"/>
                <w:sz w:val="21"/>
                <w:szCs w:val="21"/>
                <w:lang w:val="en-US" w:eastAsia="zh-CN" w:bidi="ar-SA"/>
              </w:rPr>
              <w:t>与《省政府关于印发江苏省空气质量持续改善行动计划实施方案的通知》相符性分析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129"/>
              <w:gridCol w:w="2433"/>
              <w:gridCol w:w="1431"/>
            </w:tblGrid>
            <w:tr w14:paraId="3F06F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29" w:type="dxa"/>
                  <w:noWrap w:val="0"/>
                  <w:vAlign w:val="center"/>
                </w:tcPr>
                <w:p w14:paraId="3A1406CC">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相关要求</w:t>
                  </w:r>
                </w:p>
              </w:tc>
              <w:tc>
                <w:tcPr>
                  <w:tcW w:w="2433" w:type="dxa"/>
                  <w:noWrap w:val="0"/>
                  <w:vAlign w:val="center"/>
                </w:tcPr>
                <w:p w14:paraId="06233FF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对照分析</w:t>
                  </w:r>
                </w:p>
              </w:tc>
              <w:tc>
                <w:tcPr>
                  <w:tcW w:w="1431" w:type="dxa"/>
                  <w:noWrap w:val="0"/>
                  <w:vAlign w:val="center"/>
                </w:tcPr>
                <w:p w14:paraId="198D45F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是否满足要求</w:t>
                  </w:r>
                </w:p>
              </w:tc>
            </w:tr>
            <w:tr w14:paraId="75E87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29" w:type="dxa"/>
                  <w:noWrap w:val="0"/>
                  <w:vAlign w:val="center"/>
                </w:tcPr>
                <w:p w14:paraId="63FC0027">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一）坚决遏制高耗能、高排放、低水平项目盲目上马。研究制定“两高”项目管理目录。严禁核准或备案钢铁（炼钢、炼铁）、焦化、电解铝、水泥（熟料）、平板玻璃（不含光伏压延玻璃）和炼化（纳入国家产业规划除外）等行业新增产能的项目。到2025年，短流程炼钢产量占比力争达20%以上。</w:t>
                  </w:r>
                </w:p>
              </w:tc>
              <w:tc>
                <w:tcPr>
                  <w:tcW w:w="2433" w:type="dxa"/>
                  <w:noWrap w:val="0"/>
                  <w:vAlign w:val="center"/>
                </w:tcPr>
                <w:p w14:paraId="4319BBB2">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本项目不属于上述</w:t>
                  </w:r>
                  <w:r>
                    <w:rPr>
                      <w:rFonts w:hint="default" w:ascii="Times New Roman" w:hAnsi="Times New Roman" w:eastAsia="仿宋" w:cs="Times New Roman"/>
                      <w:color w:val="auto"/>
                      <w:kern w:val="2"/>
                      <w:sz w:val="21"/>
                      <w:szCs w:val="21"/>
                      <w:highlight w:val="none"/>
                      <w:lang w:val="en-US" w:eastAsia="zh-CN" w:bidi="ar-SA"/>
                    </w:rPr>
                    <w:t>高耗能、高排放、低水平项目</w:t>
                  </w:r>
                  <w:r>
                    <w:rPr>
                      <w:rFonts w:hint="eastAsia" w:eastAsia="仿宋" w:cs="Times New Roman"/>
                      <w:color w:val="auto"/>
                      <w:kern w:val="2"/>
                      <w:sz w:val="21"/>
                      <w:szCs w:val="21"/>
                      <w:highlight w:val="none"/>
                      <w:lang w:val="en-US" w:eastAsia="zh-CN" w:bidi="ar-SA"/>
                    </w:rPr>
                    <w:t>。</w:t>
                  </w:r>
                </w:p>
              </w:tc>
              <w:tc>
                <w:tcPr>
                  <w:tcW w:w="1431" w:type="dxa"/>
                  <w:noWrap w:val="0"/>
                  <w:vAlign w:val="center"/>
                </w:tcPr>
                <w:p w14:paraId="6FE5BDE0">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eastAsia="zh-CN"/>
                    </w:rPr>
                  </w:pPr>
                  <w:r>
                    <w:rPr>
                      <w:rFonts w:hint="eastAsia" w:eastAsia="仿宋" w:cs="Times New Roman"/>
                      <w:color w:val="auto"/>
                      <w:sz w:val="21"/>
                      <w:szCs w:val="21"/>
                      <w:highlight w:val="none"/>
                      <w:lang w:eastAsia="zh-CN"/>
                    </w:rPr>
                    <w:t>是</w:t>
                  </w:r>
                </w:p>
              </w:tc>
            </w:tr>
            <w:tr w14:paraId="07AAC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29" w:type="dxa"/>
                  <w:noWrap w:val="0"/>
                  <w:vAlign w:val="center"/>
                </w:tcPr>
                <w:p w14:paraId="1A4368DC">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tc>
              <w:tc>
                <w:tcPr>
                  <w:tcW w:w="2433" w:type="dxa"/>
                  <w:noWrap w:val="0"/>
                  <w:vAlign w:val="center"/>
                </w:tcPr>
                <w:p w14:paraId="2B130044">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本项目不属于</w:t>
                  </w:r>
                  <w:r>
                    <w:rPr>
                      <w:rFonts w:hint="default" w:ascii="Times New Roman" w:hAnsi="Times New Roman" w:eastAsia="仿宋" w:cs="Times New Roman"/>
                      <w:color w:val="auto"/>
                      <w:kern w:val="2"/>
                      <w:sz w:val="21"/>
                      <w:szCs w:val="21"/>
                      <w:highlight w:val="none"/>
                      <w:lang w:val="en-US" w:eastAsia="zh-CN" w:bidi="ar-SA"/>
                    </w:rPr>
                    <w:t>工业涂装、包装印刷和电子行业</w:t>
                  </w:r>
                  <w:r>
                    <w:rPr>
                      <w:rFonts w:hint="eastAsia" w:eastAsia="仿宋" w:cs="Times New Roman"/>
                      <w:color w:val="auto"/>
                      <w:kern w:val="2"/>
                      <w:sz w:val="21"/>
                      <w:szCs w:val="21"/>
                      <w:highlight w:val="none"/>
                      <w:lang w:val="en-US" w:eastAsia="zh-CN" w:bidi="ar-SA"/>
                    </w:rPr>
                    <w:t>，拟使用的胶粘剂满足《胶粘剂挥发性有机化合物限量》（GB 33372-2020）中挥发性有机物含量的相关限值要求。</w:t>
                  </w:r>
                </w:p>
              </w:tc>
              <w:tc>
                <w:tcPr>
                  <w:tcW w:w="1431" w:type="dxa"/>
                  <w:noWrap w:val="0"/>
                  <w:vAlign w:val="center"/>
                </w:tcPr>
                <w:p w14:paraId="60456C3E">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eastAsia="zh-CN"/>
                    </w:rPr>
                  </w:pPr>
                  <w:r>
                    <w:rPr>
                      <w:rFonts w:hint="eastAsia" w:eastAsia="仿宋" w:cs="Times New Roman"/>
                      <w:color w:val="auto"/>
                      <w:sz w:val="21"/>
                      <w:szCs w:val="21"/>
                      <w:highlight w:val="none"/>
                      <w:lang w:eastAsia="zh-CN"/>
                    </w:rPr>
                    <w:t>是</w:t>
                  </w:r>
                </w:p>
              </w:tc>
            </w:tr>
          </w:tbl>
          <w:p w14:paraId="05ED6138">
            <w:pPr>
              <w:keepNext/>
              <w:keepLines w:val="0"/>
              <w:widowControl w:val="0"/>
              <w:suppressLineNumbers w:val="0"/>
              <w:adjustRightInd w:val="0"/>
              <w:snapToGrid w:val="0"/>
              <w:spacing w:before="0" w:beforeAutospacing="0" w:after="0" w:afterAutospacing="0" w:line="360" w:lineRule="auto"/>
              <w:ind w:left="0" w:right="0" w:firstLine="422" w:firstLineChars="200"/>
              <w:jc w:val="both"/>
              <w:outlineLvl w:val="2"/>
              <w:rPr>
                <w:rFonts w:hint="default"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⑰与《常州市国土空间总体规划（2021-2035年）》（国函〔2025〕9号）</w:t>
            </w:r>
            <w:r>
              <w:rPr>
                <w:rFonts w:hint="eastAsia" w:ascii="Times New Roman" w:hAnsi="Times New Roman" w:eastAsia="宋体" w:cs="Times New Roman"/>
                <w:b/>
                <w:color w:val="auto"/>
                <w:kern w:val="0"/>
                <w:sz w:val="21"/>
                <w:szCs w:val="21"/>
                <w:highlight w:val="none"/>
                <w:lang w:val="en-US" w:eastAsia="zh-CN" w:bidi="ar-SA"/>
              </w:rPr>
              <w:t>的</w:t>
            </w:r>
            <w:r>
              <w:rPr>
                <w:rFonts w:hint="default" w:ascii="Times New Roman" w:hAnsi="Times New Roman" w:eastAsia="宋体" w:cs="Times New Roman"/>
                <w:b/>
                <w:color w:val="auto"/>
                <w:kern w:val="0"/>
                <w:sz w:val="21"/>
                <w:szCs w:val="21"/>
                <w:highlight w:val="none"/>
                <w:lang w:val="en-US" w:eastAsia="zh-CN" w:bidi="ar-SA"/>
              </w:rPr>
              <w:t>对照分析</w:t>
            </w:r>
          </w:p>
          <w:p w14:paraId="52BF3A85">
            <w:pPr>
              <w:keepNext/>
              <w:keepLines w:val="0"/>
              <w:widowControl w:val="0"/>
              <w:suppressLineNumbers w:val="0"/>
              <w:adjustRightInd w:val="0"/>
              <w:snapToGrid w:val="0"/>
              <w:spacing w:before="0" w:beforeAutospacing="0" w:after="0" w:afterAutospacing="0" w:line="360" w:lineRule="auto"/>
              <w:ind w:left="0" w:right="0" w:firstLine="420" w:firstLineChars="200"/>
              <w:jc w:val="both"/>
              <w:outlineLvl w:val="2"/>
              <w:rPr>
                <w:rFonts w:hint="eastAsia"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对照《常州市国土空间总体规划（2021-2035年）》（国函〔2025〕9号）相关内容：</w:t>
            </w:r>
          </w:p>
          <w:p w14:paraId="3B4476A9">
            <w:pPr>
              <w:keepNext/>
              <w:keepLines w:val="0"/>
              <w:widowControl w:val="0"/>
              <w:suppressLineNumbers w:val="0"/>
              <w:adjustRightInd w:val="0"/>
              <w:snapToGrid w:val="0"/>
              <w:spacing w:before="0" w:beforeAutospacing="0" w:after="0" w:afterAutospacing="0" w:line="360" w:lineRule="auto"/>
              <w:ind w:left="0" w:right="0" w:firstLine="420" w:firstLineChars="200"/>
              <w:jc w:val="both"/>
              <w:outlineLvl w:val="2"/>
              <w:rPr>
                <w:rFonts w:hint="eastAsia"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“市域城镇空间结构：一主一区、一极三轴。</w:t>
            </w:r>
          </w:p>
          <w:p w14:paraId="58BB754C">
            <w:pPr>
              <w:keepNext/>
              <w:keepLines w:val="0"/>
              <w:widowControl w:val="0"/>
              <w:suppressLineNumbers w:val="0"/>
              <w:adjustRightInd w:val="0"/>
              <w:snapToGrid w:val="0"/>
              <w:spacing w:before="0" w:beforeAutospacing="0" w:after="0" w:afterAutospacing="0" w:line="360" w:lineRule="auto"/>
              <w:ind w:left="0" w:right="0" w:firstLine="420" w:firstLineChars="200"/>
              <w:jc w:val="both"/>
              <w:outlineLvl w:val="2"/>
              <w:rPr>
                <w:rFonts w:hint="eastAsia"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一主：常州中心城区。包括金坛、武进、新北、天宁、钟楼、常州金坛区的集中建设区，是常州政治经济文化中心，城市综合服务职能的主要承载地区。</w:t>
            </w:r>
          </w:p>
          <w:p w14:paraId="258700A2">
            <w:pPr>
              <w:keepNext/>
              <w:keepLines w:val="0"/>
              <w:widowControl w:val="0"/>
              <w:suppressLineNumbers w:val="0"/>
              <w:adjustRightInd w:val="0"/>
              <w:snapToGrid w:val="0"/>
              <w:spacing w:before="0" w:beforeAutospacing="0" w:after="0" w:afterAutospacing="0" w:line="360" w:lineRule="auto"/>
              <w:ind w:left="0" w:right="0" w:firstLine="420" w:firstLineChars="200"/>
              <w:jc w:val="both"/>
              <w:outlineLvl w:val="2"/>
              <w:rPr>
                <w:rFonts w:hint="eastAsia"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一区：两湖创新区。位于滆湖与长荡湖之间，依托优质生态资源，坚持创新核心地位。培育长三角有特色有影响力的高品质区域创新中心。</w:t>
            </w:r>
          </w:p>
          <w:p w14:paraId="34B3D0A4">
            <w:pPr>
              <w:keepNext/>
              <w:keepLines w:val="0"/>
              <w:widowControl w:val="0"/>
              <w:suppressLineNumbers w:val="0"/>
              <w:adjustRightInd w:val="0"/>
              <w:snapToGrid w:val="0"/>
              <w:spacing w:before="0" w:beforeAutospacing="0" w:after="0" w:afterAutospacing="0" w:line="360" w:lineRule="auto"/>
              <w:ind w:left="0" w:right="0" w:firstLine="420" w:firstLineChars="200"/>
              <w:jc w:val="both"/>
              <w:outlineLvl w:val="2"/>
              <w:rPr>
                <w:rFonts w:hint="eastAsia"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一极：溧阳发展极。国家两山理论实践与城乡融合发展样板区，长三角生态康养休闲目的地，沪苏浙皖创新动能交汇枢纽，宁杭生态经济带美丽宜居公园城市。</w:t>
            </w:r>
          </w:p>
          <w:p w14:paraId="7A8933AF">
            <w:pPr>
              <w:keepNext/>
              <w:keepLines w:val="0"/>
              <w:widowControl w:val="0"/>
              <w:suppressLineNumbers w:val="0"/>
              <w:adjustRightInd w:val="0"/>
              <w:snapToGrid w:val="0"/>
              <w:spacing w:before="0" w:beforeAutospacing="0" w:after="0" w:afterAutospacing="0" w:line="360" w:lineRule="auto"/>
              <w:ind w:left="0" w:right="0" w:firstLine="420" w:firstLineChars="200"/>
              <w:jc w:val="both"/>
              <w:outlineLvl w:val="2"/>
              <w:rPr>
                <w:rFonts w:hint="eastAsia"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三轴：</w:t>
            </w:r>
          </w:p>
          <w:p w14:paraId="001184A6">
            <w:pPr>
              <w:keepNext/>
              <w:keepLines w:val="0"/>
              <w:widowControl w:val="0"/>
              <w:suppressLineNumbers w:val="0"/>
              <w:adjustRightInd w:val="0"/>
              <w:snapToGrid w:val="0"/>
              <w:spacing w:before="0" w:beforeAutospacing="0" w:after="0" w:afterAutospacing="0" w:line="360" w:lineRule="auto"/>
              <w:ind w:left="0" w:right="0" w:firstLine="420" w:firstLineChars="200"/>
              <w:jc w:val="both"/>
              <w:outlineLvl w:val="2"/>
              <w:rPr>
                <w:rFonts w:hint="eastAsia"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长三角中轴：是常州城市发展的交通中轴、创新中轴、产业中轴、生态中轴、文旅中轴，以长三角中轴引领城市地位和能级提升，打造长三角中轴枢纽。包括：（东西向）长三角中轴：是融合沪宁城市发展带、大运河文化带形成的复合轴；衔接上海、南京都市圈，深化常金同城发展，完善城市功能，提升科创能力。（南北向）长三角中轴：是联系北京、杭州和支撑江苏跨江融合发展的主要通道，也是强化城市功能复合发展的主要轴线；推进交通廊道建设，培育区域功能高地，提升城市能级。</w:t>
            </w:r>
          </w:p>
          <w:p w14:paraId="4BCDC64B">
            <w:pPr>
              <w:keepNext/>
              <w:keepLines w:val="0"/>
              <w:widowControl w:val="0"/>
              <w:suppressLineNumbers w:val="0"/>
              <w:adjustRightInd w:val="0"/>
              <w:snapToGrid w:val="0"/>
              <w:spacing w:before="0" w:beforeAutospacing="0" w:after="0" w:afterAutospacing="0" w:line="360" w:lineRule="auto"/>
              <w:ind w:left="0" w:right="0" w:firstLine="420" w:firstLineChars="200"/>
              <w:jc w:val="both"/>
              <w:outlineLvl w:val="2"/>
              <w:rPr>
                <w:rFonts w:hint="eastAsia"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生态创新轴：常金溧生态创新走廊；高品质生态空间和创新空间的集聚轴带；进一步集聚高等级创新资源和创新平台。</w:t>
            </w:r>
          </w:p>
          <w:p w14:paraId="3063193F">
            <w:pPr>
              <w:keepNext/>
              <w:keepLines w:val="0"/>
              <w:widowControl w:val="0"/>
              <w:suppressLineNumbers w:val="0"/>
              <w:adjustRightInd w:val="0"/>
              <w:snapToGrid w:val="0"/>
              <w:spacing w:before="0" w:beforeAutospacing="0" w:after="0" w:afterAutospacing="0" w:line="360" w:lineRule="auto"/>
              <w:ind w:left="0" w:right="0" w:firstLine="420" w:firstLineChars="200"/>
              <w:jc w:val="both"/>
              <w:outlineLvl w:val="2"/>
              <w:rPr>
                <w:rFonts w:hint="eastAsia"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国土空间规划分区：</w:t>
            </w:r>
          </w:p>
          <w:p w14:paraId="74EFF802">
            <w:pPr>
              <w:keepNext/>
              <w:keepLines w:val="0"/>
              <w:widowControl w:val="0"/>
              <w:suppressLineNumbers w:val="0"/>
              <w:adjustRightInd w:val="0"/>
              <w:snapToGrid w:val="0"/>
              <w:spacing w:before="0" w:beforeAutospacing="0" w:after="0" w:afterAutospacing="0" w:line="360" w:lineRule="auto"/>
              <w:ind w:left="0" w:right="0" w:firstLine="420" w:firstLineChars="200"/>
              <w:jc w:val="both"/>
              <w:outlineLvl w:val="2"/>
              <w:rPr>
                <w:rFonts w:hint="default"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生态保护红线区346.11平方公里，占市域面积的7.9%。永久基本农田保护区2095.03平方公里（暂定），占市域面积的47.9%，城镇发展区1293.10平方公里（暂定），占市域面积的29.6%，乡村发展区637.76平方公里，占市域面积的14.6%。”</w:t>
            </w:r>
          </w:p>
          <w:p w14:paraId="1FF0F4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经对照，</w:t>
            </w:r>
            <w:r>
              <w:rPr>
                <w:rFonts w:hint="default" w:ascii="Times New Roman" w:hAnsi="Times New Roman" w:eastAsia="宋体" w:cs="Times New Roman"/>
                <w:b w:val="0"/>
                <w:bCs/>
                <w:color w:val="auto"/>
                <w:kern w:val="0"/>
                <w:sz w:val="21"/>
                <w:szCs w:val="21"/>
                <w:highlight w:val="none"/>
                <w:lang w:val="en-US" w:eastAsia="zh-CN" w:bidi="ar-SA"/>
              </w:rPr>
              <w:t>项目</w:t>
            </w:r>
            <w:r>
              <w:rPr>
                <w:rFonts w:hint="eastAsia" w:cs="Times New Roman"/>
                <w:b w:val="0"/>
                <w:bCs/>
                <w:color w:val="auto"/>
                <w:kern w:val="0"/>
                <w:sz w:val="21"/>
                <w:szCs w:val="21"/>
                <w:highlight w:val="none"/>
                <w:lang w:val="en-US" w:eastAsia="zh-CN" w:bidi="ar-SA"/>
              </w:rPr>
              <w:t>所在地位于</w:t>
            </w:r>
            <w:r>
              <w:rPr>
                <w:rFonts w:hint="default" w:ascii="Times New Roman" w:hAnsi="Times New Roman" w:eastAsia="宋体" w:cs="Times New Roman"/>
                <w:b w:val="0"/>
                <w:bCs/>
                <w:color w:val="auto"/>
                <w:kern w:val="0"/>
                <w:sz w:val="21"/>
                <w:szCs w:val="21"/>
                <w:highlight w:val="none"/>
                <w:lang w:val="en-US" w:eastAsia="zh-CN" w:bidi="ar-SA"/>
              </w:rPr>
              <w:t>城镇开发边界内，不在规划永久基本农田及一般农</w:t>
            </w:r>
            <w:r>
              <w:rPr>
                <w:rFonts w:hint="eastAsia" w:cs="Times New Roman"/>
                <w:b w:val="0"/>
                <w:bCs/>
                <w:color w:val="auto"/>
                <w:kern w:val="0"/>
                <w:sz w:val="21"/>
                <w:szCs w:val="21"/>
                <w:highlight w:val="none"/>
                <w:lang w:val="en-US" w:eastAsia="zh-CN" w:bidi="ar-SA"/>
              </w:rPr>
              <w:t>林</w:t>
            </w:r>
            <w:r>
              <w:rPr>
                <w:rFonts w:hint="default" w:ascii="Times New Roman" w:hAnsi="Times New Roman" w:eastAsia="宋体" w:cs="Times New Roman"/>
                <w:b w:val="0"/>
                <w:bCs/>
                <w:color w:val="auto"/>
                <w:kern w:val="0"/>
                <w:sz w:val="21"/>
                <w:szCs w:val="21"/>
                <w:highlight w:val="none"/>
                <w:lang w:val="en-US" w:eastAsia="zh-CN" w:bidi="ar-SA"/>
              </w:rPr>
              <w:t>地区范围内，不占用农业用地；</w:t>
            </w:r>
            <w:r>
              <w:rPr>
                <w:rFonts w:hint="eastAsia" w:cs="Times New Roman"/>
                <w:b w:val="0"/>
                <w:bCs/>
                <w:color w:val="auto"/>
                <w:kern w:val="0"/>
                <w:sz w:val="21"/>
                <w:szCs w:val="21"/>
                <w:highlight w:val="none"/>
                <w:lang w:val="en-US" w:eastAsia="zh-CN" w:bidi="ar-SA"/>
              </w:rPr>
              <w:t>与</w:t>
            </w:r>
            <w:r>
              <w:rPr>
                <w:rFonts w:hint="default" w:ascii="Times New Roman" w:hAnsi="Times New Roman" w:eastAsia="宋体" w:cs="Times New Roman"/>
                <w:b w:val="0"/>
                <w:bCs/>
                <w:color w:val="auto"/>
                <w:kern w:val="0"/>
                <w:sz w:val="21"/>
                <w:szCs w:val="21"/>
                <w:highlight w:val="none"/>
                <w:lang w:val="en-US" w:eastAsia="zh-CN" w:bidi="ar-SA"/>
              </w:rPr>
              <w:t>国家级生态保护红线范围及江苏省生态空间管控区域范围均无交集，不涉及金坛区内的生态红线区域；未超出城镇开发边界，位于城镇空间内</w:t>
            </w:r>
            <w:r>
              <w:rPr>
                <w:rFonts w:hint="eastAsia" w:cs="Times New Roman"/>
                <w:b w:val="0"/>
                <w:bCs/>
                <w:color w:val="auto"/>
                <w:kern w:val="0"/>
                <w:sz w:val="21"/>
                <w:szCs w:val="21"/>
                <w:highlight w:val="none"/>
                <w:lang w:val="en-US" w:eastAsia="zh-CN" w:bidi="ar-SA"/>
              </w:rPr>
              <w:t>，</w:t>
            </w:r>
            <w:r>
              <w:rPr>
                <w:rFonts w:hint="default" w:ascii="Times New Roman" w:hAnsi="Times New Roman" w:eastAsia="宋体" w:cs="Times New Roman"/>
                <w:b w:val="0"/>
                <w:bCs/>
                <w:color w:val="auto"/>
                <w:kern w:val="0"/>
                <w:sz w:val="21"/>
                <w:szCs w:val="21"/>
                <w:highlight w:val="none"/>
                <w:lang w:val="en-US" w:eastAsia="zh-CN" w:bidi="ar-SA"/>
              </w:rPr>
              <w:t>故选址合理</w:t>
            </w:r>
            <w:r>
              <w:rPr>
                <w:rFonts w:hint="eastAsia" w:cs="Times New Roman"/>
                <w:b w:val="0"/>
                <w:bCs/>
                <w:color w:val="auto"/>
                <w:kern w:val="0"/>
                <w:sz w:val="21"/>
                <w:szCs w:val="21"/>
                <w:highlight w:val="none"/>
                <w:lang w:val="en-US" w:eastAsia="zh-CN" w:bidi="ar-SA"/>
              </w:rPr>
              <w:t>，</w:t>
            </w:r>
            <w:r>
              <w:rPr>
                <w:rFonts w:hint="default" w:ascii="Times New Roman" w:hAnsi="Times New Roman" w:eastAsia="宋体" w:cs="Times New Roman"/>
                <w:color w:val="auto"/>
                <w:highlight w:val="none"/>
                <w:lang w:val="en-US" w:eastAsia="zh-CN"/>
              </w:rPr>
              <w:t>与</w:t>
            </w:r>
            <w:r>
              <w:rPr>
                <w:rFonts w:hint="eastAsia" w:cs="Times New Roman"/>
                <w:b w:val="0"/>
                <w:bCs/>
                <w:color w:val="auto"/>
                <w:kern w:val="0"/>
                <w:sz w:val="21"/>
                <w:szCs w:val="21"/>
                <w:highlight w:val="none"/>
                <w:lang w:val="en-US" w:eastAsia="zh-CN" w:bidi="ar-SA"/>
              </w:rPr>
              <w:t>《常州市国土空间总体规划（2021-2035年）》（国函〔2025〕9号）</w:t>
            </w:r>
            <w:r>
              <w:rPr>
                <w:rFonts w:hint="default" w:ascii="Times New Roman" w:hAnsi="Times New Roman" w:eastAsia="宋体" w:cs="Times New Roman"/>
                <w:color w:val="auto"/>
                <w:highlight w:val="none"/>
                <w:lang w:val="en-US" w:eastAsia="zh-CN"/>
              </w:rPr>
              <w:t>要求相符</w:t>
            </w:r>
            <w:r>
              <w:rPr>
                <w:rFonts w:hint="default" w:ascii="Times New Roman" w:hAnsi="Times New Roman" w:eastAsia="宋体" w:cs="Times New Roman"/>
                <w:b w:val="0"/>
                <w:bCs/>
                <w:color w:val="auto"/>
                <w:kern w:val="0"/>
                <w:sz w:val="21"/>
                <w:szCs w:val="21"/>
                <w:highlight w:val="none"/>
                <w:lang w:val="en-US" w:eastAsia="zh-CN" w:bidi="ar-SA"/>
              </w:rPr>
              <w:t>。</w:t>
            </w:r>
          </w:p>
          <w:p w14:paraId="48949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val="0"/>
                <w:color w:val="auto"/>
                <w:lang w:val="en-US" w:eastAsia="zh-CN"/>
              </w:rPr>
              <w:t>综上所述，本项目符合国家及地方相关</w:t>
            </w:r>
            <w:r>
              <w:rPr>
                <w:rFonts w:hint="eastAsia" w:ascii="Times New Roman" w:hAnsi="Times New Roman" w:eastAsia="宋体" w:cs="Times New Roman"/>
                <w:b w:val="0"/>
                <w:bCs w:val="0"/>
                <w:color w:val="auto"/>
                <w:lang w:val="en-US" w:eastAsia="zh-CN"/>
              </w:rPr>
              <w:t>环保</w:t>
            </w:r>
            <w:r>
              <w:rPr>
                <w:rFonts w:hint="default" w:ascii="Times New Roman" w:hAnsi="Times New Roman" w:eastAsia="宋体" w:cs="Times New Roman"/>
                <w:b w:val="0"/>
                <w:bCs w:val="0"/>
                <w:color w:val="auto"/>
                <w:lang w:val="en-US" w:eastAsia="zh-CN"/>
              </w:rPr>
              <w:t>政策及法律法规要求。</w:t>
            </w:r>
          </w:p>
          <w:p w14:paraId="3E086B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黑体" w:cs="Times New Roman"/>
                <w:color w:val="auto"/>
                <w:vertAlign w:val="baseline"/>
              </w:rPr>
            </w:pPr>
          </w:p>
        </w:tc>
      </w:tr>
    </w:tbl>
    <w:p w14:paraId="563EB2B5">
      <w:pPr>
        <w:pStyle w:val="13"/>
        <w:widowControl w:val="0"/>
        <w:numPr>
          <w:ilvl w:val="0"/>
          <w:numId w:val="0"/>
        </w:numPr>
        <w:jc w:val="both"/>
        <w:rPr>
          <w:rFonts w:hint="default" w:ascii="Times New Roman" w:hAnsi="Times New Roman" w:eastAsia="黑体" w:cs="Times New Roman"/>
          <w:color w:val="auto"/>
          <w:sz w:val="30"/>
        </w:rPr>
        <w:sectPr>
          <w:pgSz w:w="11906" w:h="16838"/>
          <w:pgMar w:top="1191" w:right="1400" w:bottom="1417" w:left="1088"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p w14:paraId="27BA56FF">
      <w:pPr>
        <w:pStyle w:val="22"/>
        <w:keepNext w:val="0"/>
        <w:keepLines w:val="0"/>
        <w:pageBreakBefore w:val="0"/>
        <w:widowControl/>
        <w:kinsoku/>
        <w:wordWrap/>
        <w:overflowPunct/>
        <w:topLinePunct w:val="0"/>
        <w:autoSpaceDE/>
        <w:autoSpaceDN/>
        <w:bidi w:val="0"/>
        <w:adjustRightInd/>
        <w:snapToGrid/>
        <w:spacing w:beforeLines="50" w:beforeAutospacing="0" w:afterLines="50" w:afterAutospacing="0"/>
        <w:jc w:val="center"/>
        <w:textAlignment w:val="auto"/>
        <w:outlineLvl w:val="0"/>
        <w:rPr>
          <w:rFonts w:hint="default" w:ascii="Times New Roman" w:hAnsi="Times New Roman" w:eastAsia="黑体" w:cs="Times New Roman"/>
          <w:snapToGrid w:val="0"/>
          <w:color w:val="auto"/>
          <w:sz w:val="30"/>
          <w:szCs w:val="30"/>
          <w:lang w:val="en-US" w:eastAsia="zh-CN"/>
        </w:rPr>
      </w:pPr>
      <w:bookmarkStart w:id="3" w:name="_Toc18445"/>
      <w:bookmarkStart w:id="4" w:name="_Toc24010"/>
      <w:r>
        <w:rPr>
          <w:rFonts w:hint="default" w:ascii="Times New Roman" w:hAnsi="Times New Roman" w:eastAsia="黑体" w:cs="Times New Roman"/>
          <w:snapToGrid w:val="0"/>
          <w:color w:val="auto"/>
          <w:sz w:val="30"/>
          <w:szCs w:val="30"/>
        </w:rPr>
        <w:t>二、建设项目工程分</w:t>
      </w:r>
      <w:r>
        <w:rPr>
          <w:rFonts w:hint="default" w:ascii="Times New Roman" w:hAnsi="Times New Roman" w:eastAsia="黑体" w:cs="Times New Roman"/>
          <w:snapToGrid w:val="0"/>
          <w:color w:val="auto"/>
          <w:sz w:val="30"/>
          <w:szCs w:val="30"/>
          <w:lang w:val="en-US" w:eastAsia="zh-CN"/>
        </w:rPr>
        <w:t>析</w:t>
      </w:r>
      <w:bookmarkEnd w:id="3"/>
      <w:bookmarkEnd w:id="4"/>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198"/>
      </w:tblGrid>
      <w:tr w14:paraId="0E46A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7" w:hRule="atLeast"/>
          <w:jc w:val="center"/>
        </w:trPr>
        <w:tc>
          <w:tcPr>
            <w:tcW w:w="426" w:type="dxa"/>
            <w:noWrap w:val="0"/>
            <w:vAlign w:val="center"/>
          </w:tcPr>
          <w:p w14:paraId="0CBD5310">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4"/>
              </w:rPr>
            </w:pPr>
            <w:r>
              <w:rPr>
                <w:rFonts w:hint="default" w:ascii="Times New Roman" w:hAnsi="Times New Roman" w:cs="Times New Roman"/>
                <w:b w:val="0"/>
                <w:bCs w:val="0"/>
                <w:color w:val="auto"/>
                <w:sz w:val="21"/>
                <w:szCs w:val="21"/>
              </w:rPr>
              <w:t>建设内容</w:t>
            </w:r>
          </w:p>
        </w:tc>
        <w:tc>
          <w:tcPr>
            <w:tcW w:w="9198" w:type="dxa"/>
            <w:noWrap w:val="0"/>
            <w:vAlign w:val="top"/>
          </w:tcPr>
          <w:p w14:paraId="055C0F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1、项目概况</w:t>
            </w:r>
          </w:p>
          <w:p w14:paraId="2A6236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bookmarkStart w:id="25" w:name="_GoBack"/>
            <w:r>
              <w:rPr>
                <w:rFonts w:hint="eastAsia" w:cs="Times New Roman"/>
                <w:b w:val="0"/>
                <w:bCs w:val="0"/>
                <w:color w:val="auto"/>
                <w:lang w:val="en-US" w:eastAsia="zh-CN"/>
              </w:rPr>
              <w:t>江苏金轮辊业有限公司</w:t>
            </w:r>
            <w:bookmarkEnd w:id="25"/>
            <w:r>
              <w:rPr>
                <w:rFonts w:hint="default" w:ascii="Times New Roman" w:hAnsi="Times New Roman" w:eastAsia="宋体" w:cs="Times New Roman"/>
                <w:b w:val="0"/>
                <w:bCs w:val="0"/>
                <w:color w:val="auto"/>
                <w:lang w:val="en-US" w:eastAsia="zh-CN"/>
              </w:rPr>
              <w:t>（以下简称</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公司</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）于</w:t>
            </w:r>
            <w:r>
              <w:rPr>
                <w:rFonts w:hint="eastAsia" w:cs="Times New Roman"/>
                <w:b w:val="0"/>
                <w:bCs w:val="0"/>
                <w:color w:val="auto"/>
                <w:lang w:val="en-US" w:eastAsia="zh-CN"/>
              </w:rPr>
              <w:t>2024年12月26日</w:t>
            </w:r>
            <w:r>
              <w:rPr>
                <w:rFonts w:hint="eastAsia" w:ascii="Times New Roman" w:hAnsi="Times New Roman" w:eastAsia="宋体" w:cs="Times New Roman"/>
                <w:b w:val="0"/>
                <w:bCs w:val="0"/>
                <w:color w:val="auto"/>
                <w:lang w:val="en-US" w:eastAsia="zh-CN"/>
              </w:rPr>
              <w:t>注册成立</w:t>
            </w:r>
            <w:r>
              <w:rPr>
                <w:rFonts w:hint="default" w:ascii="Times New Roman" w:hAnsi="Times New Roman" w:eastAsia="宋体" w:cs="Times New Roman"/>
                <w:b w:val="0"/>
                <w:bCs w:val="0"/>
                <w:color w:val="auto"/>
                <w:lang w:val="en-US" w:eastAsia="zh-CN"/>
              </w:rPr>
              <w:t>，注册</w:t>
            </w:r>
            <w:r>
              <w:rPr>
                <w:rFonts w:hint="eastAsia" w:cs="Times New Roman"/>
                <w:b w:val="0"/>
                <w:bCs w:val="0"/>
                <w:color w:val="auto"/>
                <w:lang w:val="en-US" w:eastAsia="zh-CN"/>
              </w:rPr>
              <w:t>资本：1000万元，经营范围包括一般项目：橡胶加工专用设备制造；橡胶制品制造；通用设备制造（不含特种设备制造）；橡胶制品销售；橡胶加工专用设备销售；机械设备销售（除依法须经批准的项目外，凭营业执照依法自主开展经营活动）。</w:t>
            </w:r>
          </w:p>
          <w:p w14:paraId="71DFC8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b w:val="0"/>
                <w:bCs w:val="0"/>
                <w:color w:val="auto"/>
                <w:lang w:val="en-US" w:eastAsia="zh-CN"/>
              </w:rPr>
            </w:pPr>
            <w:r>
              <w:rPr>
                <w:rFonts w:hint="default" w:cs="Times New Roman"/>
                <w:b w:val="0"/>
                <w:bCs w:val="0"/>
                <w:color w:val="auto"/>
                <w:lang w:val="en-US" w:eastAsia="zh-CN"/>
              </w:rPr>
              <w:t>因市场及公司自身发展需求，</w:t>
            </w:r>
            <w:r>
              <w:rPr>
                <w:rFonts w:hint="eastAsia" w:cs="Times New Roman"/>
                <w:b w:val="0"/>
                <w:bCs w:val="0"/>
                <w:color w:val="auto"/>
                <w:lang w:val="en-US" w:eastAsia="zh-CN"/>
              </w:rPr>
              <w:t>本项目拟租赁常州金坛金岗机械制造有限公司现有生产厂房新建年产2800万套辊轮项目。</w:t>
            </w:r>
          </w:p>
          <w:p w14:paraId="3D5CE5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对照《国民经济行业分类注释》，本项目</w:t>
            </w:r>
            <w:r>
              <w:rPr>
                <w:rFonts w:hint="eastAsia" w:ascii="Times New Roman" w:hAnsi="Times New Roman" w:eastAsia="宋体" w:cs="Times New Roman"/>
                <w:b w:val="0"/>
                <w:bCs w:val="0"/>
                <w:color w:val="auto"/>
                <w:lang w:val="en-US" w:eastAsia="zh-CN"/>
              </w:rPr>
              <w:t>属于C2913橡胶零件制造。</w:t>
            </w:r>
            <w:r>
              <w:rPr>
                <w:rFonts w:hint="default" w:ascii="Times New Roman" w:hAnsi="Times New Roman" w:eastAsia="宋体" w:cs="Times New Roman"/>
                <w:b w:val="0"/>
                <w:bCs w:val="0"/>
                <w:color w:val="auto"/>
                <w:lang w:val="en-US" w:eastAsia="zh-CN"/>
              </w:rPr>
              <w:t>对照《建设项目环境影响评价分类管理名录》</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2021年版</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w:t>
            </w:r>
            <w:r>
              <w:rPr>
                <w:rFonts w:hint="eastAsia" w:ascii="Times New Roman" w:hAnsi="Times New Roman" w:eastAsia="宋体" w:cs="Times New Roman"/>
                <w:b w:val="0"/>
                <w:bCs w:val="0"/>
                <w:color w:val="auto"/>
                <w:lang w:val="en-US" w:eastAsia="zh-CN"/>
              </w:rPr>
              <w:t>本项目属于“二十六、橡胶和塑料制品业 29中橡胶制品业 291</w:t>
            </w:r>
            <w:r>
              <w:rPr>
                <w:rFonts w:hint="default" w:ascii="Times New Roman" w:hAnsi="Times New Roman" w:eastAsia="宋体" w:cs="Times New Roman"/>
                <w:b w:val="0"/>
                <w:bCs w:val="0"/>
                <w:color w:val="auto"/>
                <w:lang w:val="en-US" w:eastAsia="zh-CN"/>
              </w:rPr>
              <w:t>，其他</w:t>
            </w:r>
            <w:r>
              <w:rPr>
                <w:rFonts w:hint="eastAsia" w:ascii="Times New Roman" w:hAnsi="Times New Roman" w:eastAsia="宋体" w:cs="Times New Roman"/>
                <w:b w:val="0"/>
                <w:bCs w:val="0"/>
                <w:color w:val="auto"/>
                <w:lang w:val="en-US" w:eastAsia="zh-CN"/>
              </w:rPr>
              <w:t>”。因此，本项目应当编制环境影响报告表。</w:t>
            </w:r>
          </w:p>
          <w:p w14:paraId="75024D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eastAsia" w:cs="Times New Roman"/>
                <w:color w:val="auto"/>
                <w:sz w:val="21"/>
                <w:szCs w:val="21"/>
                <w:lang w:val="en-US" w:eastAsia="zh-CN"/>
              </w:rPr>
              <w:t>江苏金轮辊业有限公司</w:t>
            </w:r>
            <w:r>
              <w:rPr>
                <w:rFonts w:hint="eastAsia" w:ascii="Times New Roman" w:hAnsi="Times New Roman" w:eastAsia="宋体" w:cs="Times New Roman"/>
                <w:color w:val="auto"/>
                <w:sz w:val="21"/>
                <w:szCs w:val="21"/>
                <w:lang w:val="en-US" w:eastAsia="zh-CN"/>
              </w:rPr>
              <w:t>委托开展该项目环境影响评价工作，编制了本环境影响报告表</w:t>
            </w:r>
            <w:r>
              <w:rPr>
                <w:rFonts w:hint="default" w:ascii="Times New Roman" w:hAnsi="Times New Roman" w:eastAsia="宋体" w:cs="Times New Roman"/>
                <w:b w:val="0"/>
                <w:bCs w:val="0"/>
                <w:color w:val="auto"/>
                <w:lang w:val="en-US" w:eastAsia="zh-CN"/>
              </w:rPr>
              <w:t>。</w:t>
            </w:r>
          </w:p>
          <w:p w14:paraId="210E09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2、生产规模及产品方案</w:t>
            </w:r>
          </w:p>
          <w:p w14:paraId="283FBC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本</w:t>
            </w:r>
            <w:r>
              <w:rPr>
                <w:rFonts w:hint="default" w:ascii="Times New Roman" w:hAnsi="Times New Roman" w:eastAsia="宋体" w:cs="Times New Roman"/>
                <w:b w:val="0"/>
                <w:bCs w:val="0"/>
                <w:color w:val="auto"/>
                <w:lang w:val="en-US" w:eastAsia="zh-CN"/>
              </w:rPr>
              <w:t>项目生产规模及产品方案见表2-</w:t>
            </w:r>
            <w:r>
              <w:rPr>
                <w:rFonts w:hint="eastAsia" w:cs="Times New Roman"/>
                <w:b w:val="0"/>
                <w:bCs w:val="0"/>
                <w:color w:val="auto"/>
                <w:lang w:val="en-US" w:eastAsia="zh-CN"/>
              </w:rPr>
              <w:t>1</w:t>
            </w:r>
            <w:r>
              <w:rPr>
                <w:rFonts w:hint="default" w:ascii="Times New Roman" w:hAnsi="Times New Roman" w:eastAsia="宋体" w:cs="Times New Roman"/>
                <w:b w:val="0"/>
                <w:bCs w:val="0"/>
                <w:color w:val="auto"/>
                <w:lang w:val="en-US" w:eastAsia="zh-CN"/>
              </w:rPr>
              <w:t>。</w:t>
            </w:r>
          </w:p>
          <w:p w14:paraId="082FB9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rPr>
              <w:t>表2-</w:t>
            </w:r>
            <w:r>
              <w:rPr>
                <w:rFonts w:hint="eastAsia" w:cs="Times New Roman"/>
                <w:b/>
                <w:color w:val="auto"/>
                <w:kern w:val="0"/>
                <w:sz w:val="21"/>
                <w:szCs w:val="21"/>
                <w:lang w:val="en-US" w:eastAsia="zh-CN"/>
              </w:rPr>
              <w:t>1</w:t>
            </w:r>
            <w:r>
              <w:rPr>
                <w:rFonts w:hint="default" w:ascii="Times New Roman" w:hAnsi="Times New Roman" w:eastAsia="宋体" w:cs="Times New Roman"/>
                <w:b/>
                <w:color w:val="auto"/>
                <w:kern w:val="0"/>
                <w:sz w:val="21"/>
                <w:szCs w:val="21"/>
              </w:rPr>
              <w:t xml:space="preserve">  </w:t>
            </w:r>
            <w:r>
              <w:rPr>
                <w:rFonts w:hint="eastAsia" w:eastAsia="宋体" w:cs="Times New Roman"/>
                <w:b/>
                <w:color w:val="auto"/>
                <w:kern w:val="0"/>
                <w:sz w:val="21"/>
                <w:szCs w:val="21"/>
                <w:lang w:val="en-US" w:eastAsia="zh-CN"/>
              </w:rPr>
              <w:t>本</w:t>
            </w:r>
            <w:r>
              <w:rPr>
                <w:rFonts w:hint="default" w:ascii="Times New Roman" w:hAnsi="Times New Roman" w:eastAsia="宋体" w:cs="Times New Roman"/>
                <w:b/>
                <w:color w:val="auto"/>
                <w:kern w:val="0"/>
                <w:sz w:val="21"/>
                <w:szCs w:val="21"/>
              </w:rPr>
              <w:t>项目生产规模及产品方案</w:t>
            </w:r>
            <w:r>
              <w:rPr>
                <w:rFonts w:hint="eastAsia" w:eastAsia="宋体" w:cs="Times New Roman"/>
                <w:b/>
                <w:color w:val="auto"/>
                <w:kern w:val="0"/>
                <w:sz w:val="21"/>
                <w:szCs w:val="21"/>
                <w:lang w:val="en-US" w:eastAsia="zh-CN"/>
              </w:rPr>
              <w:t>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20"/>
              <w:gridCol w:w="2883"/>
              <w:gridCol w:w="2058"/>
              <w:gridCol w:w="1667"/>
            </w:tblGrid>
            <w:tr w14:paraId="0DFD9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pct"/>
                  <w:noWrap w:val="0"/>
                  <w:vAlign w:val="center"/>
                </w:tcPr>
                <w:p w14:paraId="739BC5A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序号</w:t>
                  </w:r>
                </w:p>
              </w:tc>
              <w:tc>
                <w:tcPr>
                  <w:tcW w:w="846" w:type="pct"/>
                  <w:noWrap w:val="0"/>
                  <w:vAlign w:val="center"/>
                </w:tcPr>
                <w:p w14:paraId="6E282E0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产品名称</w:t>
                  </w:r>
                </w:p>
              </w:tc>
              <w:tc>
                <w:tcPr>
                  <w:tcW w:w="1605" w:type="pct"/>
                  <w:noWrap w:val="0"/>
                  <w:vAlign w:val="center"/>
                </w:tcPr>
                <w:p w14:paraId="14EA51C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规格尺寸</w:t>
                  </w:r>
                </w:p>
              </w:tc>
              <w:tc>
                <w:tcPr>
                  <w:tcW w:w="1146" w:type="pct"/>
                  <w:noWrap w:val="0"/>
                  <w:vAlign w:val="center"/>
                </w:tcPr>
                <w:p w14:paraId="03F77BC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rPr>
                    <w:t>设计能力（单位/年）</w:t>
                  </w:r>
                </w:p>
              </w:tc>
              <w:tc>
                <w:tcPr>
                  <w:tcW w:w="928" w:type="pct"/>
                  <w:noWrap w:val="0"/>
                  <w:vAlign w:val="center"/>
                </w:tcPr>
                <w:p w14:paraId="10820ED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年运行时数</w:t>
                  </w:r>
                </w:p>
              </w:tc>
            </w:tr>
            <w:tr w14:paraId="1D1B5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pct"/>
                  <w:noWrap w:val="0"/>
                  <w:vAlign w:val="center"/>
                </w:tcPr>
                <w:p w14:paraId="577EF44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1</w:t>
                  </w:r>
                </w:p>
              </w:tc>
              <w:tc>
                <w:tcPr>
                  <w:tcW w:w="846" w:type="pct"/>
                  <w:noWrap w:val="0"/>
                  <w:vAlign w:val="center"/>
                </w:tcPr>
                <w:p w14:paraId="71EF10D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lang w:val="en-US" w:eastAsia="zh-CN"/>
                    </w:rPr>
                    <w:t>辊轮</w:t>
                  </w:r>
                </w:p>
              </w:tc>
              <w:tc>
                <w:tcPr>
                  <w:tcW w:w="1605" w:type="pct"/>
                  <w:noWrap w:val="0"/>
                  <w:vAlign w:val="center"/>
                </w:tcPr>
                <w:p w14:paraId="15FDF6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eastAsia="仿宋" w:cs="Times New Roman"/>
                      <w:color w:val="auto"/>
                      <w:lang w:val="en-US" w:eastAsia="zh-CN"/>
                    </w:rPr>
                    <w:t>L600mm、1320mm等</w:t>
                  </w:r>
                </w:p>
              </w:tc>
              <w:tc>
                <w:tcPr>
                  <w:tcW w:w="1146" w:type="pct"/>
                  <w:noWrap w:val="0"/>
                  <w:vAlign w:val="center"/>
                </w:tcPr>
                <w:p w14:paraId="637AEC1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2800套</w:t>
                  </w:r>
                </w:p>
              </w:tc>
              <w:tc>
                <w:tcPr>
                  <w:tcW w:w="928" w:type="pct"/>
                  <w:noWrap w:val="0"/>
                  <w:vAlign w:val="center"/>
                </w:tcPr>
                <w:p w14:paraId="13C9A8A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3000h</w:t>
                  </w:r>
                </w:p>
              </w:tc>
            </w:tr>
          </w:tbl>
          <w:p w14:paraId="75F75F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rPr>
              <w:t>表2-</w:t>
            </w:r>
            <w:r>
              <w:rPr>
                <w:rFonts w:hint="eastAsia" w:ascii="Times New Roman" w:hAnsi="Times New Roman" w:eastAsia="宋体" w:cs="Times New Roman"/>
                <w:b/>
                <w:color w:val="auto"/>
                <w:kern w:val="0"/>
                <w:sz w:val="21"/>
                <w:szCs w:val="21"/>
                <w:lang w:val="en-US" w:eastAsia="zh-CN"/>
              </w:rPr>
              <w:t>2</w:t>
            </w:r>
            <w:r>
              <w:rPr>
                <w:rFonts w:hint="default" w:ascii="Times New Roman" w:hAnsi="Times New Roman" w:eastAsia="宋体" w:cs="Times New Roman"/>
                <w:b/>
                <w:color w:val="auto"/>
                <w:kern w:val="0"/>
                <w:sz w:val="21"/>
                <w:szCs w:val="21"/>
              </w:rPr>
              <w:t xml:space="preserve">  </w:t>
            </w:r>
            <w:r>
              <w:rPr>
                <w:rFonts w:hint="eastAsia" w:ascii="Times New Roman" w:hAnsi="Times New Roman" w:eastAsia="宋体" w:cs="Times New Roman"/>
                <w:b/>
                <w:color w:val="auto"/>
                <w:kern w:val="0"/>
                <w:sz w:val="21"/>
                <w:szCs w:val="21"/>
                <w:lang w:val="en-US" w:eastAsia="zh-CN"/>
              </w:rPr>
              <w:t>本</w:t>
            </w:r>
            <w:r>
              <w:rPr>
                <w:rFonts w:hint="default" w:ascii="Times New Roman" w:hAnsi="Times New Roman" w:eastAsia="宋体" w:cs="Times New Roman"/>
                <w:b/>
                <w:color w:val="auto"/>
                <w:kern w:val="0"/>
                <w:sz w:val="21"/>
                <w:szCs w:val="21"/>
              </w:rPr>
              <w:t>项目</w:t>
            </w:r>
            <w:r>
              <w:rPr>
                <w:rFonts w:hint="eastAsia" w:ascii="Times New Roman" w:hAnsi="Times New Roman" w:eastAsia="宋体" w:cs="Times New Roman"/>
                <w:b/>
                <w:color w:val="auto"/>
                <w:kern w:val="0"/>
                <w:sz w:val="21"/>
                <w:szCs w:val="21"/>
                <w:lang w:val="en-US" w:eastAsia="zh-CN"/>
              </w:rPr>
              <w:t>产品影像资料</w:t>
            </w:r>
            <w:r>
              <w:rPr>
                <w:rFonts w:hint="eastAsia" w:eastAsia="宋体" w:cs="Times New Roman"/>
                <w:b/>
                <w:color w:val="auto"/>
                <w:kern w:val="0"/>
                <w:sz w:val="21"/>
                <w:szCs w:val="21"/>
                <w:lang w:val="en-US" w:eastAsia="zh-CN"/>
              </w:rPr>
              <w:t>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7"/>
              <w:gridCol w:w="3829"/>
              <w:gridCol w:w="3261"/>
            </w:tblGrid>
            <w:tr w14:paraId="45F0F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51" w:type="pct"/>
                  <w:noWrap w:val="0"/>
                  <w:vAlign w:val="center"/>
                </w:tcPr>
                <w:p w14:paraId="2786A0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rPr>
                    <w:t>产品名称</w:t>
                  </w:r>
                </w:p>
              </w:tc>
              <w:tc>
                <w:tcPr>
                  <w:tcW w:w="3948" w:type="pct"/>
                  <w:gridSpan w:val="2"/>
                  <w:noWrap w:val="0"/>
                  <w:vAlign w:val="center"/>
                </w:tcPr>
                <w:p w14:paraId="734F58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lang w:val="en-US" w:eastAsia="zh-CN"/>
                    </w:rPr>
                    <w:t>影像资料</w:t>
                  </w:r>
                </w:p>
              </w:tc>
            </w:tr>
            <w:tr w14:paraId="7D623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51" w:type="pct"/>
                  <w:noWrap w:val="0"/>
                  <w:vAlign w:val="center"/>
                </w:tcPr>
                <w:p w14:paraId="47A5B71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lang w:val="en-US" w:eastAsia="zh-CN"/>
                    </w:rPr>
                    <w:t>辊轮</w:t>
                  </w:r>
                </w:p>
              </w:tc>
              <w:tc>
                <w:tcPr>
                  <w:tcW w:w="2132" w:type="pct"/>
                  <w:noWrap w:val="0"/>
                  <w:vAlign w:val="center"/>
                </w:tcPr>
                <w:p w14:paraId="413D7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drawing>
                      <wp:inline distT="0" distB="0" distL="114300" distR="114300">
                        <wp:extent cx="1957705" cy="1102360"/>
                        <wp:effectExtent l="0" t="0" r="0" b="0"/>
                        <wp:docPr id="1" name="图片 56" descr="c029c5cfc78d66a598137ac3586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6" descr="c029c5cfc78d66a598137ac35862877"/>
                                <pic:cNvPicPr>
                                  <a:picLocks noChangeAspect="1"/>
                                </pic:cNvPicPr>
                              </pic:nvPicPr>
                              <pic:blipFill>
                                <a:blip r:embed="rId13"/>
                                <a:stretch>
                                  <a:fillRect/>
                                </a:stretch>
                              </pic:blipFill>
                              <pic:spPr>
                                <a:xfrm>
                                  <a:off x="0" y="0"/>
                                  <a:ext cx="1957705" cy="1102360"/>
                                </a:xfrm>
                                <a:prstGeom prst="rect">
                                  <a:avLst/>
                                </a:prstGeom>
                                <a:noFill/>
                                <a:ln>
                                  <a:noFill/>
                                </a:ln>
                              </pic:spPr>
                            </pic:pic>
                          </a:graphicData>
                        </a:graphic>
                      </wp:inline>
                    </w:drawing>
                  </w:r>
                </w:p>
              </w:tc>
              <w:tc>
                <w:tcPr>
                  <w:tcW w:w="1816" w:type="pct"/>
                  <w:noWrap w:val="0"/>
                  <w:vAlign w:val="center"/>
                </w:tcPr>
                <w:p w14:paraId="64D94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Times New Roman"/>
                      <w:color w:val="auto"/>
                      <w:lang w:val="en-US" w:eastAsia="zh-CN"/>
                    </w:rPr>
                  </w:pPr>
                  <w:r>
                    <w:rPr>
                      <w:rFonts w:hint="default" w:ascii="宋体" w:hAnsi="宋体" w:eastAsia="宋体" w:cs="宋体"/>
                      <w:color w:val="auto"/>
                      <w:sz w:val="24"/>
                      <w:szCs w:val="24"/>
                    </w:rPr>
                    <w:drawing>
                      <wp:inline distT="0" distB="0" distL="114300" distR="114300">
                        <wp:extent cx="1546225" cy="1159510"/>
                        <wp:effectExtent l="0" t="0" r="0" b="0"/>
                        <wp:docPr id="2"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7" descr="IMG_256"/>
                                <pic:cNvPicPr>
                                  <a:picLocks noChangeAspect="1"/>
                                </pic:cNvPicPr>
                              </pic:nvPicPr>
                              <pic:blipFill>
                                <a:blip r:embed="rId14"/>
                                <a:stretch>
                                  <a:fillRect/>
                                </a:stretch>
                              </pic:blipFill>
                              <pic:spPr>
                                <a:xfrm>
                                  <a:off x="0" y="0"/>
                                  <a:ext cx="1546225" cy="1159510"/>
                                </a:xfrm>
                                <a:prstGeom prst="rect">
                                  <a:avLst/>
                                </a:prstGeom>
                                <a:noFill/>
                                <a:ln>
                                  <a:noFill/>
                                </a:ln>
                              </pic:spPr>
                            </pic:pic>
                          </a:graphicData>
                        </a:graphic>
                      </wp:inline>
                    </w:drawing>
                  </w:r>
                </w:p>
              </w:tc>
            </w:tr>
          </w:tbl>
          <w:p w14:paraId="74C404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3、主要生产设施</w:t>
            </w:r>
          </w:p>
          <w:p w14:paraId="21781A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表2-</w:t>
            </w:r>
            <w:r>
              <w:rPr>
                <w:rFonts w:hint="eastAsia" w:cs="Times New Roman"/>
                <w:b/>
                <w:color w:val="auto"/>
                <w:kern w:val="0"/>
                <w:sz w:val="21"/>
                <w:szCs w:val="21"/>
                <w:lang w:val="en-US" w:eastAsia="zh-CN"/>
              </w:rPr>
              <w:t>3</w:t>
            </w:r>
            <w:r>
              <w:rPr>
                <w:rFonts w:hint="default" w:ascii="Times New Roman" w:hAnsi="Times New Roman" w:eastAsia="宋体" w:cs="Times New Roman"/>
                <w:b/>
                <w:color w:val="auto"/>
                <w:kern w:val="0"/>
                <w:sz w:val="21"/>
                <w:szCs w:val="21"/>
              </w:rPr>
              <w:t xml:space="preserve">  主要生产设施一览表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538"/>
              <w:gridCol w:w="2206"/>
              <w:gridCol w:w="1960"/>
              <w:gridCol w:w="1130"/>
              <w:gridCol w:w="1390"/>
            </w:tblGrid>
            <w:tr w14:paraId="00F5C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noWrap w:val="0"/>
                  <w:vAlign w:val="center"/>
                </w:tcPr>
                <w:p w14:paraId="4F76FC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856" w:type="pct"/>
                  <w:noWrap w:val="0"/>
                  <w:vAlign w:val="center"/>
                </w:tcPr>
                <w:p w14:paraId="3C1818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设备名称</w:t>
                  </w:r>
                </w:p>
              </w:tc>
              <w:tc>
                <w:tcPr>
                  <w:tcW w:w="1228" w:type="pct"/>
                  <w:noWrap w:val="0"/>
                  <w:vAlign w:val="center"/>
                </w:tcPr>
                <w:p w14:paraId="7D7FD8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规格型号</w:t>
                  </w:r>
                </w:p>
              </w:tc>
              <w:tc>
                <w:tcPr>
                  <w:tcW w:w="1091" w:type="pct"/>
                  <w:noWrap w:val="0"/>
                  <w:vAlign w:val="center"/>
                </w:tcPr>
                <w:p w14:paraId="21BCAA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设备</w:t>
                  </w:r>
                  <w:r>
                    <w:rPr>
                      <w:rFonts w:hint="default" w:ascii="Times New Roman" w:hAnsi="Times New Roman" w:eastAsia="仿宋" w:cs="Times New Roman"/>
                      <w:color w:val="auto"/>
                      <w:sz w:val="21"/>
                      <w:szCs w:val="21"/>
                    </w:rPr>
                    <w:t>数量</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lang w:val="en-US" w:eastAsia="zh-CN"/>
                    </w:rPr>
                    <w:t>台/套</w:t>
                  </w:r>
                  <w:r>
                    <w:rPr>
                      <w:rFonts w:hint="eastAsia" w:ascii="Times New Roman" w:hAnsi="Times New Roman" w:eastAsia="仿宋" w:cs="Times New Roman"/>
                      <w:color w:val="auto"/>
                      <w:sz w:val="21"/>
                      <w:szCs w:val="21"/>
                      <w:lang w:eastAsia="zh-CN"/>
                    </w:rPr>
                    <w:t>）</w:t>
                  </w:r>
                </w:p>
              </w:tc>
              <w:tc>
                <w:tcPr>
                  <w:tcW w:w="629" w:type="pct"/>
                  <w:noWrap w:val="0"/>
                  <w:vAlign w:val="center"/>
                </w:tcPr>
                <w:p w14:paraId="16879C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备注</w:t>
                  </w:r>
                </w:p>
              </w:tc>
              <w:tc>
                <w:tcPr>
                  <w:tcW w:w="774" w:type="pct"/>
                  <w:noWrap w:val="0"/>
                  <w:vAlign w:val="center"/>
                </w:tcPr>
                <w:p w14:paraId="06F7E1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使用工段</w:t>
                  </w:r>
                </w:p>
              </w:tc>
            </w:tr>
            <w:tr w14:paraId="7604E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noWrap w:val="0"/>
                  <w:vAlign w:val="center"/>
                </w:tcPr>
                <w:p w14:paraId="6FCC984F">
                  <w:pPr>
                    <w:keepNext w:val="0"/>
                    <w:keepLines w:val="0"/>
                    <w:widowControl/>
                    <w:numPr>
                      <w:ilvl w:val="0"/>
                      <w:numId w:val="6"/>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sz w:val="21"/>
                      <w:szCs w:val="21"/>
                    </w:rPr>
                  </w:pPr>
                </w:p>
              </w:tc>
              <w:tc>
                <w:tcPr>
                  <w:tcW w:w="856" w:type="pct"/>
                  <w:noWrap w:val="0"/>
                  <w:vAlign w:val="center"/>
                </w:tcPr>
                <w:p w14:paraId="307A58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锯床</w:t>
                  </w:r>
                </w:p>
              </w:tc>
              <w:tc>
                <w:tcPr>
                  <w:tcW w:w="1228" w:type="pct"/>
                  <w:noWrap w:val="0"/>
                  <w:vAlign w:val="center"/>
                </w:tcPr>
                <w:p w14:paraId="606759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C-33</w:t>
                  </w:r>
                </w:p>
              </w:tc>
              <w:tc>
                <w:tcPr>
                  <w:tcW w:w="1091" w:type="pct"/>
                  <w:noWrap w:val="0"/>
                  <w:vAlign w:val="center"/>
                </w:tcPr>
                <w:p w14:paraId="10632B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w:t>
                  </w:r>
                </w:p>
              </w:tc>
              <w:tc>
                <w:tcPr>
                  <w:tcW w:w="629" w:type="pct"/>
                  <w:noWrap w:val="0"/>
                  <w:vAlign w:val="center"/>
                </w:tcPr>
                <w:p w14:paraId="341426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774" w:type="pct"/>
                  <w:noWrap w:val="0"/>
                  <w:vAlign w:val="center"/>
                </w:tcPr>
                <w:p w14:paraId="12BF2A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下料</w:t>
                  </w:r>
                </w:p>
              </w:tc>
            </w:tr>
            <w:tr w14:paraId="139F7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noWrap w:val="0"/>
                  <w:vAlign w:val="center"/>
                </w:tcPr>
                <w:p w14:paraId="55C05500">
                  <w:pPr>
                    <w:keepNext w:val="0"/>
                    <w:keepLines w:val="0"/>
                    <w:widowControl/>
                    <w:numPr>
                      <w:ilvl w:val="0"/>
                      <w:numId w:val="6"/>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856" w:type="pct"/>
                  <w:noWrap w:val="0"/>
                  <w:vAlign w:val="center"/>
                </w:tcPr>
                <w:p w14:paraId="0240B1E6">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数控车床</w:t>
                  </w:r>
                </w:p>
              </w:tc>
              <w:tc>
                <w:tcPr>
                  <w:tcW w:w="1228" w:type="pct"/>
                  <w:noWrap w:val="0"/>
                  <w:vAlign w:val="center"/>
                </w:tcPr>
                <w:p w14:paraId="251044BE">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C1108</w:t>
                  </w:r>
                </w:p>
              </w:tc>
              <w:tc>
                <w:tcPr>
                  <w:tcW w:w="1091" w:type="pct"/>
                  <w:noWrap w:val="0"/>
                  <w:vAlign w:val="center"/>
                </w:tcPr>
                <w:p w14:paraId="3CC677D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4</w:t>
                  </w:r>
                </w:p>
              </w:tc>
              <w:tc>
                <w:tcPr>
                  <w:tcW w:w="629" w:type="pct"/>
                  <w:noWrap w:val="0"/>
                  <w:vAlign w:val="center"/>
                </w:tcPr>
                <w:p w14:paraId="75AD79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774" w:type="pct"/>
                  <w:vMerge w:val="restart"/>
                  <w:noWrap w:val="0"/>
                  <w:vAlign w:val="center"/>
                </w:tcPr>
                <w:p w14:paraId="41BBB2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车加工</w:t>
                  </w:r>
                </w:p>
              </w:tc>
            </w:tr>
            <w:tr w14:paraId="1E03B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noWrap w:val="0"/>
                  <w:vAlign w:val="center"/>
                </w:tcPr>
                <w:p w14:paraId="387AD370">
                  <w:pPr>
                    <w:keepNext w:val="0"/>
                    <w:keepLines w:val="0"/>
                    <w:widowControl/>
                    <w:numPr>
                      <w:ilvl w:val="0"/>
                      <w:numId w:val="6"/>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856" w:type="pct"/>
                  <w:noWrap w:val="0"/>
                  <w:vAlign w:val="center"/>
                </w:tcPr>
                <w:p w14:paraId="6C077E3F">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加工中心</w:t>
                  </w:r>
                </w:p>
              </w:tc>
              <w:tc>
                <w:tcPr>
                  <w:tcW w:w="1228" w:type="pct"/>
                  <w:noWrap w:val="0"/>
                  <w:vAlign w:val="center"/>
                </w:tcPr>
                <w:p w14:paraId="06BF16BE">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CMC</w:t>
                  </w:r>
                </w:p>
              </w:tc>
              <w:tc>
                <w:tcPr>
                  <w:tcW w:w="1091" w:type="pct"/>
                  <w:noWrap w:val="0"/>
                  <w:vAlign w:val="center"/>
                </w:tcPr>
                <w:p w14:paraId="43F73548">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2</w:t>
                  </w:r>
                </w:p>
              </w:tc>
              <w:tc>
                <w:tcPr>
                  <w:tcW w:w="629" w:type="pct"/>
                  <w:noWrap w:val="0"/>
                  <w:vAlign w:val="center"/>
                </w:tcPr>
                <w:p w14:paraId="2292A6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774" w:type="pct"/>
                  <w:vMerge w:val="continue"/>
                  <w:noWrap w:val="0"/>
                  <w:vAlign w:val="center"/>
                </w:tcPr>
                <w:p w14:paraId="627D4E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p>
              </w:tc>
            </w:tr>
            <w:tr w14:paraId="06C97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noWrap w:val="0"/>
                  <w:vAlign w:val="center"/>
                </w:tcPr>
                <w:p w14:paraId="716A5794">
                  <w:pPr>
                    <w:keepNext w:val="0"/>
                    <w:keepLines w:val="0"/>
                    <w:widowControl/>
                    <w:numPr>
                      <w:ilvl w:val="0"/>
                      <w:numId w:val="6"/>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856" w:type="pct"/>
                  <w:noWrap w:val="0"/>
                  <w:vAlign w:val="center"/>
                </w:tcPr>
                <w:p w14:paraId="1B203353">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动平衡</w:t>
                  </w:r>
                </w:p>
              </w:tc>
              <w:tc>
                <w:tcPr>
                  <w:tcW w:w="1228" w:type="pct"/>
                  <w:noWrap w:val="0"/>
                  <w:vAlign w:val="center"/>
                </w:tcPr>
                <w:p w14:paraId="303E8177">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1000*8000</w:t>
                  </w:r>
                </w:p>
              </w:tc>
              <w:tc>
                <w:tcPr>
                  <w:tcW w:w="1091" w:type="pct"/>
                  <w:noWrap w:val="0"/>
                  <w:vAlign w:val="center"/>
                </w:tcPr>
                <w:p w14:paraId="11552D39">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w:t>
                  </w:r>
                </w:p>
              </w:tc>
              <w:tc>
                <w:tcPr>
                  <w:tcW w:w="629" w:type="pct"/>
                  <w:noWrap w:val="0"/>
                  <w:vAlign w:val="center"/>
                </w:tcPr>
                <w:p w14:paraId="7E9C5D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w:t>
                  </w:r>
                </w:p>
              </w:tc>
              <w:tc>
                <w:tcPr>
                  <w:tcW w:w="774" w:type="pct"/>
                  <w:noWrap w:val="0"/>
                  <w:vAlign w:val="center"/>
                </w:tcPr>
                <w:p w14:paraId="067C42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动平衡</w:t>
                  </w:r>
                </w:p>
              </w:tc>
            </w:tr>
            <w:tr w14:paraId="7B760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noWrap w:val="0"/>
                  <w:vAlign w:val="center"/>
                </w:tcPr>
                <w:p w14:paraId="6624640D">
                  <w:pPr>
                    <w:keepNext w:val="0"/>
                    <w:keepLines w:val="0"/>
                    <w:widowControl/>
                    <w:numPr>
                      <w:ilvl w:val="0"/>
                      <w:numId w:val="6"/>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856" w:type="pct"/>
                  <w:noWrap w:val="0"/>
                  <w:vAlign w:val="center"/>
                </w:tcPr>
                <w:p w14:paraId="0CF6EE23">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密炼机</w:t>
                  </w:r>
                </w:p>
              </w:tc>
              <w:tc>
                <w:tcPr>
                  <w:tcW w:w="1228" w:type="pct"/>
                  <w:noWrap w:val="0"/>
                  <w:vAlign w:val="center"/>
                </w:tcPr>
                <w:p w14:paraId="1901ADDE">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X（S）N-35/32</w:t>
                  </w:r>
                </w:p>
              </w:tc>
              <w:tc>
                <w:tcPr>
                  <w:tcW w:w="1091" w:type="pct"/>
                  <w:noWrap w:val="0"/>
                  <w:vAlign w:val="center"/>
                </w:tcPr>
                <w:p w14:paraId="1D17CCE9">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1</w:t>
                  </w:r>
                </w:p>
              </w:tc>
              <w:tc>
                <w:tcPr>
                  <w:tcW w:w="629" w:type="pct"/>
                  <w:noWrap w:val="0"/>
                  <w:vAlign w:val="center"/>
                </w:tcPr>
                <w:p w14:paraId="445E8F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774" w:type="pct"/>
                  <w:noWrap w:val="0"/>
                  <w:vAlign w:val="center"/>
                </w:tcPr>
                <w:p w14:paraId="4240B4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密炼</w:t>
                  </w:r>
                </w:p>
              </w:tc>
            </w:tr>
            <w:tr w14:paraId="7BA19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noWrap w:val="0"/>
                  <w:vAlign w:val="center"/>
                </w:tcPr>
                <w:p w14:paraId="60EFD6E9">
                  <w:pPr>
                    <w:keepNext w:val="0"/>
                    <w:keepLines w:val="0"/>
                    <w:widowControl/>
                    <w:numPr>
                      <w:ilvl w:val="0"/>
                      <w:numId w:val="6"/>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856" w:type="pct"/>
                  <w:noWrap w:val="0"/>
                  <w:vAlign w:val="center"/>
                </w:tcPr>
                <w:p w14:paraId="7266B8C0">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开炼机</w:t>
                  </w:r>
                </w:p>
              </w:tc>
              <w:tc>
                <w:tcPr>
                  <w:tcW w:w="1228" w:type="pct"/>
                  <w:noWrap w:val="0"/>
                  <w:vAlign w:val="center"/>
                </w:tcPr>
                <w:p w14:paraId="03DBC4C9">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WD400</w:t>
                  </w:r>
                </w:p>
              </w:tc>
              <w:tc>
                <w:tcPr>
                  <w:tcW w:w="1091" w:type="pct"/>
                  <w:noWrap w:val="0"/>
                  <w:vAlign w:val="center"/>
                </w:tcPr>
                <w:p w14:paraId="6B2A1E1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2</w:t>
                  </w:r>
                </w:p>
              </w:tc>
              <w:tc>
                <w:tcPr>
                  <w:tcW w:w="629" w:type="pct"/>
                  <w:noWrap w:val="0"/>
                  <w:vAlign w:val="center"/>
                </w:tcPr>
                <w:p w14:paraId="31F7DA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w:t>
                  </w:r>
                </w:p>
              </w:tc>
              <w:tc>
                <w:tcPr>
                  <w:tcW w:w="774" w:type="pct"/>
                  <w:noWrap w:val="0"/>
                  <w:vAlign w:val="center"/>
                </w:tcPr>
                <w:p w14:paraId="559422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开炼</w:t>
                  </w:r>
                </w:p>
              </w:tc>
            </w:tr>
            <w:tr w14:paraId="67726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noWrap w:val="0"/>
                  <w:vAlign w:val="center"/>
                </w:tcPr>
                <w:p w14:paraId="4D15D786">
                  <w:pPr>
                    <w:keepNext w:val="0"/>
                    <w:keepLines w:val="0"/>
                    <w:widowControl/>
                    <w:numPr>
                      <w:ilvl w:val="0"/>
                      <w:numId w:val="6"/>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856" w:type="pct"/>
                  <w:noWrap w:val="0"/>
                  <w:vAlign w:val="center"/>
                </w:tcPr>
                <w:p w14:paraId="0FB9A3D3">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缠绕机</w:t>
                  </w:r>
                </w:p>
              </w:tc>
              <w:tc>
                <w:tcPr>
                  <w:tcW w:w="1228" w:type="pct"/>
                  <w:noWrap w:val="0"/>
                  <w:vAlign w:val="center"/>
                </w:tcPr>
                <w:p w14:paraId="7D1C572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8000</w:t>
                  </w:r>
                </w:p>
              </w:tc>
              <w:tc>
                <w:tcPr>
                  <w:tcW w:w="1091" w:type="pct"/>
                  <w:noWrap w:val="0"/>
                  <w:vAlign w:val="center"/>
                </w:tcPr>
                <w:p w14:paraId="2DFADE45">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w:t>
                  </w:r>
                </w:p>
              </w:tc>
              <w:tc>
                <w:tcPr>
                  <w:tcW w:w="629" w:type="pct"/>
                  <w:noWrap w:val="0"/>
                  <w:vAlign w:val="center"/>
                </w:tcPr>
                <w:p w14:paraId="582798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774" w:type="pct"/>
                  <w:noWrap w:val="0"/>
                  <w:vAlign w:val="center"/>
                </w:tcPr>
                <w:p w14:paraId="0356908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缠绕包胶</w:t>
                  </w:r>
                </w:p>
              </w:tc>
            </w:tr>
            <w:tr w14:paraId="38075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noWrap w:val="0"/>
                  <w:vAlign w:val="center"/>
                </w:tcPr>
                <w:p w14:paraId="6FF9BE38">
                  <w:pPr>
                    <w:keepNext w:val="0"/>
                    <w:keepLines w:val="0"/>
                    <w:widowControl/>
                    <w:numPr>
                      <w:ilvl w:val="0"/>
                      <w:numId w:val="6"/>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856" w:type="pct"/>
                  <w:noWrap w:val="0"/>
                  <w:vAlign w:val="center"/>
                </w:tcPr>
                <w:p w14:paraId="75929EA2">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硫化罐</w:t>
                  </w:r>
                </w:p>
              </w:tc>
              <w:tc>
                <w:tcPr>
                  <w:tcW w:w="1228" w:type="pct"/>
                  <w:noWrap w:val="0"/>
                  <w:vAlign w:val="center"/>
                </w:tcPr>
                <w:p w14:paraId="15BB580E">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1700*8000，1700*6000</w:t>
                  </w:r>
                </w:p>
              </w:tc>
              <w:tc>
                <w:tcPr>
                  <w:tcW w:w="1091" w:type="pct"/>
                  <w:noWrap w:val="0"/>
                  <w:vAlign w:val="center"/>
                </w:tcPr>
                <w:p w14:paraId="463A873B">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2</w:t>
                  </w:r>
                </w:p>
              </w:tc>
              <w:tc>
                <w:tcPr>
                  <w:tcW w:w="629" w:type="pct"/>
                  <w:noWrap w:val="0"/>
                  <w:vAlign w:val="center"/>
                </w:tcPr>
                <w:p w14:paraId="1607B0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774" w:type="pct"/>
                  <w:noWrap w:val="0"/>
                  <w:vAlign w:val="center"/>
                </w:tcPr>
                <w:p w14:paraId="12CF737D">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硫化</w:t>
                  </w:r>
                </w:p>
              </w:tc>
            </w:tr>
            <w:tr w14:paraId="28B19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noWrap w:val="0"/>
                  <w:vAlign w:val="center"/>
                </w:tcPr>
                <w:p w14:paraId="2A242607">
                  <w:pPr>
                    <w:keepNext w:val="0"/>
                    <w:keepLines w:val="0"/>
                    <w:widowControl/>
                    <w:numPr>
                      <w:ilvl w:val="0"/>
                      <w:numId w:val="6"/>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856" w:type="pct"/>
                  <w:noWrap w:val="0"/>
                  <w:vAlign w:val="center"/>
                </w:tcPr>
                <w:p w14:paraId="3AEC07C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车床</w:t>
                  </w:r>
                </w:p>
              </w:tc>
              <w:tc>
                <w:tcPr>
                  <w:tcW w:w="1228" w:type="pct"/>
                  <w:noWrap w:val="0"/>
                  <w:vAlign w:val="center"/>
                </w:tcPr>
                <w:p w14:paraId="03C250C9">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CZ61100</w:t>
                  </w:r>
                </w:p>
              </w:tc>
              <w:tc>
                <w:tcPr>
                  <w:tcW w:w="1091" w:type="pct"/>
                  <w:noWrap w:val="0"/>
                  <w:vAlign w:val="center"/>
                </w:tcPr>
                <w:p w14:paraId="35C35F89">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12</w:t>
                  </w:r>
                </w:p>
              </w:tc>
              <w:tc>
                <w:tcPr>
                  <w:tcW w:w="629" w:type="pct"/>
                  <w:noWrap w:val="0"/>
                  <w:vAlign w:val="center"/>
                </w:tcPr>
                <w:p w14:paraId="3D4BF1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配套台湾进口中高机磨头</w:t>
                  </w:r>
                </w:p>
              </w:tc>
              <w:tc>
                <w:tcPr>
                  <w:tcW w:w="774" w:type="pct"/>
                  <w:noWrap w:val="0"/>
                  <w:vAlign w:val="center"/>
                </w:tcPr>
                <w:p w14:paraId="5BB8A21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研磨</w:t>
                  </w:r>
                </w:p>
              </w:tc>
            </w:tr>
            <w:tr w14:paraId="5071C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pct"/>
                  <w:noWrap w:val="0"/>
                  <w:vAlign w:val="center"/>
                </w:tcPr>
                <w:p w14:paraId="076C0E00">
                  <w:pPr>
                    <w:keepNext w:val="0"/>
                    <w:keepLines w:val="0"/>
                    <w:widowControl/>
                    <w:numPr>
                      <w:ilvl w:val="0"/>
                      <w:numId w:val="6"/>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856" w:type="pct"/>
                  <w:vMerge w:val="restart"/>
                  <w:noWrap w:val="0"/>
                  <w:vAlign w:val="center"/>
                </w:tcPr>
                <w:p w14:paraId="484B4A7A">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废气处理设施</w:t>
                  </w:r>
                </w:p>
              </w:tc>
              <w:tc>
                <w:tcPr>
                  <w:tcW w:w="1228" w:type="pct"/>
                  <w:noWrap w:val="0"/>
                  <w:vAlign w:val="center"/>
                </w:tcPr>
                <w:p w14:paraId="542284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除尘装置</w:t>
                  </w:r>
                </w:p>
              </w:tc>
              <w:tc>
                <w:tcPr>
                  <w:tcW w:w="1091" w:type="pct"/>
                  <w:noWrap w:val="0"/>
                  <w:vAlign w:val="center"/>
                </w:tcPr>
                <w:p w14:paraId="08FF9B2C">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1</w:t>
                  </w:r>
                </w:p>
              </w:tc>
              <w:tc>
                <w:tcPr>
                  <w:tcW w:w="629" w:type="pct"/>
                  <w:noWrap w:val="0"/>
                  <w:vAlign w:val="center"/>
                </w:tcPr>
                <w:p w14:paraId="59D75B79">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w:t>
                  </w:r>
                </w:p>
              </w:tc>
              <w:tc>
                <w:tcPr>
                  <w:tcW w:w="774" w:type="pct"/>
                  <w:vMerge w:val="restart"/>
                  <w:noWrap w:val="0"/>
                  <w:vAlign w:val="center"/>
                </w:tcPr>
                <w:p w14:paraId="0795D70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环保设施</w:t>
                  </w:r>
                </w:p>
              </w:tc>
            </w:tr>
            <w:tr w14:paraId="61D65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pct"/>
                  <w:noWrap w:val="0"/>
                  <w:vAlign w:val="center"/>
                </w:tcPr>
                <w:p w14:paraId="1094C5F5">
                  <w:pPr>
                    <w:keepNext w:val="0"/>
                    <w:keepLines w:val="0"/>
                    <w:widowControl/>
                    <w:numPr>
                      <w:ilvl w:val="0"/>
                      <w:numId w:val="6"/>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856" w:type="pct"/>
                  <w:vMerge w:val="continue"/>
                  <w:noWrap w:val="0"/>
                  <w:vAlign w:val="center"/>
                </w:tcPr>
                <w:p w14:paraId="1B237B56">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lang w:val="en-US" w:eastAsia="zh-CN"/>
                    </w:rPr>
                  </w:pPr>
                </w:p>
              </w:tc>
              <w:tc>
                <w:tcPr>
                  <w:tcW w:w="1228" w:type="pct"/>
                  <w:noWrap w:val="0"/>
                  <w:vAlign w:val="center"/>
                </w:tcPr>
                <w:p w14:paraId="25B9A8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有机废气处理装置</w:t>
                  </w:r>
                </w:p>
              </w:tc>
              <w:tc>
                <w:tcPr>
                  <w:tcW w:w="1091" w:type="pct"/>
                  <w:noWrap w:val="0"/>
                  <w:vAlign w:val="center"/>
                </w:tcPr>
                <w:p w14:paraId="39C382AD">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1</w:t>
                  </w:r>
                </w:p>
              </w:tc>
              <w:tc>
                <w:tcPr>
                  <w:tcW w:w="629" w:type="pct"/>
                  <w:noWrap w:val="0"/>
                  <w:vAlign w:val="center"/>
                </w:tcPr>
                <w:p w14:paraId="4350448F">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w:t>
                  </w:r>
                </w:p>
              </w:tc>
              <w:tc>
                <w:tcPr>
                  <w:tcW w:w="774" w:type="pct"/>
                  <w:vMerge w:val="continue"/>
                  <w:noWrap w:val="0"/>
                  <w:vAlign w:val="center"/>
                </w:tcPr>
                <w:p w14:paraId="6BE608B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color w:val="auto"/>
                      <w:kern w:val="2"/>
                      <w:sz w:val="21"/>
                      <w:szCs w:val="21"/>
                      <w:lang w:val="en-US" w:eastAsia="zh-CN" w:bidi="ar-SA"/>
                    </w:rPr>
                  </w:pPr>
                </w:p>
              </w:tc>
            </w:tr>
            <w:tr w14:paraId="6A67D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noWrap w:val="0"/>
                  <w:vAlign w:val="center"/>
                </w:tcPr>
                <w:p w14:paraId="4868C481">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合计</w:t>
                  </w:r>
                </w:p>
              </w:tc>
              <w:tc>
                <w:tcPr>
                  <w:tcW w:w="856" w:type="pct"/>
                  <w:noWrap w:val="0"/>
                  <w:vAlign w:val="center"/>
                </w:tcPr>
                <w:p w14:paraId="3BD77A49">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w:t>
                  </w:r>
                </w:p>
              </w:tc>
              <w:tc>
                <w:tcPr>
                  <w:tcW w:w="1228" w:type="pct"/>
                  <w:noWrap w:val="0"/>
                  <w:vAlign w:val="center"/>
                </w:tcPr>
                <w:p w14:paraId="79E27EC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w:t>
                  </w:r>
                </w:p>
              </w:tc>
              <w:tc>
                <w:tcPr>
                  <w:tcW w:w="1091" w:type="pct"/>
                  <w:noWrap w:val="0"/>
                  <w:vAlign w:val="center"/>
                </w:tcPr>
                <w:p w14:paraId="35221D93">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29</w:t>
                  </w:r>
                </w:p>
              </w:tc>
              <w:tc>
                <w:tcPr>
                  <w:tcW w:w="629" w:type="pct"/>
                  <w:noWrap w:val="0"/>
                  <w:vAlign w:val="center"/>
                </w:tcPr>
                <w:p w14:paraId="6795104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774" w:type="pct"/>
                  <w:noWrap w:val="0"/>
                  <w:vAlign w:val="center"/>
                </w:tcPr>
                <w:p w14:paraId="0E54925F">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w:t>
                  </w:r>
                </w:p>
              </w:tc>
            </w:tr>
          </w:tbl>
          <w:p w14:paraId="6D38B85A">
            <w:pPr>
              <w:pStyle w:val="8"/>
              <w:keepNext w:val="0"/>
              <w:keepLines w:val="0"/>
              <w:suppressLineNumbers w:val="0"/>
              <w:spacing w:beforeAutospacing="0" w:afterAutospacing="0"/>
              <w:ind w:left="0"/>
              <w:rPr>
                <w:rFonts w:hint="eastAsia" w:cs="Times New Roman"/>
                <w:color w:val="auto"/>
                <w:lang w:eastAsia="zh-CN"/>
              </w:rPr>
            </w:pPr>
          </w:p>
        </w:tc>
      </w:tr>
    </w:tbl>
    <w:p w14:paraId="5431DA2F">
      <w:pPr>
        <w:pStyle w:val="22"/>
        <w:jc w:val="center"/>
        <w:rPr>
          <w:rFonts w:hint="default" w:ascii="Times New Roman" w:hAnsi="Times New Roman" w:eastAsia="黑体" w:cs="Times New Roman"/>
          <w:snapToGrid w:val="0"/>
          <w:color w:val="auto"/>
          <w:sz w:val="36"/>
          <w:szCs w:val="36"/>
        </w:rPr>
        <w:sectPr>
          <w:pgSz w:w="11906" w:h="16838"/>
          <w:pgMar w:top="1134" w:right="1400" w:bottom="1134" w:left="1088"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4256"/>
      </w:tblGrid>
      <w:tr w14:paraId="63C7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9" w:hRule="atLeast"/>
        </w:trPr>
        <w:tc>
          <w:tcPr>
            <w:tcW w:w="508" w:type="dxa"/>
            <w:noWrap w:val="0"/>
            <w:vAlign w:val="center"/>
          </w:tcPr>
          <w:p w14:paraId="1F230325">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z w:val="36"/>
                <w:szCs w:val="36"/>
                <w:vertAlign w:val="baseline"/>
              </w:rPr>
            </w:pPr>
            <w:r>
              <w:rPr>
                <w:rFonts w:hint="default" w:ascii="Times New Roman" w:hAnsi="Times New Roman" w:cs="Times New Roman"/>
                <w:b w:val="0"/>
                <w:bCs w:val="0"/>
                <w:color w:val="auto"/>
                <w:sz w:val="21"/>
                <w:szCs w:val="21"/>
              </w:rPr>
              <w:t>建设内容</w:t>
            </w:r>
          </w:p>
        </w:tc>
        <w:tc>
          <w:tcPr>
            <w:tcW w:w="14256" w:type="dxa"/>
            <w:noWrap w:val="0"/>
            <w:vAlign w:val="top"/>
          </w:tcPr>
          <w:p w14:paraId="1F37C1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4、主要原辅料种类及用量</w:t>
            </w:r>
          </w:p>
          <w:p w14:paraId="19D8FA8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表2-</w:t>
            </w:r>
            <w:r>
              <w:rPr>
                <w:rFonts w:hint="eastAsia" w:cs="Times New Roman"/>
                <w:b/>
                <w:color w:val="auto"/>
                <w:kern w:val="0"/>
                <w:sz w:val="21"/>
                <w:szCs w:val="21"/>
                <w:lang w:val="en-US" w:eastAsia="zh-CN"/>
              </w:rPr>
              <w:t>4</w:t>
            </w:r>
            <w:r>
              <w:rPr>
                <w:rFonts w:hint="default" w:ascii="Times New Roman" w:hAnsi="Times New Roman" w:eastAsia="宋体" w:cs="Times New Roman"/>
                <w:b/>
                <w:color w:val="auto"/>
                <w:kern w:val="0"/>
                <w:sz w:val="21"/>
                <w:szCs w:val="21"/>
              </w:rPr>
              <w:t xml:space="preserve">  主要原辅材料消耗状况</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834"/>
              <w:gridCol w:w="2083"/>
              <w:gridCol w:w="3919"/>
              <w:gridCol w:w="856"/>
              <w:gridCol w:w="1131"/>
              <w:gridCol w:w="963"/>
              <w:gridCol w:w="2021"/>
              <w:gridCol w:w="1489"/>
            </w:tblGrid>
            <w:tr w14:paraId="6A779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0296F6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297" w:type="pct"/>
                  <w:noWrap w:val="0"/>
                  <w:vAlign w:val="center"/>
                </w:tcPr>
                <w:p w14:paraId="1A624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类别</w:t>
                  </w:r>
                </w:p>
              </w:tc>
              <w:tc>
                <w:tcPr>
                  <w:tcW w:w="742" w:type="pct"/>
                  <w:noWrap w:val="0"/>
                  <w:vAlign w:val="center"/>
                </w:tcPr>
                <w:p w14:paraId="5FF4A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名称</w:t>
                  </w:r>
                </w:p>
              </w:tc>
              <w:tc>
                <w:tcPr>
                  <w:tcW w:w="1396" w:type="pct"/>
                  <w:noWrap w:val="0"/>
                  <w:vAlign w:val="center"/>
                </w:tcPr>
                <w:p w14:paraId="0CFE1A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规格组分</w:t>
                  </w:r>
                </w:p>
              </w:tc>
              <w:tc>
                <w:tcPr>
                  <w:tcW w:w="305" w:type="pct"/>
                  <w:noWrap w:val="0"/>
                  <w:vAlign w:val="center"/>
                </w:tcPr>
                <w:p w14:paraId="30282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形态</w:t>
                  </w:r>
                </w:p>
              </w:tc>
              <w:tc>
                <w:tcPr>
                  <w:tcW w:w="403" w:type="pct"/>
                  <w:noWrap w:val="0"/>
                  <w:vAlign w:val="center"/>
                </w:tcPr>
                <w:p w14:paraId="7D44A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消耗量</w:t>
                  </w:r>
                </w:p>
              </w:tc>
              <w:tc>
                <w:tcPr>
                  <w:tcW w:w="343" w:type="pct"/>
                  <w:noWrap w:val="0"/>
                  <w:vAlign w:val="center"/>
                </w:tcPr>
                <w:p w14:paraId="159C8A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w:t>
                  </w:r>
                </w:p>
              </w:tc>
              <w:tc>
                <w:tcPr>
                  <w:tcW w:w="720" w:type="pct"/>
                  <w:noWrap w:val="0"/>
                  <w:vAlign w:val="center"/>
                </w:tcPr>
                <w:p w14:paraId="5F032E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包装</w:t>
                  </w:r>
                </w:p>
              </w:tc>
              <w:tc>
                <w:tcPr>
                  <w:tcW w:w="530" w:type="pct"/>
                  <w:noWrap w:val="0"/>
                  <w:vAlign w:val="center"/>
                </w:tcPr>
                <w:p w14:paraId="59B5A5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最大储</w:t>
                  </w:r>
                  <w:r>
                    <w:rPr>
                      <w:rFonts w:hint="eastAsia" w:ascii="Times New Roman" w:hAnsi="Times New Roman" w:eastAsia="仿宋" w:cs="Times New Roman"/>
                      <w:color w:val="auto"/>
                      <w:sz w:val="21"/>
                      <w:szCs w:val="21"/>
                      <w:lang w:val="en-US" w:eastAsia="zh-CN"/>
                    </w:rPr>
                    <w:t>存</w:t>
                  </w:r>
                  <w:r>
                    <w:rPr>
                      <w:rFonts w:hint="default" w:ascii="Times New Roman" w:hAnsi="Times New Roman" w:eastAsia="仿宋" w:cs="Times New Roman"/>
                      <w:color w:val="auto"/>
                      <w:sz w:val="21"/>
                      <w:szCs w:val="21"/>
                      <w:lang w:val="en-US" w:eastAsia="zh-CN"/>
                    </w:rPr>
                    <w:t>量</w:t>
                  </w:r>
                </w:p>
              </w:tc>
            </w:tr>
            <w:tr w14:paraId="25C0E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099E642F">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restart"/>
                  <w:noWrap w:val="0"/>
                  <w:vAlign w:val="center"/>
                </w:tcPr>
                <w:p w14:paraId="7B845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原料</w:t>
                  </w:r>
                </w:p>
              </w:tc>
              <w:tc>
                <w:tcPr>
                  <w:tcW w:w="742" w:type="pct"/>
                  <w:noWrap w:val="0"/>
                  <w:vAlign w:val="center"/>
                </w:tcPr>
                <w:p w14:paraId="03EB8B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钢管</w:t>
                  </w:r>
                </w:p>
              </w:tc>
              <w:tc>
                <w:tcPr>
                  <w:tcW w:w="1396" w:type="pct"/>
                  <w:noWrap w:val="0"/>
                  <w:vAlign w:val="center"/>
                </w:tcPr>
                <w:p w14:paraId="714D53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不锈钢</w:t>
                  </w:r>
                </w:p>
              </w:tc>
              <w:tc>
                <w:tcPr>
                  <w:tcW w:w="305" w:type="pct"/>
                  <w:noWrap w:val="0"/>
                  <w:vAlign w:val="center"/>
                </w:tcPr>
                <w:p w14:paraId="5EE29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固态</w:t>
                  </w:r>
                </w:p>
              </w:tc>
              <w:tc>
                <w:tcPr>
                  <w:tcW w:w="403" w:type="pct"/>
                  <w:noWrap w:val="0"/>
                  <w:vAlign w:val="center"/>
                </w:tcPr>
                <w:p w14:paraId="55450C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280</w:t>
                  </w:r>
                </w:p>
              </w:tc>
              <w:tc>
                <w:tcPr>
                  <w:tcW w:w="343" w:type="pct"/>
                  <w:noWrap w:val="0"/>
                  <w:vAlign w:val="center"/>
                </w:tcPr>
                <w:p w14:paraId="46B54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t/a</w:t>
                  </w:r>
                </w:p>
              </w:tc>
              <w:tc>
                <w:tcPr>
                  <w:tcW w:w="720" w:type="pct"/>
                  <w:noWrap w:val="0"/>
                  <w:vAlign w:val="center"/>
                </w:tcPr>
                <w:p w14:paraId="39D262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散装</w:t>
                  </w:r>
                </w:p>
              </w:tc>
              <w:tc>
                <w:tcPr>
                  <w:tcW w:w="530" w:type="pct"/>
                  <w:noWrap w:val="0"/>
                  <w:vAlign w:val="center"/>
                </w:tcPr>
                <w:p w14:paraId="0FD232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10t</w:t>
                  </w:r>
                </w:p>
              </w:tc>
            </w:tr>
            <w:tr w14:paraId="1D535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4CF1A8A4">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continue"/>
                  <w:noWrap w:val="0"/>
                  <w:vAlign w:val="center"/>
                </w:tcPr>
                <w:p w14:paraId="44D68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p>
              </w:tc>
              <w:tc>
                <w:tcPr>
                  <w:tcW w:w="742" w:type="pct"/>
                  <w:noWrap w:val="0"/>
                  <w:vAlign w:val="center"/>
                </w:tcPr>
                <w:p w14:paraId="320DD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轴承</w:t>
                  </w:r>
                </w:p>
              </w:tc>
              <w:tc>
                <w:tcPr>
                  <w:tcW w:w="1396" w:type="pct"/>
                  <w:noWrap w:val="0"/>
                  <w:vAlign w:val="center"/>
                </w:tcPr>
                <w:p w14:paraId="5CB3BD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305" w:type="pct"/>
                  <w:noWrap w:val="0"/>
                  <w:vAlign w:val="center"/>
                </w:tcPr>
                <w:p w14:paraId="29F3F2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固态</w:t>
                  </w:r>
                </w:p>
              </w:tc>
              <w:tc>
                <w:tcPr>
                  <w:tcW w:w="403" w:type="pct"/>
                  <w:noWrap w:val="0"/>
                  <w:vAlign w:val="center"/>
                </w:tcPr>
                <w:p w14:paraId="3EF33E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30000</w:t>
                  </w:r>
                </w:p>
              </w:tc>
              <w:tc>
                <w:tcPr>
                  <w:tcW w:w="343" w:type="pct"/>
                  <w:noWrap w:val="0"/>
                  <w:vAlign w:val="center"/>
                </w:tcPr>
                <w:p w14:paraId="5C615A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个/a</w:t>
                  </w:r>
                </w:p>
              </w:tc>
              <w:tc>
                <w:tcPr>
                  <w:tcW w:w="720" w:type="pct"/>
                  <w:noWrap w:val="0"/>
                  <w:vAlign w:val="center"/>
                </w:tcPr>
                <w:p w14:paraId="613B8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散装</w:t>
                  </w:r>
                </w:p>
              </w:tc>
              <w:tc>
                <w:tcPr>
                  <w:tcW w:w="530" w:type="pct"/>
                  <w:noWrap w:val="0"/>
                  <w:vAlign w:val="center"/>
                </w:tcPr>
                <w:p w14:paraId="60A3F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1000个</w:t>
                  </w:r>
                </w:p>
              </w:tc>
            </w:tr>
            <w:tr w14:paraId="5556C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5CB758E1">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continue"/>
                  <w:noWrap w:val="0"/>
                  <w:vAlign w:val="center"/>
                </w:tcPr>
                <w:p w14:paraId="72A75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p>
              </w:tc>
              <w:tc>
                <w:tcPr>
                  <w:tcW w:w="742" w:type="pct"/>
                  <w:noWrap w:val="0"/>
                  <w:vAlign w:val="center"/>
                </w:tcPr>
                <w:p w14:paraId="4E9B5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丁腈橡胶</w:t>
                  </w:r>
                </w:p>
              </w:tc>
              <w:tc>
                <w:tcPr>
                  <w:tcW w:w="1396" w:type="pct"/>
                  <w:noWrap w:val="0"/>
                  <w:vAlign w:val="center"/>
                </w:tcPr>
                <w:p w14:paraId="682FEE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305" w:type="pct"/>
                  <w:noWrap w:val="0"/>
                  <w:vAlign w:val="center"/>
                </w:tcPr>
                <w:p w14:paraId="51804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固态</w:t>
                  </w:r>
                </w:p>
              </w:tc>
              <w:tc>
                <w:tcPr>
                  <w:tcW w:w="403" w:type="pct"/>
                  <w:noWrap w:val="0"/>
                  <w:vAlign w:val="center"/>
                </w:tcPr>
                <w:p w14:paraId="7ED427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90</w:t>
                  </w:r>
                </w:p>
              </w:tc>
              <w:tc>
                <w:tcPr>
                  <w:tcW w:w="343" w:type="pct"/>
                  <w:noWrap w:val="0"/>
                  <w:vAlign w:val="center"/>
                </w:tcPr>
                <w:p w14:paraId="74321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t/a</w:t>
                  </w:r>
                </w:p>
              </w:tc>
              <w:tc>
                <w:tcPr>
                  <w:tcW w:w="720" w:type="pct"/>
                  <w:noWrap w:val="0"/>
                  <w:vAlign w:val="center"/>
                </w:tcPr>
                <w:p w14:paraId="5BEDA2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25kg/块</w:t>
                  </w:r>
                </w:p>
              </w:tc>
              <w:tc>
                <w:tcPr>
                  <w:tcW w:w="530" w:type="pct"/>
                  <w:noWrap w:val="0"/>
                  <w:vAlign w:val="center"/>
                </w:tcPr>
                <w:p w14:paraId="45776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10t</w:t>
                  </w:r>
                </w:p>
              </w:tc>
            </w:tr>
            <w:tr w14:paraId="4323F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355B7B1C">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continue"/>
                  <w:noWrap w:val="0"/>
                  <w:vAlign w:val="center"/>
                </w:tcPr>
                <w:p w14:paraId="587699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p>
              </w:tc>
              <w:tc>
                <w:tcPr>
                  <w:tcW w:w="742" w:type="pct"/>
                  <w:noWrap w:val="0"/>
                  <w:vAlign w:val="center"/>
                </w:tcPr>
                <w:p w14:paraId="09623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天然橡胶</w:t>
                  </w:r>
                </w:p>
              </w:tc>
              <w:tc>
                <w:tcPr>
                  <w:tcW w:w="1396" w:type="pct"/>
                  <w:noWrap w:val="0"/>
                  <w:vAlign w:val="center"/>
                </w:tcPr>
                <w:p w14:paraId="2AC5D2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305" w:type="pct"/>
                  <w:noWrap w:val="0"/>
                  <w:vAlign w:val="center"/>
                </w:tcPr>
                <w:p w14:paraId="421F3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固态</w:t>
                  </w:r>
                </w:p>
              </w:tc>
              <w:tc>
                <w:tcPr>
                  <w:tcW w:w="403" w:type="pct"/>
                  <w:noWrap w:val="0"/>
                  <w:vAlign w:val="center"/>
                </w:tcPr>
                <w:p w14:paraId="3DD11D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30</w:t>
                  </w:r>
                </w:p>
              </w:tc>
              <w:tc>
                <w:tcPr>
                  <w:tcW w:w="343" w:type="pct"/>
                  <w:noWrap w:val="0"/>
                  <w:vAlign w:val="center"/>
                </w:tcPr>
                <w:p w14:paraId="5DA49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t/a</w:t>
                  </w:r>
                </w:p>
              </w:tc>
              <w:tc>
                <w:tcPr>
                  <w:tcW w:w="720" w:type="pct"/>
                  <w:noWrap w:val="0"/>
                  <w:vAlign w:val="center"/>
                </w:tcPr>
                <w:p w14:paraId="6DF119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25kg/块</w:t>
                  </w:r>
                </w:p>
              </w:tc>
              <w:tc>
                <w:tcPr>
                  <w:tcW w:w="530" w:type="pct"/>
                  <w:noWrap w:val="0"/>
                  <w:vAlign w:val="center"/>
                </w:tcPr>
                <w:p w14:paraId="42D0BB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5t</w:t>
                  </w:r>
                </w:p>
              </w:tc>
            </w:tr>
            <w:tr w14:paraId="13B10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74C20A0C">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restart"/>
                  <w:noWrap w:val="0"/>
                  <w:vAlign w:val="center"/>
                </w:tcPr>
                <w:p w14:paraId="32581E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辅料</w:t>
                  </w:r>
                </w:p>
              </w:tc>
              <w:tc>
                <w:tcPr>
                  <w:tcW w:w="742" w:type="pct"/>
                  <w:shd w:val="clear" w:color="auto" w:fill="auto"/>
                  <w:noWrap w:val="0"/>
                  <w:vAlign w:val="center"/>
                </w:tcPr>
                <w:p w14:paraId="0CC5D6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切削液</w:t>
                  </w:r>
                </w:p>
              </w:tc>
              <w:tc>
                <w:tcPr>
                  <w:tcW w:w="1396" w:type="pct"/>
                  <w:shd w:val="clear" w:color="auto" w:fill="auto"/>
                  <w:noWrap w:val="0"/>
                  <w:vAlign w:val="center"/>
                </w:tcPr>
                <w:p w14:paraId="0B24B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矿物油，氯化石蜡，壬基酚聚氧乙烯醚，石油磺酸钠，水</w:t>
                  </w:r>
                </w:p>
              </w:tc>
              <w:tc>
                <w:tcPr>
                  <w:tcW w:w="305" w:type="pct"/>
                  <w:shd w:val="clear" w:color="auto" w:fill="auto"/>
                  <w:noWrap w:val="0"/>
                  <w:vAlign w:val="center"/>
                </w:tcPr>
                <w:p w14:paraId="2D8D5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液态</w:t>
                  </w:r>
                </w:p>
              </w:tc>
              <w:tc>
                <w:tcPr>
                  <w:tcW w:w="403" w:type="pct"/>
                  <w:shd w:val="clear" w:color="auto" w:fill="auto"/>
                  <w:noWrap w:val="0"/>
                  <w:vAlign w:val="center"/>
                </w:tcPr>
                <w:p w14:paraId="6FDA3A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0.6</w:t>
                  </w:r>
                </w:p>
              </w:tc>
              <w:tc>
                <w:tcPr>
                  <w:tcW w:w="343" w:type="pct"/>
                  <w:shd w:val="clear" w:color="auto" w:fill="auto"/>
                  <w:noWrap w:val="0"/>
                  <w:vAlign w:val="center"/>
                </w:tcPr>
                <w:p w14:paraId="23ED9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t/a</w:t>
                  </w:r>
                </w:p>
              </w:tc>
              <w:tc>
                <w:tcPr>
                  <w:tcW w:w="720" w:type="pct"/>
                  <w:shd w:val="clear" w:color="auto" w:fill="auto"/>
                  <w:noWrap w:val="0"/>
                  <w:vAlign w:val="center"/>
                </w:tcPr>
                <w:p w14:paraId="26B57C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200kg/桶</w:t>
                  </w:r>
                </w:p>
              </w:tc>
              <w:tc>
                <w:tcPr>
                  <w:tcW w:w="530" w:type="pct"/>
                  <w:shd w:val="clear" w:color="auto" w:fill="auto"/>
                  <w:noWrap w:val="0"/>
                  <w:vAlign w:val="center"/>
                </w:tcPr>
                <w:p w14:paraId="4DA25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0.4t</w:t>
                  </w:r>
                </w:p>
              </w:tc>
            </w:tr>
            <w:tr w14:paraId="2F84B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68042E71">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continue"/>
                  <w:noWrap w:val="0"/>
                  <w:vAlign w:val="center"/>
                </w:tcPr>
                <w:p w14:paraId="483C00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p>
              </w:tc>
              <w:tc>
                <w:tcPr>
                  <w:tcW w:w="742" w:type="pct"/>
                  <w:shd w:val="clear" w:color="auto" w:fill="auto"/>
                  <w:noWrap w:val="0"/>
                  <w:vAlign w:val="center"/>
                </w:tcPr>
                <w:p w14:paraId="3E07C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胶粘剂</w:t>
                  </w:r>
                </w:p>
              </w:tc>
              <w:tc>
                <w:tcPr>
                  <w:tcW w:w="1396" w:type="pct"/>
                  <w:shd w:val="clear" w:color="auto" w:fill="auto"/>
                  <w:noWrap w:val="0"/>
                  <w:vAlign w:val="center"/>
                </w:tcPr>
                <w:p w14:paraId="6B3BFA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eastAsia="仿宋" w:cs="Times New Roman"/>
                      <w:color w:val="auto"/>
                      <w:sz w:val="21"/>
                      <w:szCs w:val="21"/>
                      <w:lang w:val="en-US" w:eastAsia="zh-CN"/>
                    </w:rPr>
                    <w:t>丙烯酸共聚乳液52</w:t>
                  </w:r>
                  <w:r>
                    <w:rPr>
                      <w:rFonts w:hint="eastAsia" w:eastAsia="仿宋" w:cs="Times New Roman"/>
                      <w:color w:val="auto"/>
                      <w:sz w:val="21"/>
                      <w:szCs w:val="21"/>
                      <w:lang w:val="en-US" w:eastAsia="zh-CN"/>
                    </w:rPr>
                    <w:t>~</w:t>
                  </w:r>
                  <w:r>
                    <w:rPr>
                      <w:rFonts w:hint="default" w:eastAsia="仿宋" w:cs="Times New Roman"/>
                      <w:color w:val="auto"/>
                      <w:sz w:val="21"/>
                      <w:szCs w:val="21"/>
                      <w:lang w:val="en-US" w:eastAsia="zh-CN"/>
                    </w:rPr>
                    <w:t>54%</w:t>
                  </w:r>
                  <w:r>
                    <w:rPr>
                      <w:rFonts w:hint="eastAsia" w:eastAsia="仿宋" w:cs="Times New Roman"/>
                      <w:color w:val="auto"/>
                      <w:sz w:val="21"/>
                      <w:szCs w:val="21"/>
                      <w:lang w:val="en-US" w:eastAsia="zh-CN"/>
                    </w:rPr>
                    <w:t>，水46~48%</w:t>
                  </w:r>
                </w:p>
              </w:tc>
              <w:tc>
                <w:tcPr>
                  <w:tcW w:w="305" w:type="pct"/>
                  <w:shd w:val="clear" w:color="auto" w:fill="auto"/>
                  <w:noWrap w:val="0"/>
                  <w:vAlign w:val="center"/>
                </w:tcPr>
                <w:p w14:paraId="43EC73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液态</w:t>
                  </w:r>
                </w:p>
              </w:tc>
              <w:tc>
                <w:tcPr>
                  <w:tcW w:w="403" w:type="pct"/>
                  <w:shd w:val="clear" w:color="auto" w:fill="auto"/>
                  <w:noWrap w:val="0"/>
                  <w:vAlign w:val="center"/>
                </w:tcPr>
                <w:p w14:paraId="29453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0.08</w:t>
                  </w:r>
                </w:p>
              </w:tc>
              <w:tc>
                <w:tcPr>
                  <w:tcW w:w="343" w:type="pct"/>
                  <w:shd w:val="clear" w:color="auto" w:fill="auto"/>
                  <w:noWrap w:val="0"/>
                  <w:vAlign w:val="center"/>
                </w:tcPr>
                <w:p w14:paraId="35FDE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t/a</w:t>
                  </w:r>
                </w:p>
              </w:tc>
              <w:tc>
                <w:tcPr>
                  <w:tcW w:w="720" w:type="pct"/>
                  <w:shd w:val="clear" w:color="auto" w:fill="auto"/>
                  <w:noWrap w:val="0"/>
                  <w:vAlign w:val="center"/>
                </w:tcPr>
                <w:p w14:paraId="3058B7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25kg/桶</w:t>
                  </w:r>
                </w:p>
              </w:tc>
              <w:tc>
                <w:tcPr>
                  <w:tcW w:w="530" w:type="pct"/>
                  <w:shd w:val="clear" w:color="auto" w:fill="auto"/>
                  <w:noWrap w:val="0"/>
                  <w:vAlign w:val="center"/>
                </w:tcPr>
                <w:p w14:paraId="50DDE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0.05t</w:t>
                  </w:r>
                </w:p>
              </w:tc>
            </w:tr>
            <w:tr w14:paraId="55E46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76B69E3C">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continue"/>
                  <w:noWrap w:val="0"/>
                  <w:vAlign w:val="center"/>
                </w:tcPr>
                <w:p w14:paraId="1846C0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p>
              </w:tc>
              <w:tc>
                <w:tcPr>
                  <w:tcW w:w="742" w:type="pct"/>
                  <w:noWrap w:val="0"/>
                  <w:vAlign w:val="center"/>
                </w:tcPr>
                <w:p w14:paraId="02D5A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钢丝线</w:t>
                  </w:r>
                </w:p>
              </w:tc>
              <w:tc>
                <w:tcPr>
                  <w:tcW w:w="1396" w:type="pct"/>
                  <w:noWrap w:val="0"/>
                  <w:vAlign w:val="center"/>
                </w:tcPr>
                <w:p w14:paraId="03463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w:t>
                  </w:r>
                </w:p>
              </w:tc>
              <w:tc>
                <w:tcPr>
                  <w:tcW w:w="305" w:type="pct"/>
                  <w:noWrap w:val="0"/>
                  <w:vAlign w:val="center"/>
                </w:tcPr>
                <w:p w14:paraId="62292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固态</w:t>
                  </w:r>
                </w:p>
              </w:tc>
              <w:tc>
                <w:tcPr>
                  <w:tcW w:w="403" w:type="pct"/>
                  <w:noWrap w:val="0"/>
                  <w:vAlign w:val="center"/>
                </w:tcPr>
                <w:p w14:paraId="5C46D9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0.05</w:t>
                  </w:r>
                </w:p>
              </w:tc>
              <w:tc>
                <w:tcPr>
                  <w:tcW w:w="343" w:type="pct"/>
                  <w:noWrap w:val="0"/>
                  <w:vAlign w:val="center"/>
                </w:tcPr>
                <w:p w14:paraId="10FA7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t/a</w:t>
                  </w:r>
                </w:p>
              </w:tc>
              <w:tc>
                <w:tcPr>
                  <w:tcW w:w="720" w:type="pct"/>
                  <w:noWrap w:val="0"/>
                  <w:vAlign w:val="center"/>
                </w:tcPr>
                <w:p w14:paraId="780FA5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50kg/卷</w:t>
                  </w:r>
                </w:p>
              </w:tc>
              <w:tc>
                <w:tcPr>
                  <w:tcW w:w="530" w:type="pct"/>
                  <w:noWrap w:val="0"/>
                  <w:vAlign w:val="center"/>
                </w:tcPr>
                <w:p w14:paraId="0E78A0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0.05t</w:t>
                  </w:r>
                </w:p>
              </w:tc>
            </w:tr>
            <w:tr w14:paraId="46816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4EE486D7">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continue"/>
                  <w:noWrap w:val="0"/>
                  <w:vAlign w:val="center"/>
                </w:tcPr>
                <w:p w14:paraId="5C99E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p>
              </w:tc>
              <w:tc>
                <w:tcPr>
                  <w:tcW w:w="742" w:type="pct"/>
                  <w:noWrap w:val="0"/>
                  <w:vAlign w:val="center"/>
                </w:tcPr>
                <w:p w14:paraId="5ADAA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促进剂M</w:t>
                  </w:r>
                </w:p>
              </w:tc>
              <w:tc>
                <w:tcPr>
                  <w:tcW w:w="1396" w:type="pct"/>
                  <w:noWrap w:val="0"/>
                  <w:vAlign w:val="center"/>
                </w:tcPr>
                <w:p w14:paraId="1FAD8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2-巯醇基苯并噻唑</w:t>
                  </w:r>
                </w:p>
              </w:tc>
              <w:tc>
                <w:tcPr>
                  <w:tcW w:w="305" w:type="pct"/>
                  <w:noWrap w:val="0"/>
                  <w:vAlign w:val="center"/>
                </w:tcPr>
                <w:p w14:paraId="330F8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固态</w:t>
                  </w:r>
                </w:p>
              </w:tc>
              <w:tc>
                <w:tcPr>
                  <w:tcW w:w="403" w:type="pct"/>
                  <w:noWrap w:val="0"/>
                  <w:vAlign w:val="center"/>
                </w:tcPr>
                <w:p w14:paraId="128BC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0.05</w:t>
                  </w:r>
                </w:p>
              </w:tc>
              <w:tc>
                <w:tcPr>
                  <w:tcW w:w="343" w:type="pct"/>
                  <w:noWrap w:val="0"/>
                  <w:vAlign w:val="center"/>
                </w:tcPr>
                <w:p w14:paraId="15192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t/a</w:t>
                  </w:r>
                </w:p>
              </w:tc>
              <w:tc>
                <w:tcPr>
                  <w:tcW w:w="720" w:type="pct"/>
                  <w:noWrap w:val="0"/>
                  <w:vAlign w:val="center"/>
                </w:tcPr>
                <w:p w14:paraId="42AFEE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25kg/袋</w:t>
                  </w:r>
                </w:p>
              </w:tc>
              <w:tc>
                <w:tcPr>
                  <w:tcW w:w="530" w:type="pct"/>
                  <w:noWrap w:val="0"/>
                  <w:vAlign w:val="center"/>
                </w:tcPr>
                <w:p w14:paraId="717D7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0.05t</w:t>
                  </w:r>
                </w:p>
              </w:tc>
            </w:tr>
            <w:tr w14:paraId="7F424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55009CC1">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continue"/>
                  <w:noWrap w:val="0"/>
                  <w:vAlign w:val="center"/>
                </w:tcPr>
                <w:p w14:paraId="2965E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p>
              </w:tc>
              <w:tc>
                <w:tcPr>
                  <w:tcW w:w="742" w:type="pct"/>
                  <w:noWrap w:val="0"/>
                  <w:vAlign w:val="center"/>
                </w:tcPr>
                <w:p w14:paraId="77C1E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防老剂4010</w:t>
                  </w:r>
                </w:p>
              </w:tc>
              <w:tc>
                <w:tcPr>
                  <w:tcW w:w="1396" w:type="pct"/>
                  <w:noWrap w:val="0"/>
                  <w:vAlign w:val="center"/>
                </w:tcPr>
                <w:p w14:paraId="62373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N-环己基-N'-苯基对苯二胺</w:t>
                  </w:r>
                </w:p>
              </w:tc>
              <w:tc>
                <w:tcPr>
                  <w:tcW w:w="305" w:type="pct"/>
                  <w:noWrap w:val="0"/>
                  <w:vAlign w:val="center"/>
                </w:tcPr>
                <w:p w14:paraId="4FF602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固态</w:t>
                  </w:r>
                </w:p>
              </w:tc>
              <w:tc>
                <w:tcPr>
                  <w:tcW w:w="403" w:type="pct"/>
                  <w:noWrap w:val="0"/>
                  <w:vAlign w:val="center"/>
                </w:tcPr>
                <w:p w14:paraId="068A2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r>
                    <w:rPr>
                      <w:rFonts w:hint="eastAsia" w:ascii="Times New Roman" w:hAnsi="Times New Roman" w:eastAsia="仿宋" w:cs="Times New Roman"/>
                      <w:color w:val="auto"/>
                      <w:sz w:val="21"/>
                      <w:szCs w:val="21"/>
                      <w:lang w:val="en-US" w:eastAsia="zh-CN"/>
                    </w:rPr>
                    <w:t>.</w:t>
                  </w:r>
                  <w:r>
                    <w:rPr>
                      <w:rFonts w:hint="eastAsia" w:eastAsia="仿宋" w:cs="Times New Roman"/>
                      <w:color w:val="auto"/>
                      <w:sz w:val="21"/>
                      <w:szCs w:val="21"/>
                      <w:lang w:val="en-US" w:eastAsia="zh-CN"/>
                    </w:rPr>
                    <w:t>0</w:t>
                  </w:r>
                  <w:r>
                    <w:rPr>
                      <w:rFonts w:hint="eastAsia" w:ascii="Times New Roman" w:hAnsi="Times New Roman" w:eastAsia="仿宋" w:cs="Times New Roman"/>
                      <w:color w:val="auto"/>
                      <w:sz w:val="21"/>
                      <w:szCs w:val="21"/>
                      <w:lang w:val="en-US" w:eastAsia="zh-CN"/>
                    </w:rPr>
                    <w:t>5</w:t>
                  </w:r>
                </w:p>
              </w:tc>
              <w:tc>
                <w:tcPr>
                  <w:tcW w:w="343" w:type="pct"/>
                  <w:noWrap w:val="0"/>
                  <w:vAlign w:val="center"/>
                </w:tcPr>
                <w:p w14:paraId="47711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t/a</w:t>
                  </w:r>
                </w:p>
              </w:tc>
              <w:tc>
                <w:tcPr>
                  <w:tcW w:w="720" w:type="pct"/>
                  <w:noWrap w:val="0"/>
                  <w:vAlign w:val="center"/>
                </w:tcPr>
                <w:p w14:paraId="704AE7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25kg/袋</w:t>
                  </w:r>
                </w:p>
              </w:tc>
              <w:tc>
                <w:tcPr>
                  <w:tcW w:w="530" w:type="pct"/>
                  <w:noWrap w:val="0"/>
                  <w:vAlign w:val="center"/>
                </w:tcPr>
                <w:p w14:paraId="6D1A03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0.05</w:t>
                  </w:r>
                  <w:r>
                    <w:rPr>
                      <w:rFonts w:hint="eastAsia" w:ascii="Times New Roman" w:hAnsi="Times New Roman" w:eastAsia="仿宋" w:cs="Times New Roman"/>
                      <w:color w:val="auto"/>
                      <w:sz w:val="21"/>
                      <w:szCs w:val="21"/>
                      <w:lang w:val="en-US" w:eastAsia="zh-CN"/>
                    </w:rPr>
                    <w:t>t</w:t>
                  </w:r>
                </w:p>
              </w:tc>
            </w:tr>
            <w:tr w14:paraId="4D193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643830A0">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continue"/>
                  <w:noWrap w:val="0"/>
                  <w:vAlign w:val="center"/>
                </w:tcPr>
                <w:p w14:paraId="274D13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p>
              </w:tc>
              <w:tc>
                <w:tcPr>
                  <w:tcW w:w="742" w:type="pct"/>
                  <w:noWrap w:val="0"/>
                  <w:vAlign w:val="center"/>
                </w:tcPr>
                <w:p w14:paraId="0550C4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硬脂酸</w:t>
                  </w:r>
                </w:p>
              </w:tc>
              <w:tc>
                <w:tcPr>
                  <w:tcW w:w="1396" w:type="pct"/>
                  <w:noWrap w:val="0"/>
                  <w:vAlign w:val="center"/>
                </w:tcPr>
                <w:p w14:paraId="5EB382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w:t>
                  </w:r>
                </w:p>
              </w:tc>
              <w:tc>
                <w:tcPr>
                  <w:tcW w:w="305" w:type="pct"/>
                  <w:noWrap w:val="0"/>
                  <w:vAlign w:val="center"/>
                </w:tcPr>
                <w:p w14:paraId="411EC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固态</w:t>
                  </w:r>
                </w:p>
              </w:tc>
              <w:tc>
                <w:tcPr>
                  <w:tcW w:w="403" w:type="pct"/>
                  <w:noWrap w:val="0"/>
                  <w:vAlign w:val="center"/>
                </w:tcPr>
                <w:p w14:paraId="4B44BC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r>
                    <w:rPr>
                      <w:rFonts w:hint="eastAsia" w:ascii="Times New Roman" w:hAnsi="Times New Roman" w:eastAsia="仿宋" w:cs="Times New Roman"/>
                      <w:color w:val="auto"/>
                      <w:sz w:val="21"/>
                      <w:szCs w:val="21"/>
                      <w:lang w:val="en-US" w:eastAsia="zh-CN"/>
                    </w:rPr>
                    <w:t>.</w:t>
                  </w:r>
                  <w:r>
                    <w:rPr>
                      <w:rFonts w:hint="eastAsia" w:eastAsia="仿宋" w:cs="Times New Roman"/>
                      <w:color w:val="auto"/>
                      <w:sz w:val="21"/>
                      <w:szCs w:val="21"/>
                      <w:lang w:val="en-US" w:eastAsia="zh-CN"/>
                    </w:rPr>
                    <w:t>2</w:t>
                  </w:r>
                </w:p>
              </w:tc>
              <w:tc>
                <w:tcPr>
                  <w:tcW w:w="343" w:type="pct"/>
                  <w:noWrap w:val="0"/>
                  <w:vAlign w:val="center"/>
                </w:tcPr>
                <w:p w14:paraId="2051CC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t/a</w:t>
                  </w:r>
                </w:p>
              </w:tc>
              <w:tc>
                <w:tcPr>
                  <w:tcW w:w="720" w:type="pct"/>
                  <w:noWrap w:val="0"/>
                  <w:vAlign w:val="center"/>
                </w:tcPr>
                <w:p w14:paraId="1806E8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25kg/袋</w:t>
                  </w:r>
                </w:p>
              </w:tc>
              <w:tc>
                <w:tcPr>
                  <w:tcW w:w="530" w:type="pct"/>
                  <w:noWrap w:val="0"/>
                  <w:vAlign w:val="center"/>
                </w:tcPr>
                <w:p w14:paraId="6B2AB6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w:t>
                  </w:r>
                  <w:r>
                    <w:rPr>
                      <w:rFonts w:hint="eastAsia" w:eastAsia="仿宋" w:cs="Times New Roman"/>
                      <w:color w:val="auto"/>
                      <w:sz w:val="21"/>
                      <w:szCs w:val="21"/>
                      <w:lang w:val="en-US" w:eastAsia="zh-CN"/>
                    </w:rPr>
                    <w:t>05</w:t>
                  </w:r>
                  <w:r>
                    <w:rPr>
                      <w:rFonts w:hint="eastAsia" w:ascii="Times New Roman" w:hAnsi="Times New Roman" w:eastAsia="仿宋" w:cs="Times New Roman"/>
                      <w:color w:val="auto"/>
                      <w:sz w:val="21"/>
                      <w:szCs w:val="21"/>
                      <w:lang w:val="en-US" w:eastAsia="zh-CN"/>
                    </w:rPr>
                    <w:t>t</w:t>
                  </w:r>
                </w:p>
              </w:tc>
            </w:tr>
            <w:tr w14:paraId="29D53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4FA1AC86">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continue"/>
                  <w:noWrap w:val="0"/>
                  <w:vAlign w:val="center"/>
                </w:tcPr>
                <w:p w14:paraId="5D514D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p>
              </w:tc>
              <w:tc>
                <w:tcPr>
                  <w:tcW w:w="742" w:type="pct"/>
                  <w:noWrap w:val="0"/>
                  <w:vAlign w:val="center"/>
                </w:tcPr>
                <w:p w14:paraId="28D982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氧化锌</w:t>
                  </w:r>
                </w:p>
              </w:tc>
              <w:tc>
                <w:tcPr>
                  <w:tcW w:w="1396" w:type="pct"/>
                  <w:noWrap w:val="0"/>
                  <w:vAlign w:val="center"/>
                </w:tcPr>
                <w:p w14:paraId="4B203B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05" w:type="pct"/>
                  <w:noWrap w:val="0"/>
                  <w:vAlign w:val="center"/>
                </w:tcPr>
                <w:p w14:paraId="7CFB71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固态</w:t>
                  </w:r>
                </w:p>
              </w:tc>
              <w:tc>
                <w:tcPr>
                  <w:tcW w:w="403" w:type="pct"/>
                  <w:noWrap w:val="0"/>
                  <w:vAlign w:val="center"/>
                </w:tcPr>
                <w:p w14:paraId="52842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3</w:t>
                  </w:r>
                </w:p>
              </w:tc>
              <w:tc>
                <w:tcPr>
                  <w:tcW w:w="343" w:type="pct"/>
                  <w:noWrap w:val="0"/>
                  <w:vAlign w:val="center"/>
                </w:tcPr>
                <w:p w14:paraId="12610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t/a</w:t>
                  </w:r>
                </w:p>
              </w:tc>
              <w:tc>
                <w:tcPr>
                  <w:tcW w:w="720" w:type="pct"/>
                  <w:noWrap w:val="0"/>
                  <w:vAlign w:val="center"/>
                </w:tcPr>
                <w:p w14:paraId="203531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25kg/袋</w:t>
                  </w:r>
                </w:p>
              </w:tc>
              <w:tc>
                <w:tcPr>
                  <w:tcW w:w="530" w:type="pct"/>
                  <w:noWrap w:val="0"/>
                  <w:vAlign w:val="center"/>
                </w:tcPr>
                <w:p w14:paraId="5F645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0.5t</w:t>
                  </w:r>
                </w:p>
              </w:tc>
            </w:tr>
            <w:tr w14:paraId="79159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6F9C1A0B">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continue"/>
                  <w:noWrap w:val="0"/>
                  <w:vAlign w:val="center"/>
                </w:tcPr>
                <w:p w14:paraId="2CE2CF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p>
              </w:tc>
              <w:tc>
                <w:tcPr>
                  <w:tcW w:w="742" w:type="pct"/>
                  <w:noWrap w:val="0"/>
                  <w:vAlign w:val="center"/>
                </w:tcPr>
                <w:p w14:paraId="211D81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氧化镁</w:t>
                  </w:r>
                </w:p>
              </w:tc>
              <w:tc>
                <w:tcPr>
                  <w:tcW w:w="1396" w:type="pct"/>
                  <w:noWrap w:val="0"/>
                  <w:vAlign w:val="center"/>
                </w:tcPr>
                <w:p w14:paraId="126102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05" w:type="pct"/>
                  <w:noWrap w:val="0"/>
                  <w:vAlign w:val="center"/>
                </w:tcPr>
                <w:p w14:paraId="506FAB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固态</w:t>
                  </w:r>
                </w:p>
              </w:tc>
              <w:tc>
                <w:tcPr>
                  <w:tcW w:w="403" w:type="pct"/>
                  <w:noWrap w:val="0"/>
                  <w:vAlign w:val="center"/>
                </w:tcPr>
                <w:p w14:paraId="1BF95E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343" w:type="pct"/>
                  <w:noWrap w:val="0"/>
                  <w:vAlign w:val="center"/>
                </w:tcPr>
                <w:p w14:paraId="54BE16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t/a</w:t>
                  </w:r>
                </w:p>
              </w:tc>
              <w:tc>
                <w:tcPr>
                  <w:tcW w:w="720" w:type="pct"/>
                  <w:noWrap w:val="0"/>
                  <w:vAlign w:val="center"/>
                </w:tcPr>
                <w:p w14:paraId="6CB63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25kg/袋</w:t>
                  </w:r>
                </w:p>
              </w:tc>
              <w:tc>
                <w:tcPr>
                  <w:tcW w:w="530" w:type="pct"/>
                  <w:noWrap w:val="0"/>
                  <w:vAlign w:val="center"/>
                </w:tcPr>
                <w:p w14:paraId="434B9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0.1t</w:t>
                  </w:r>
                </w:p>
              </w:tc>
            </w:tr>
            <w:tr w14:paraId="67F54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5EB06BD9">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continue"/>
                  <w:noWrap w:val="0"/>
                  <w:vAlign w:val="center"/>
                </w:tcPr>
                <w:p w14:paraId="46C131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p>
              </w:tc>
              <w:tc>
                <w:tcPr>
                  <w:tcW w:w="742" w:type="pct"/>
                  <w:noWrap w:val="0"/>
                  <w:vAlign w:val="center"/>
                </w:tcPr>
                <w:p w14:paraId="31E64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砂纸</w:t>
                  </w:r>
                </w:p>
              </w:tc>
              <w:tc>
                <w:tcPr>
                  <w:tcW w:w="1396" w:type="pct"/>
                  <w:noWrap w:val="0"/>
                  <w:vAlign w:val="center"/>
                </w:tcPr>
                <w:p w14:paraId="1B5D6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80目、400目</w:t>
                  </w:r>
                </w:p>
              </w:tc>
              <w:tc>
                <w:tcPr>
                  <w:tcW w:w="305" w:type="pct"/>
                  <w:noWrap w:val="0"/>
                  <w:vAlign w:val="center"/>
                </w:tcPr>
                <w:p w14:paraId="73BF56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固态</w:t>
                  </w:r>
                </w:p>
              </w:tc>
              <w:tc>
                <w:tcPr>
                  <w:tcW w:w="403" w:type="pct"/>
                  <w:noWrap w:val="0"/>
                  <w:vAlign w:val="center"/>
                </w:tcPr>
                <w:p w14:paraId="686A0A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1000</w:t>
                  </w:r>
                </w:p>
              </w:tc>
              <w:tc>
                <w:tcPr>
                  <w:tcW w:w="343" w:type="pct"/>
                  <w:noWrap w:val="0"/>
                  <w:vAlign w:val="center"/>
                </w:tcPr>
                <w:p w14:paraId="1DFF4B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张/a</w:t>
                  </w:r>
                </w:p>
              </w:tc>
              <w:tc>
                <w:tcPr>
                  <w:tcW w:w="720" w:type="pct"/>
                  <w:noWrap w:val="0"/>
                  <w:vAlign w:val="center"/>
                </w:tcPr>
                <w:p w14:paraId="3EE9A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100张/盒</w:t>
                  </w:r>
                </w:p>
              </w:tc>
              <w:tc>
                <w:tcPr>
                  <w:tcW w:w="530" w:type="pct"/>
                  <w:noWrap w:val="0"/>
                  <w:vAlign w:val="center"/>
                </w:tcPr>
                <w:p w14:paraId="29E41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100张</w:t>
                  </w:r>
                </w:p>
              </w:tc>
            </w:tr>
            <w:tr w14:paraId="1F853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3D01E8DC">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continue"/>
                  <w:noWrap w:val="0"/>
                  <w:vAlign w:val="center"/>
                </w:tcPr>
                <w:p w14:paraId="08674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p>
              </w:tc>
              <w:tc>
                <w:tcPr>
                  <w:tcW w:w="742" w:type="pct"/>
                  <w:noWrap w:val="0"/>
                  <w:vAlign w:val="center"/>
                </w:tcPr>
                <w:p w14:paraId="22FD89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毛刷</w:t>
                  </w:r>
                </w:p>
              </w:tc>
              <w:tc>
                <w:tcPr>
                  <w:tcW w:w="1396" w:type="pct"/>
                  <w:noWrap w:val="0"/>
                  <w:vAlign w:val="center"/>
                </w:tcPr>
                <w:p w14:paraId="60DE04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w:t>
                  </w:r>
                </w:p>
              </w:tc>
              <w:tc>
                <w:tcPr>
                  <w:tcW w:w="305" w:type="pct"/>
                  <w:noWrap w:val="0"/>
                  <w:vAlign w:val="center"/>
                </w:tcPr>
                <w:p w14:paraId="22A16E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固态</w:t>
                  </w:r>
                </w:p>
              </w:tc>
              <w:tc>
                <w:tcPr>
                  <w:tcW w:w="403" w:type="pct"/>
                  <w:noWrap w:val="0"/>
                  <w:vAlign w:val="center"/>
                </w:tcPr>
                <w:p w14:paraId="6F078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50</w:t>
                  </w:r>
                </w:p>
              </w:tc>
              <w:tc>
                <w:tcPr>
                  <w:tcW w:w="343" w:type="pct"/>
                  <w:noWrap w:val="0"/>
                  <w:vAlign w:val="center"/>
                </w:tcPr>
                <w:p w14:paraId="076DBD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把/a</w:t>
                  </w:r>
                </w:p>
              </w:tc>
              <w:tc>
                <w:tcPr>
                  <w:tcW w:w="720" w:type="pct"/>
                  <w:noWrap w:val="0"/>
                  <w:vAlign w:val="center"/>
                </w:tcPr>
                <w:p w14:paraId="7D81D5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散装</w:t>
                  </w:r>
                </w:p>
              </w:tc>
              <w:tc>
                <w:tcPr>
                  <w:tcW w:w="530" w:type="pct"/>
                  <w:noWrap w:val="0"/>
                  <w:vAlign w:val="center"/>
                </w:tcPr>
                <w:p w14:paraId="616EC0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10把</w:t>
                  </w:r>
                </w:p>
              </w:tc>
            </w:tr>
            <w:tr w14:paraId="19DD4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34BF9D62">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restart"/>
                  <w:noWrap w:val="0"/>
                  <w:vAlign w:val="center"/>
                </w:tcPr>
                <w:p w14:paraId="1BC3B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能源</w:t>
                  </w:r>
                </w:p>
              </w:tc>
              <w:tc>
                <w:tcPr>
                  <w:tcW w:w="2138" w:type="pct"/>
                  <w:gridSpan w:val="2"/>
                  <w:noWrap w:val="0"/>
                  <w:vAlign w:val="center"/>
                </w:tcPr>
                <w:p w14:paraId="30A60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电</w:t>
                  </w:r>
                </w:p>
              </w:tc>
              <w:tc>
                <w:tcPr>
                  <w:tcW w:w="305" w:type="pct"/>
                  <w:noWrap w:val="0"/>
                  <w:vAlign w:val="center"/>
                </w:tcPr>
                <w:p w14:paraId="3F72B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w:t>
                  </w:r>
                </w:p>
              </w:tc>
              <w:tc>
                <w:tcPr>
                  <w:tcW w:w="403" w:type="pct"/>
                  <w:noWrap w:val="0"/>
                  <w:vAlign w:val="center"/>
                </w:tcPr>
                <w:p w14:paraId="62AF62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12</w:t>
                  </w:r>
                  <w:r>
                    <w:rPr>
                      <w:rFonts w:hint="eastAsia" w:ascii="Times New Roman" w:hAnsi="Times New Roman" w:eastAsia="仿宋" w:cs="Times New Roman"/>
                      <w:color w:val="auto"/>
                      <w:sz w:val="21"/>
                      <w:szCs w:val="21"/>
                      <w:lang w:val="en-US" w:eastAsia="zh-CN"/>
                    </w:rPr>
                    <w:t>万</w:t>
                  </w:r>
                </w:p>
              </w:tc>
              <w:tc>
                <w:tcPr>
                  <w:tcW w:w="343" w:type="pct"/>
                  <w:noWrap w:val="0"/>
                  <w:vAlign w:val="center"/>
                </w:tcPr>
                <w:p w14:paraId="209D2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kWh/年</w:t>
                  </w:r>
                </w:p>
              </w:tc>
              <w:tc>
                <w:tcPr>
                  <w:tcW w:w="720" w:type="pct"/>
                  <w:noWrap w:val="0"/>
                  <w:vAlign w:val="center"/>
                </w:tcPr>
                <w:p w14:paraId="059FB2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w:t>
                  </w:r>
                </w:p>
              </w:tc>
              <w:tc>
                <w:tcPr>
                  <w:tcW w:w="530" w:type="pct"/>
                  <w:noWrap w:val="0"/>
                  <w:vAlign w:val="center"/>
                </w:tcPr>
                <w:p w14:paraId="356F72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w:t>
                  </w:r>
                </w:p>
              </w:tc>
            </w:tr>
            <w:tr w14:paraId="78478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noWrap w:val="0"/>
                  <w:vAlign w:val="center"/>
                </w:tcPr>
                <w:p w14:paraId="72581A36">
                  <w:pPr>
                    <w:keepNext w:val="0"/>
                    <w:keepLines w:val="0"/>
                    <w:widowControl/>
                    <w:numPr>
                      <w:ilvl w:val="0"/>
                      <w:numId w:val="7"/>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97" w:type="pct"/>
                  <w:vMerge w:val="continue"/>
                  <w:noWrap w:val="0"/>
                  <w:vAlign w:val="center"/>
                </w:tcPr>
                <w:p w14:paraId="363496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p>
              </w:tc>
              <w:tc>
                <w:tcPr>
                  <w:tcW w:w="2138" w:type="pct"/>
                  <w:gridSpan w:val="2"/>
                  <w:noWrap w:val="0"/>
                  <w:vAlign w:val="center"/>
                </w:tcPr>
                <w:p w14:paraId="7DD51F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水</w:t>
                  </w:r>
                </w:p>
              </w:tc>
              <w:tc>
                <w:tcPr>
                  <w:tcW w:w="305" w:type="pct"/>
                  <w:noWrap w:val="0"/>
                  <w:vAlign w:val="center"/>
                </w:tcPr>
                <w:p w14:paraId="68FC8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液态</w:t>
                  </w:r>
                </w:p>
              </w:tc>
              <w:tc>
                <w:tcPr>
                  <w:tcW w:w="403" w:type="pct"/>
                  <w:noWrap w:val="0"/>
                  <w:vAlign w:val="center"/>
                </w:tcPr>
                <w:p w14:paraId="17AF7C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1309</w:t>
                  </w:r>
                </w:p>
              </w:tc>
              <w:tc>
                <w:tcPr>
                  <w:tcW w:w="343" w:type="pct"/>
                  <w:noWrap w:val="0"/>
                  <w:vAlign w:val="center"/>
                </w:tcPr>
                <w:p w14:paraId="15D488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m</w:t>
                  </w:r>
                  <w:r>
                    <w:rPr>
                      <w:rFonts w:hint="eastAsia"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/年</w:t>
                  </w:r>
                </w:p>
              </w:tc>
              <w:tc>
                <w:tcPr>
                  <w:tcW w:w="720" w:type="pct"/>
                  <w:noWrap w:val="0"/>
                  <w:vAlign w:val="center"/>
                </w:tcPr>
                <w:p w14:paraId="74C93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w:t>
                  </w:r>
                </w:p>
              </w:tc>
              <w:tc>
                <w:tcPr>
                  <w:tcW w:w="530" w:type="pct"/>
                  <w:noWrap w:val="0"/>
                  <w:vAlign w:val="center"/>
                </w:tcPr>
                <w:p w14:paraId="0B933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w:t>
                  </w:r>
                </w:p>
              </w:tc>
            </w:tr>
          </w:tbl>
          <w:p w14:paraId="29988BF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表2-</w:t>
            </w:r>
            <w:r>
              <w:rPr>
                <w:rFonts w:hint="eastAsia" w:cs="Times New Roman"/>
                <w:b/>
                <w:bCs/>
                <w:color w:val="auto"/>
                <w:szCs w:val="21"/>
                <w:lang w:val="en-US" w:eastAsia="zh-CN"/>
              </w:rPr>
              <w:t>5</w:t>
            </w:r>
            <w:r>
              <w:rPr>
                <w:rFonts w:hint="default" w:ascii="Times New Roman" w:hAnsi="Times New Roman" w:cs="Times New Roman"/>
                <w:b/>
                <w:bCs/>
                <w:color w:val="auto"/>
                <w:szCs w:val="21"/>
              </w:rPr>
              <w:t xml:space="preserve">  </w:t>
            </w:r>
            <w:r>
              <w:rPr>
                <w:rFonts w:hint="default" w:ascii="Times New Roman" w:hAnsi="Times New Roman" w:cs="Times New Roman"/>
                <w:b/>
                <w:color w:val="auto"/>
                <w:szCs w:val="21"/>
              </w:rPr>
              <w:t>原辅材料理化性质表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5526"/>
              <w:gridCol w:w="1332"/>
              <w:gridCol w:w="4982"/>
            </w:tblGrid>
            <w:tr w14:paraId="540D0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783" w:type="pct"/>
                  <w:tcBorders>
                    <w:tl2br w:val="nil"/>
                    <w:tr2bl w:val="nil"/>
                  </w:tcBorders>
                  <w:noWrap w:val="0"/>
                  <w:vAlign w:val="center"/>
                </w:tcPr>
                <w:p w14:paraId="37E09EC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rPr>
                  </w:pPr>
                  <w:r>
                    <w:rPr>
                      <w:rFonts w:hint="default" w:ascii="Times New Roman" w:hAnsi="Times New Roman" w:eastAsia="仿宋" w:cs="Times New Roman"/>
                      <w:color w:val="auto"/>
                      <w:sz w:val="21"/>
                      <w:szCs w:val="21"/>
                      <w:shd w:val="clear" w:color="auto" w:fill="auto"/>
                    </w:rPr>
                    <w:t>名称</w:t>
                  </w:r>
                </w:p>
              </w:tc>
              <w:tc>
                <w:tcPr>
                  <w:tcW w:w="1967" w:type="pct"/>
                  <w:tcBorders>
                    <w:tl2br w:val="nil"/>
                    <w:tr2bl w:val="nil"/>
                  </w:tcBorders>
                  <w:noWrap w:val="0"/>
                  <w:vAlign w:val="center"/>
                </w:tcPr>
                <w:p w14:paraId="1F5C045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default" w:ascii="Times New Roman" w:hAnsi="Times New Roman" w:eastAsia="仿宋" w:cs="Times New Roman"/>
                      <w:color w:val="auto"/>
                      <w:sz w:val="21"/>
                      <w:szCs w:val="21"/>
                      <w:shd w:val="clear" w:color="auto" w:fill="auto"/>
                    </w:rPr>
                    <w:t>理化特性</w:t>
                  </w:r>
                </w:p>
              </w:tc>
              <w:tc>
                <w:tcPr>
                  <w:tcW w:w="474" w:type="pct"/>
                  <w:tcBorders>
                    <w:tl2br w:val="nil"/>
                    <w:tr2bl w:val="nil"/>
                  </w:tcBorders>
                  <w:noWrap w:val="0"/>
                  <w:vAlign w:val="center"/>
                </w:tcPr>
                <w:p w14:paraId="09A23E5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default" w:ascii="Times New Roman" w:hAnsi="Times New Roman" w:eastAsia="仿宋" w:cs="Times New Roman"/>
                      <w:color w:val="auto"/>
                      <w:sz w:val="21"/>
                      <w:szCs w:val="21"/>
                      <w:shd w:val="clear" w:color="auto" w:fill="auto"/>
                      <w:lang w:val="en-US" w:eastAsia="zh-CN"/>
                    </w:rPr>
                    <w:t>可燃性</w:t>
                  </w:r>
                </w:p>
              </w:tc>
              <w:tc>
                <w:tcPr>
                  <w:tcW w:w="1773" w:type="pct"/>
                  <w:tcBorders>
                    <w:tl2br w:val="nil"/>
                    <w:tr2bl w:val="nil"/>
                  </w:tcBorders>
                  <w:noWrap w:val="0"/>
                  <w:vAlign w:val="center"/>
                </w:tcPr>
                <w:p w14:paraId="4B79B2DC">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rPr>
                  </w:pPr>
                  <w:r>
                    <w:rPr>
                      <w:rFonts w:hint="default" w:ascii="Times New Roman" w:hAnsi="Times New Roman" w:eastAsia="仿宋" w:cs="Times New Roman"/>
                      <w:color w:val="auto"/>
                      <w:sz w:val="21"/>
                      <w:szCs w:val="21"/>
                      <w:shd w:val="clear" w:color="auto" w:fill="auto"/>
                    </w:rPr>
                    <w:t>毒性</w:t>
                  </w:r>
                </w:p>
              </w:tc>
            </w:tr>
            <w:tr w14:paraId="5712B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3" w:type="pct"/>
                  <w:tcBorders>
                    <w:tl2br w:val="nil"/>
                    <w:tr2bl w:val="nil"/>
                  </w:tcBorders>
                  <w:noWrap w:val="0"/>
                  <w:vAlign w:val="center"/>
                </w:tcPr>
                <w:p w14:paraId="3E40B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shd w:val="clear" w:color="auto" w:fill="auto"/>
                      <w:lang w:val="en-US" w:eastAsia="zh-CN"/>
                    </w:rPr>
                    <w:t>丁腈橡胶</w:t>
                  </w:r>
                </w:p>
              </w:tc>
              <w:tc>
                <w:tcPr>
                  <w:tcW w:w="1967" w:type="pct"/>
                  <w:tcBorders>
                    <w:tl2br w:val="nil"/>
                    <w:tr2bl w:val="nil"/>
                  </w:tcBorders>
                  <w:noWrap w:val="0"/>
                  <w:vAlign w:val="center"/>
                </w:tcPr>
                <w:p w14:paraId="108D7190">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shd w:val="clear" w:color="auto" w:fill="auto"/>
                      <w:lang w:val="en-US" w:eastAsia="zh-CN"/>
                    </w:rPr>
                  </w:pPr>
                  <w:r>
                    <w:rPr>
                      <w:rFonts w:hint="default" w:ascii="Times New Roman" w:hAnsi="Times New Roman" w:eastAsia="仿宋" w:cs="Times New Roman"/>
                      <w:color w:val="auto"/>
                      <w:sz w:val="21"/>
                      <w:szCs w:val="21"/>
                      <w:shd w:val="clear" w:color="auto" w:fill="auto"/>
                      <w:lang w:val="en-US" w:eastAsia="zh-CN"/>
                    </w:rPr>
                    <w:t>简称NBR，浅褐色的弹性体，是由丙烯腈与丁二烯单体聚合而成的共聚物，主要采用低温乳液聚合法生产，耐油性极好，耐磨性较高，耐热性较好，粘接力强。其缺点是耐低温性差、耐臭氧性差，绝缘性能低劣，弹性稍低。</w:t>
                  </w:r>
                </w:p>
              </w:tc>
              <w:tc>
                <w:tcPr>
                  <w:tcW w:w="474" w:type="pct"/>
                  <w:tcBorders>
                    <w:tl2br w:val="nil"/>
                    <w:tr2bl w:val="nil"/>
                  </w:tcBorders>
                  <w:noWrap w:val="0"/>
                  <w:vAlign w:val="center"/>
                </w:tcPr>
                <w:p w14:paraId="42620D8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eastAsia" w:eastAsia="仿宋" w:cs="Times New Roman"/>
                      <w:color w:val="auto"/>
                      <w:sz w:val="21"/>
                      <w:szCs w:val="21"/>
                      <w:shd w:val="clear" w:color="auto" w:fill="auto"/>
                      <w:lang w:val="en-US" w:eastAsia="zh-CN"/>
                    </w:rPr>
                    <w:t>可燃</w:t>
                  </w:r>
                </w:p>
              </w:tc>
              <w:tc>
                <w:tcPr>
                  <w:tcW w:w="1773" w:type="pct"/>
                  <w:tcBorders>
                    <w:tl2br w:val="nil"/>
                    <w:tr2bl w:val="nil"/>
                  </w:tcBorders>
                  <w:noWrap w:val="0"/>
                  <w:vAlign w:val="center"/>
                </w:tcPr>
                <w:p w14:paraId="3A66388E">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 w:val="21"/>
                      <w:szCs w:val="21"/>
                      <w:shd w:val="clear" w:color="auto" w:fill="auto"/>
                      <w:lang w:val="en-US" w:eastAsia="zh-CN"/>
                    </w:rPr>
                  </w:pPr>
                  <w:r>
                    <w:rPr>
                      <w:rFonts w:hint="eastAsia" w:eastAsia="仿宋" w:cs="Times New Roman"/>
                      <w:color w:val="auto"/>
                      <w:sz w:val="21"/>
                      <w:szCs w:val="21"/>
                      <w:shd w:val="clear" w:color="auto" w:fill="auto"/>
                      <w:lang w:val="en-US" w:eastAsia="zh-CN"/>
                    </w:rPr>
                    <w:t>/</w:t>
                  </w:r>
                </w:p>
              </w:tc>
            </w:tr>
            <w:tr w14:paraId="2153D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3" w:type="pct"/>
                  <w:tcBorders>
                    <w:tl2br w:val="nil"/>
                    <w:tr2bl w:val="nil"/>
                  </w:tcBorders>
                  <w:noWrap w:val="0"/>
                  <w:vAlign w:val="center"/>
                </w:tcPr>
                <w:p w14:paraId="6966875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eastAsia" w:eastAsia="仿宋" w:cs="Times New Roman"/>
                      <w:color w:val="auto"/>
                      <w:sz w:val="21"/>
                      <w:szCs w:val="21"/>
                      <w:lang w:val="en-US" w:eastAsia="zh-CN"/>
                    </w:rPr>
                    <w:t>天然橡胶</w:t>
                  </w:r>
                </w:p>
              </w:tc>
              <w:tc>
                <w:tcPr>
                  <w:tcW w:w="1967" w:type="pct"/>
                  <w:tcBorders>
                    <w:tl2br w:val="nil"/>
                    <w:tr2bl w:val="nil"/>
                  </w:tcBorders>
                  <w:noWrap w:val="0"/>
                  <w:vAlign w:val="center"/>
                </w:tcPr>
                <w:p w14:paraId="519725EA">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shd w:val="clear" w:color="auto" w:fill="auto"/>
                      <w:lang w:val="en-US" w:eastAsia="zh-CN"/>
                    </w:rPr>
                  </w:pPr>
                  <w:r>
                    <w:rPr>
                      <w:rFonts w:hint="default" w:ascii="Times New Roman" w:hAnsi="Times New Roman" w:eastAsia="仿宋" w:cs="Times New Roman"/>
                      <w:color w:val="auto"/>
                      <w:sz w:val="21"/>
                      <w:szCs w:val="21"/>
                      <w:shd w:val="clear" w:color="auto" w:fill="auto"/>
                      <w:lang w:val="en-US" w:eastAsia="zh-CN"/>
                    </w:rPr>
                    <w:t>天然橡胶（NR）是一种以顺-1，4-聚异戊二烯为主要成分的天然高分子化合物，其成分中91%～94%是橡胶烃（顺-1，4-聚异戊二烯），其余为蛋白质、脂肪酸、灰分、糖类等非橡胶物质。</w:t>
                  </w:r>
                </w:p>
              </w:tc>
              <w:tc>
                <w:tcPr>
                  <w:tcW w:w="474" w:type="pct"/>
                  <w:tcBorders>
                    <w:tl2br w:val="nil"/>
                    <w:tr2bl w:val="nil"/>
                  </w:tcBorders>
                  <w:noWrap w:val="0"/>
                  <w:vAlign w:val="center"/>
                </w:tcPr>
                <w:p w14:paraId="64D9D90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eastAsia" w:ascii="Times New Roman" w:hAnsi="Times New Roman" w:eastAsia="仿宋" w:cs="Times New Roman"/>
                      <w:color w:val="auto"/>
                      <w:sz w:val="21"/>
                      <w:szCs w:val="21"/>
                      <w:shd w:val="clear" w:color="auto" w:fill="auto"/>
                      <w:lang w:val="en-US" w:eastAsia="zh-CN"/>
                    </w:rPr>
                    <w:t>可燃</w:t>
                  </w:r>
                </w:p>
              </w:tc>
              <w:tc>
                <w:tcPr>
                  <w:tcW w:w="1773" w:type="pct"/>
                  <w:tcBorders>
                    <w:tl2br w:val="nil"/>
                    <w:tr2bl w:val="nil"/>
                  </w:tcBorders>
                  <w:noWrap w:val="0"/>
                  <w:vAlign w:val="center"/>
                </w:tcPr>
                <w:p w14:paraId="0831F70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eastAsia" w:ascii="Times New Roman" w:hAnsi="Times New Roman" w:eastAsia="仿宋" w:cs="Times New Roman"/>
                      <w:color w:val="auto"/>
                      <w:sz w:val="21"/>
                      <w:szCs w:val="21"/>
                      <w:shd w:val="clear" w:color="auto" w:fill="auto"/>
                      <w:lang w:val="en-US" w:eastAsia="zh-CN"/>
                    </w:rPr>
                    <w:t>/</w:t>
                  </w:r>
                </w:p>
              </w:tc>
            </w:tr>
            <w:tr w14:paraId="25FB4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3" w:type="pct"/>
                  <w:tcBorders>
                    <w:tl2br w:val="nil"/>
                    <w:tr2bl w:val="nil"/>
                  </w:tcBorders>
                  <w:noWrap w:val="0"/>
                  <w:vAlign w:val="center"/>
                </w:tcPr>
                <w:p w14:paraId="3EBCEBCE">
                  <w:pPr>
                    <w:keepNext w:val="0"/>
                    <w:keepLines w:val="0"/>
                    <w:suppressLineNumbers w:val="0"/>
                    <w:spacing w:before="0" w:beforeAutospacing="0" w:after="0" w:afterAutospacing="0"/>
                    <w:ind w:left="0" w:right="0"/>
                    <w:jc w:val="center"/>
                    <w:rPr>
                      <w:rFonts w:hint="eastAsia" w:eastAsia="仿宋" w:cs="Times New Roman"/>
                      <w:color w:val="auto"/>
                      <w:sz w:val="21"/>
                      <w:szCs w:val="21"/>
                      <w:lang w:val="en-US" w:eastAsia="zh-CN"/>
                    </w:rPr>
                  </w:pPr>
                  <w:r>
                    <w:rPr>
                      <w:rFonts w:hint="default" w:ascii="Times New Roman" w:hAnsi="Times New Roman" w:eastAsia="仿宋" w:cs="Times New Roman"/>
                      <w:color w:val="auto"/>
                      <w:kern w:val="2"/>
                      <w:sz w:val="21"/>
                      <w:szCs w:val="21"/>
                      <w:lang w:val="en-US" w:eastAsia="zh-CN" w:bidi="ar-SA"/>
                    </w:rPr>
                    <w:t>2-巯醇基苯并噻唑</w:t>
                  </w:r>
                </w:p>
              </w:tc>
              <w:tc>
                <w:tcPr>
                  <w:tcW w:w="1967" w:type="pct"/>
                  <w:tcBorders>
                    <w:tl2br w:val="nil"/>
                    <w:tr2bl w:val="nil"/>
                  </w:tcBorders>
                  <w:noWrap w:val="0"/>
                  <w:vAlign w:val="center"/>
                </w:tcPr>
                <w:p w14:paraId="36705B60">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shd w:val="clear" w:color="auto" w:fill="auto"/>
                      <w:lang w:val="en-US" w:eastAsia="zh-CN"/>
                    </w:rPr>
                  </w:pPr>
                  <w:r>
                    <w:rPr>
                      <w:rFonts w:hint="default" w:ascii="Times New Roman" w:hAnsi="Times New Roman" w:eastAsia="仿宋" w:cs="Times New Roman"/>
                      <w:color w:val="auto"/>
                      <w:sz w:val="21"/>
                      <w:szCs w:val="21"/>
                      <w:shd w:val="clear" w:color="auto" w:fill="auto"/>
                      <w:lang w:val="en-US" w:eastAsia="zh-CN"/>
                    </w:rPr>
                    <w:t>淡黄色单斜针状或叶片状结晶</w:t>
                  </w:r>
                  <w:r>
                    <w:rPr>
                      <w:rFonts w:hint="eastAsia" w:ascii="Times New Roman" w:hAnsi="Times New Roman" w:eastAsia="仿宋" w:cs="Times New Roman"/>
                      <w:color w:val="auto"/>
                      <w:sz w:val="21"/>
                      <w:szCs w:val="21"/>
                      <w:shd w:val="clear" w:color="auto" w:fill="auto"/>
                      <w:lang w:val="en-US" w:eastAsia="zh-CN"/>
                    </w:rPr>
                    <w:t>，</w:t>
                  </w:r>
                  <w:r>
                    <w:rPr>
                      <w:rFonts w:hint="default" w:ascii="Times New Roman" w:hAnsi="Times New Roman" w:eastAsia="仿宋" w:cs="Times New Roman"/>
                      <w:color w:val="auto"/>
                      <w:sz w:val="21"/>
                      <w:szCs w:val="21"/>
                      <w:shd w:val="clear" w:color="auto" w:fill="auto"/>
                      <w:lang w:val="en-US" w:eastAsia="zh-CN"/>
                    </w:rPr>
                    <w:t>有苦味，有不宜人的气味</w:t>
                  </w:r>
                  <w:r>
                    <w:rPr>
                      <w:rFonts w:hint="eastAsia" w:ascii="Times New Roman" w:hAnsi="Times New Roman" w:eastAsia="仿宋" w:cs="Times New Roman"/>
                      <w:color w:val="auto"/>
                      <w:sz w:val="21"/>
                      <w:szCs w:val="21"/>
                      <w:shd w:val="clear" w:color="auto" w:fill="auto"/>
                      <w:lang w:val="en-US" w:eastAsia="zh-CN"/>
                    </w:rPr>
                    <w:t>；熔点（℃）：178~180，相对密度（g/mL,水=1，25℃）：1.42~1.52，闪点（ºC）：515~520，爆炸下限（%，V/V，粉尘）：21；微溶于热水，溶于醇、氯仿、丙酮、四氯化碳等，易溶于醋酸乙酯、丙酮，溶于乙醇、丙醇、氯仿、乙醚、二硫化碳、氨水、氢氧化钠和碳酸钠等碱溶液，微溶于苯，不溶于水和汽油。</w:t>
                  </w:r>
                </w:p>
              </w:tc>
              <w:tc>
                <w:tcPr>
                  <w:tcW w:w="474" w:type="pct"/>
                  <w:tcBorders>
                    <w:tl2br w:val="nil"/>
                    <w:tr2bl w:val="nil"/>
                  </w:tcBorders>
                  <w:noWrap w:val="0"/>
                  <w:vAlign w:val="center"/>
                </w:tcPr>
                <w:p w14:paraId="2DF6D32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eastAsia" w:ascii="Times New Roman" w:hAnsi="Times New Roman" w:eastAsia="仿宋" w:cs="Times New Roman"/>
                      <w:color w:val="auto"/>
                      <w:sz w:val="21"/>
                      <w:szCs w:val="21"/>
                      <w:shd w:val="clear" w:color="auto" w:fill="auto"/>
                      <w:lang w:val="en-US" w:eastAsia="zh-CN"/>
                    </w:rPr>
                    <w:t>可燃</w:t>
                  </w:r>
                </w:p>
              </w:tc>
              <w:tc>
                <w:tcPr>
                  <w:tcW w:w="1773" w:type="pct"/>
                  <w:tcBorders>
                    <w:tl2br w:val="nil"/>
                    <w:tr2bl w:val="nil"/>
                  </w:tcBorders>
                  <w:noWrap w:val="0"/>
                  <w:vAlign w:val="center"/>
                </w:tcPr>
                <w:p w14:paraId="4A00214D">
                  <w:pPr>
                    <w:pStyle w:val="25"/>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 w:val="21"/>
                      <w:szCs w:val="21"/>
                      <w:shd w:val="clear" w:color="auto" w:fill="auto"/>
                      <w:lang w:val="en-US" w:eastAsia="zh-CN"/>
                    </w:rPr>
                  </w:pPr>
                  <w:r>
                    <w:rPr>
                      <w:rFonts w:hint="default" w:ascii="Times New Roman" w:hAnsi="Times New Roman" w:eastAsia="仿宋" w:cs="Times New Roman"/>
                      <w:color w:val="auto"/>
                      <w:sz w:val="21"/>
                      <w:szCs w:val="21"/>
                      <w:shd w:val="clear" w:color="auto" w:fill="auto"/>
                      <w:lang w:val="en-US" w:eastAsia="zh-CN"/>
                    </w:rPr>
                    <w:t>LD</w:t>
                  </w:r>
                  <w:r>
                    <w:rPr>
                      <w:rFonts w:hint="default" w:ascii="Times New Roman" w:hAnsi="Times New Roman" w:eastAsia="仿宋" w:cs="Times New Roman"/>
                      <w:color w:val="auto"/>
                      <w:sz w:val="21"/>
                      <w:szCs w:val="21"/>
                      <w:shd w:val="clear" w:color="auto" w:fill="auto"/>
                      <w:vertAlign w:val="subscript"/>
                      <w:lang w:val="en-US" w:eastAsia="zh-CN"/>
                    </w:rPr>
                    <w:t>50</w:t>
                  </w:r>
                  <w:r>
                    <w:rPr>
                      <w:rFonts w:hint="eastAsia" w:ascii="Times New Roman" w:hAnsi="Times New Roman" w:eastAsia="仿宋" w:cs="Times New Roman"/>
                      <w:color w:val="auto"/>
                      <w:sz w:val="21"/>
                      <w:szCs w:val="21"/>
                      <w:shd w:val="clear" w:color="auto" w:fill="auto"/>
                      <w:lang w:val="en-US" w:eastAsia="zh-CN"/>
                    </w:rPr>
                    <w:t>：100</w:t>
                  </w:r>
                  <w:r>
                    <w:rPr>
                      <w:rFonts w:hint="default" w:ascii="Times New Roman" w:hAnsi="Times New Roman" w:eastAsia="仿宋" w:cs="Times New Roman"/>
                      <w:color w:val="auto"/>
                      <w:sz w:val="21"/>
                      <w:szCs w:val="21"/>
                      <w:shd w:val="clear" w:color="auto" w:fill="auto"/>
                      <w:lang w:val="en-US" w:eastAsia="zh-CN"/>
                    </w:rPr>
                    <w:t>mg/kg（大鼠经口）</w:t>
                  </w:r>
                </w:p>
                <w:p w14:paraId="3638E447">
                  <w:pPr>
                    <w:pStyle w:val="25"/>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default" w:ascii="Times New Roman" w:hAnsi="Times New Roman" w:eastAsia="仿宋" w:cs="Times New Roman"/>
                      <w:color w:val="auto"/>
                      <w:sz w:val="21"/>
                      <w:szCs w:val="21"/>
                      <w:shd w:val="clear" w:color="auto" w:fill="auto"/>
                      <w:lang w:val="en-US" w:eastAsia="zh-CN"/>
                    </w:rPr>
                    <w:t>LD</w:t>
                  </w:r>
                  <w:r>
                    <w:rPr>
                      <w:rFonts w:hint="default" w:ascii="Times New Roman" w:hAnsi="Times New Roman" w:eastAsia="仿宋" w:cs="Times New Roman"/>
                      <w:color w:val="auto"/>
                      <w:sz w:val="21"/>
                      <w:szCs w:val="21"/>
                      <w:shd w:val="clear" w:color="auto" w:fill="auto"/>
                      <w:vertAlign w:val="subscript"/>
                      <w:lang w:val="en-US" w:eastAsia="zh-CN"/>
                    </w:rPr>
                    <w:t>50</w:t>
                  </w:r>
                  <w:r>
                    <w:rPr>
                      <w:rFonts w:hint="eastAsia" w:ascii="Times New Roman" w:hAnsi="Times New Roman" w:eastAsia="仿宋" w:cs="Times New Roman"/>
                      <w:color w:val="auto"/>
                      <w:sz w:val="21"/>
                      <w:szCs w:val="21"/>
                      <w:shd w:val="clear" w:color="auto" w:fill="auto"/>
                      <w:lang w:val="en-US" w:eastAsia="zh-CN"/>
                    </w:rPr>
                    <w:t>：1158</w:t>
                  </w:r>
                  <w:r>
                    <w:rPr>
                      <w:rFonts w:hint="default" w:ascii="Times New Roman" w:hAnsi="Times New Roman" w:eastAsia="仿宋" w:cs="Times New Roman"/>
                      <w:color w:val="auto"/>
                      <w:sz w:val="21"/>
                      <w:szCs w:val="21"/>
                      <w:shd w:val="clear" w:color="auto" w:fill="auto"/>
                      <w:lang w:val="en-US" w:eastAsia="zh-CN"/>
                    </w:rPr>
                    <w:t>mg/kg（</w:t>
                  </w:r>
                  <w:r>
                    <w:rPr>
                      <w:rFonts w:hint="eastAsia" w:ascii="Times New Roman" w:hAnsi="Times New Roman" w:eastAsia="仿宋" w:cs="Times New Roman"/>
                      <w:color w:val="auto"/>
                      <w:sz w:val="21"/>
                      <w:szCs w:val="21"/>
                      <w:shd w:val="clear" w:color="auto" w:fill="auto"/>
                      <w:lang w:val="en-US" w:eastAsia="zh-CN"/>
                    </w:rPr>
                    <w:t>小</w:t>
                  </w:r>
                  <w:r>
                    <w:rPr>
                      <w:rFonts w:hint="default" w:ascii="Times New Roman" w:hAnsi="Times New Roman" w:eastAsia="仿宋" w:cs="Times New Roman"/>
                      <w:color w:val="auto"/>
                      <w:sz w:val="21"/>
                      <w:szCs w:val="21"/>
                      <w:shd w:val="clear" w:color="auto" w:fill="auto"/>
                      <w:lang w:val="en-US" w:eastAsia="zh-CN"/>
                    </w:rPr>
                    <w:t>鼠经口）</w:t>
                  </w:r>
                </w:p>
                <w:p w14:paraId="4A35A2CA">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default" w:ascii="Times New Roman" w:hAnsi="Times New Roman" w:eastAsia="仿宋" w:cs="Times New Roman"/>
                      <w:color w:val="auto"/>
                      <w:sz w:val="21"/>
                      <w:szCs w:val="21"/>
                      <w:shd w:val="clear" w:color="auto" w:fill="auto"/>
                      <w:lang w:val="en-US" w:eastAsia="zh-CN"/>
                    </w:rPr>
                    <w:t>LD</w:t>
                  </w:r>
                  <w:r>
                    <w:rPr>
                      <w:rFonts w:hint="default" w:ascii="Times New Roman" w:hAnsi="Times New Roman" w:eastAsia="仿宋" w:cs="Times New Roman"/>
                      <w:color w:val="auto"/>
                      <w:sz w:val="21"/>
                      <w:szCs w:val="21"/>
                      <w:shd w:val="clear" w:color="auto" w:fill="auto"/>
                      <w:vertAlign w:val="subscript"/>
                      <w:lang w:val="en-US" w:eastAsia="zh-CN"/>
                    </w:rPr>
                    <w:t>50</w:t>
                  </w:r>
                  <w:r>
                    <w:rPr>
                      <w:rFonts w:hint="eastAsia" w:ascii="Times New Roman" w:hAnsi="Times New Roman" w:eastAsia="仿宋" w:cs="Times New Roman"/>
                      <w:color w:val="auto"/>
                      <w:sz w:val="21"/>
                      <w:szCs w:val="21"/>
                      <w:shd w:val="clear" w:color="auto" w:fill="auto"/>
                      <w:lang w:val="en-US" w:eastAsia="zh-CN"/>
                    </w:rPr>
                    <w:t>：</w:t>
                  </w:r>
                  <w:r>
                    <w:rPr>
                      <w:rFonts w:hint="eastAsia" w:ascii="仿宋" w:hAnsi="仿宋" w:eastAsia="仿宋" w:cs="仿宋"/>
                      <w:color w:val="auto"/>
                      <w:sz w:val="21"/>
                      <w:szCs w:val="21"/>
                      <w:shd w:val="clear" w:color="auto" w:fill="auto"/>
                      <w:lang w:val="en-US" w:eastAsia="zh-CN"/>
                    </w:rPr>
                    <w:t>﹥</w:t>
                  </w:r>
                  <w:r>
                    <w:rPr>
                      <w:rFonts w:hint="eastAsia" w:ascii="Times New Roman" w:hAnsi="Times New Roman" w:eastAsia="仿宋" w:cs="Times New Roman"/>
                      <w:color w:val="auto"/>
                      <w:sz w:val="21"/>
                      <w:szCs w:val="21"/>
                      <w:shd w:val="clear" w:color="auto" w:fill="auto"/>
                      <w:lang w:val="en-US" w:eastAsia="zh-CN"/>
                    </w:rPr>
                    <w:t>7940mg/kg（兔经皮）</w:t>
                  </w:r>
                </w:p>
                <w:p w14:paraId="33DBC212">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 w:val="21"/>
                      <w:szCs w:val="21"/>
                      <w:shd w:val="clear" w:color="auto" w:fill="auto"/>
                      <w:lang w:val="en-US" w:eastAsia="zh-CN"/>
                    </w:rPr>
                  </w:pPr>
                  <w:r>
                    <w:rPr>
                      <w:rFonts w:hint="default" w:ascii="Times New Roman" w:hAnsi="Times New Roman" w:eastAsia="仿宋" w:cs="Times New Roman"/>
                      <w:color w:val="auto"/>
                      <w:sz w:val="21"/>
                      <w:szCs w:val="21"/>
                      <w:shd w:val="clear" w:color="auto" w:fill="auto"/>
                      <w:lang w:val="en-US" w:eastAsia="zh-CN"/>
                    </w:rPr>
                    <w:t>LC</w:t>
                  </w:r>
                  <w:r>
                    <w:rPr>
                      <w:rFonts w:hint="default" w:ascii="Times New Roman" w:hAnsi="Times New Roman" w:eastAsia="仿宋" w:cs="Times New Roman"/>
                      <w:color w:val="auto"/>
                      <w:sz w:val="21"/>
                      <w:szCs w:val="21"/>
                      <w:shd w:val="clear" w:color="auto" w:fill="auto"/>
                      <w:vertAlign w:val="subscript"/>
                      <w:lang w:val="en-US" w:eastAsia="zh-CN"/>
                    </w:rPr>
                    <w:t>50</w:t>
                  </w:r>
                  <w:r>
                    <w:rPr>
                      <w:rFonts w:hint="eastAsia" w:ascii="Times New Roman" w:hAnsi="Times New Roman" w:eastAsia="仿宋" w:cs="Times New Roman"/>
                      <w:color w:val="auto"/>
                      <w:sz w:val="21"/>
                      <w:szCs w:val="21"/>
                      <w:shd w:val="clear" w:color="auto" w:fill="auto"/>
                      <w:lang w:val="en-US" w:eastAsia="zh-CN"/>
                    </w:rPr>
                    <w:t>：</w:t>
                  </w:r>
                  <w:r>
                    <w:rPr>
                      <w:rFonts w:hint="eastAsia" w:ascii="仿宋" w:hAnsi="仿宋" w:eastAsia="仿宋" w:cs="仿宋"/>
                      <w:color w:val="auto"/>
                      <w:sz w:val="21"/>
                      <w:szCs w:val="21"/>
                      <w:shd w:val="clear" w:color="auto" w:fill="auto"/>
                      <w:lang w:val="en-US" w:eastAsia="zh-CN"/>
                    </w:rPr>
                    <w:t>﹥</w:t>
                  </w:r>
                  <w:r>
                    <w:rPr>
                      <w:rFonts w:hint="eastAsia" w:ascii="Times New Roman" w:hAnsi="Times New Roman" w:eastAsia="仿宋" w:cs="Times New Roman"/>
                      <w:color w:val="auto"/>
                      <w:sz w:val="21"/>
                      <w:szCs w:val="21"/>
                      <w:shd w:val="clear" w:color="auto" w:fill="auto"/>
                      <w:lang w:val="en-US" w:eastAsia="zh-CN"/>
                    </w:rPr>
                    <w:t>127</w:t>
                  </w:r>
                  <w:r>
                    <w:rPr>
                      <w:rFonts w:hint="default" w:ascii="Times New Roman" w:hAnsi="Times New Roman" w:eastAsia="仿宋" w:cs="Times New Roman"/>
                      <w:color w:val="auto"/>
                      <w:sz w:val="21"/>
                      <w:szCs w:val="21"/>
                      <w:shd w:val="clear" w:color="auto" w:fill="auto"/>
                      <w:lang w:val="en-US" w:eastAsia="zh-CN"/>
                    </w:rPr>
                    <w:t>0mg/m</w:t>
                  </w:r>
                  <w:r>
                    <w:rPr>
                      <w:rFonts w:hint="default" w:ascii="Times New Roman" w:hAnsi="Times New Roman" w:eastAsia="仿宋" w:cs="Times New Roman"/>
                      <w:color w:val="auto"/>
                      <w:sz w:val="21"/>
                      <w:szCs w:val="21"/>
                      <w:shd w:val="clear" w:color="auto" w:fill="auto"/>
                      <w:vertAlign w:val="superscript"/>
                      <w:lang w:val="en-US" w:eastAsia="zh-CN"/>
                    </w:rPr>
                    <w:t>3</w:t>
                  </w:r>
                  <w:r>
                    <w:rPr>
                      <w:rFonts w:hint="default" w:ascii="Times New Roman" w:hAnsi="Times New Roman" w:eastAsia="仿宋" w:cs="Times New Roman"/>
                      <w:color w:val="auto"/>
                      <w:sz w:val="21"/>
                      <w:szCs w:val="21"/>
                      <w:shd w:val="clear" w:color="auto" w:fill="auto"/>
                      <w:lang w:val="en-US" w:eastAsia="zh-CN"/>
                    </w:rPr>
                    <w:t>（大鼠吸入）</w:t>
                  </w:r>
                </w:p>
              </w:tc>
            </w:tr>
            <w:tr w14:paraId="168EB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3" w:type="pct"/>
                  <w:tcBorders>
                    <w:tl2br w:val="nil"/>
                    <w:tr2bl w:val="nil"/>
                  </w:tcBorders>
                  <w:noWrap w:val="0"/>
                  <w:vAlign w:val="center"/>
                </w:tcPr>
                <w:p w14:paraId="0FCA3980">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N-环己基-N'-苯基对苯二胺</w:t>
                  </w:r>
                </w:p>
              </w:tc>
              <w:tc>
                <w:tcPr>
                  <w:tcW w:w="1967" w:type="pct"/>
                  <w:tcBorders>
                    <w:tl2br w:val="nil"/>
                    <w:tr2bl w:val="nil"/>
                  </w:tcBorders>
                  <w:noWrap w:val="0"/>
                  <w:vAlign w:val="center"/>
                </w:tcPr>
                <w:p w14:paraId="584C864D">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shd w:val="clear" w:color="auto" w:fill="auto"/>
                      <w:vertAlign w:val="baseline"/>
                      <w:lang w:val="en-US" w:eastAsia="zh-CN"/>
                    </w:rPr>
                  </w:pPr>
                  <w:r>
                    <w:rPr>
                      <w:rFonts w:hint="default" w:ascii="Times New Roman" w:hAnsi="Times New Roman" w:eastAsia="仿宋" w:cs="Times New Roman"/>
                      <w:color w:val="auto"/>
                      <w:sz w:val="21"/>
                      <w:szCs w:val="21"/>
                      <w:shd w:val="clear" w:color="auto" w:fill="auto"/>
                      <w:vertAlign w:val="baseline"/>
                      <w:lang w:val="en-US" w:eastAsia="zh-CN"/>
                    </w:rPr>
                    <w:t>本品纯品为白色粉末，暴露在空气中及日光下颜色逐渐变深，但不影响其质量</w:t>
                  </w:r>
                  <w:r>
                    <w:rPr>
                      <w:rFonts w:hint="eastAsia" w:ascii="Times New Roman" w:hAnsi="Times New Roman" w:eastAsia="仿宋" w:cs="Times New Roman"/>
                      <w:color w:val="auto"/>
                      <w:sz w:val="21"/>
                      <w:szCs w:val="21"/>
                      <w:shd w:val="clear" w:color="auto" w:fill="auto"/>
                      <w:vertAlign w:val="baseline"/>
                      <w:lang w:val="en-US" w:eastAsia="zh-CN"/>
                    </w:rPr>
                    <w:t>；相对密度：1.29，熔点（℃）：115；易溶于氯甲烷、苯、醋酸乙酯、丙酮等，难溶于汽油，不溶于水。</w:t>
                  </w:r>
                </w:p>
              </w:tc>
              <w:tc>
                <w:tcPr>
                  <w:tcW w:w="474" w:type="pct"/>
                  <w:tcBorders>
                    <w:tl2br w:val="nil"/>
                    <w:tr2bl w:val="nil"/>
                  </w:tcBorders>
                  <w:noWrap w:val="0"/>
                  <w:vAlign w:val="center"/>
                </w:tcPr>
                <w:p w14:paraId="0410411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eastAsia" w:ascii="Times New Roman" w:hAnsi="Times New Roman" w:eastAsia="仿宋" w:cs="Times New Roman"/>
                      <w:color w:val="auto"/>
                      <w:sz w:val="21"/>
                      <w:szCs w:val="21"/>
                      <w:shd w:val="clear" w:color="auto" w:fill="auto"/>
                      <w:lang w:val="en-US" w:eastAsia="zh-CN"/>
                    </w:rPr>
                    <w:t>/</w:t>
                  </w:r>
                </w:p>
              </w:tc>
              <w:tc>
                <w:tcPr>
                  <w:tcW w:w="1773" w:type="pct"/>
                  <w:tcBorders>
                    <w:tl2br w:val="nil"/>
                    <w:tr2bl w:val="nil"/>
                  </w:tcBorders>
                  <w:noWrap w:val="0"/>
                  <w:vAlign w:val="center"/>
                </w:tcPr>
                <w:p w14:paraId="3C0D41BE">
                  <w:pPr>
                    <w:pStyle w:val="25"/>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default" w:ascii="Times New Roman" w:hAnsi="Times New Roman" w:eastAsia="仿宋" w:cs="Times New Roman"/>
                      <w:color w:val="auto"/>
                      <w:sz w:val="21"/>
                      <w:szCs w:val="21"/>
                      <w:shd w:val="clear" w:color="auto" w:fill="auto"/>
                      <w:lang w:val="en-US" w:eastAsia="zh-CN"/>
                    </w:rPr>
                    <w:t>LD</w:t>
                  </w:r>
                  <w:r>
                    <w:rPr>
                      <w:rFonts w:hint="default" w:ascii="Times New Roman" w:hAnsi="Times New Roman" w:eastAsia="仿宋" w:cs="Times New Roman"/>
                      <w:color w:val="auto"/>
                      <w:sz w:val="21"/>
                      <w:szCs w:val="21"/>
                      <w:shd w:val="clear" w:color="auto" w:fill="auto"/>
                      <w:vertAlign w:val="subscript"/>
                      <w:lang w:val="en-US" w:eastAsia="zh-CN"/>
                    </w:rPr>
                    <w:t>50</w:t>
                  </w:r>
                  <w:r>
                    <w:rPr>
                      <w:rFonts w:hint="eastAsia" w:ascii="Times New Roman" w:hAnsi="Times New Roman" w:eastAsia="仿宋" w:cs="Times New Roman"/>
                      <w:color w:val="auto"/>
                      <w:sz w:val="21"/>
                      <w:szCs w:val="21"/>
                      <w:shd w:val="clear" w:color="auto" w:fill="auto"/>
                      <w:lang w:val="en-US" w:eastAsia="zh-CN"/>
                    </w:rPr>
                    <w:t>：3900</w:t>
                  </w:r>
                  <w:r>
                    <w:rPr>
                      <w:rFonts w:hint="default" w:ascii="Times New Roman" w:hAnsi="Times New Roman" w:eastAsia="仿宋" w:cs="Times New Roman"/>
                      <w:color w:val="auto"/>
                      <w:sz w:val="21"/>
                      <w:szCs w:val="21"/>
                      <w:shd w:val="clear" w:color="auto" w:fill="auto"/>
                      <w:lang w:val="en-US" w:eastAsia="zh-CN"/>
                    </w:rPr>
                    <w:t>mg/kg（</w:t>
                  </w:r>
                  <w:r>
                    <w:rPr>
                      <w:rFonts w:hint="eastAsia" w:ascii="Times New Roman" w:hAnsi="Times New Roman" w:eastAsia="仿宋" w:cs="Times New Roman"/>
                      <w:color w:val="auto"/>
                      <w:sz w:val="21"/>
                      <w:szCs w:val="21"/>
                      <w:shd w:val="clear" w:color="auto" w:fill="auto"/>
                      <w:lang w:val="en-US" w:eastAsia="zh-CN"/>
                    </w:rPr>
                    <w:t>小鼠灌胃</w:t>
                  </w:r>
                  <w:r>
                    <w:rPr>
                      <w:rFonts w:hint="default" w:ascii="Times New Roman" w:hAnsi="Times New Roman" w:eastAsia="仿宋" w:cs="Times New Roman"/>
                      <w:color w:val="auto"/>
                      <w:sz w:val="21"/>
                      <w:szCs w:val="21"/>
                      <w:shd w:val="clear" w:color="auto" w:fill="auto"/>
                      <w:lang w:val="en-US" w:eastAsia="zh-CN"/>
                    </w:rPr>
                    <w:t>）</w:t>
                  </w:r>
                </w:p>
              </w:tc>
            </w:tr>
            <w:tr w14:paraId="62119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3" w:type="pct"/>
                  <w:tcBorders>
                    <w:tl2br w:val="nil"/>
                    <w:tr2bl w:val="nil"/>
                  </w:tcBorders>
                  <w:noWrap w:val="0"/>
                  <w:vAlign w:val="center"/>
                </w:tcPr>
                <w:p w14:paraId="6E64713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rPr>
                  </w:pPr>
                  <w:r>
                    <w:rPr>
                      <w:rFonts w:hint="eastAsia" w:ascii="Times New Roman" w:hAnsi="Times New Roman" w:eastAsia="仿宋" w:cs="Times New Roman"/>
                      <w:color w:val="auto"/>
                      <w:sz w:val="21"/>
                      <w:szCs w:val="21"/>
                      <w:lang w:val="en-US" w:eastAsia="zh-CN"/>
                    </w:rPr>
                    <w:t>硬脂酸</w:t>
                  </w:r>
                </w:p>
              </w:tc>
              <w:tc>
                <w:tcPr>
                  <w:tcW w:w="1967" w:type="pct"/>
                  <w:tcBorders>
                    <w:tl2br w:val="nil"/>
                    <w:tr2bl w:val="nil"/>
                  </w:tcBorders>
                  <w:noWrap w:val="0"/>
                  <w:vAlign w:val="center"/>
                </w:tcPr>
                <w:p w14:paraId="2F3B2BD4">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shd w:val="clear" w:color="auto" w:fill="auto"/>
                      <w:vertAlign w:val="baseline"/>
                      <w:lang w:val="en-US" w:eastAsia="zh-CN"/>
                    </w:rPr>
                  </w:pPr>
                  <w:r>
                    <w:rPr>
                      <w:rFonts w:hint="eastAsia" w:eastAsia="仿宋" w:cs="Times New Roman"/>
                      <w:color w:val="auto"/>
                      <w:sz w:val="21"/>
                      <w:szCs w:val="21"/>
                      <w:shd w:val="clear" w:color="auto" w:fill="auto"/>
                      <w:vertAlign w:val="baseline"/>
                      <w:lang w:val="en-US" w:eastAsia="zh-CN"/>
                    </w:rPr>
                    <w:t>白色蜡状透明固体或微黄色蜡状固体，能分散成粉末；相对密度（水＝1）：0.84；熔点（℃）：67~72；沸点（℃）：361；不溶于水，稍溶于冷乙醇，加热时较易溶解，微溶于丙酮、苯，易溶于乙醚、氯仿、热乙醇、四氯化碳、二硫化碳。</w:t>
                  </w:r>
                </w:p>
              </w:tc>
              <w:tc>
                <w:tcPr>
                  <w:tcW w:w="474" w:type="pct"/>
                  <w:tcBorders>
                    <w:tl2br w:val="nil"/>
                    <w:tr2bl w:val="nil"/>
                  </w:tcBorders>
                  <w:noWrap w:val="0"/>
                  <w:vAlign w:val="center"/>
                </w:tcPr>
                <w:p w14:paraId="7B0F0B6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shd w:val="clear" w:color="auto" w:fill="auto"/>
                      <w:lang w:val="en-US" w:eastAsia="zh-CN" w:bidi="ar-SA"/>
                    </w:rPr>
                  </w:pPr>
                  <w:r>
                    <w:rPr>
                      <w:rFonts w:hint="eastAsia" w:ascii="Times New Roman" w:hAnsi="Times New Roman" w:eastAsia="仿宋" w:cs="Times New Roman"/>
                      <w:color w:val="auto"/>
                      <w:sz w:val="21"/>
                      <w:szCs w:val="21"/>
                      <w:shd w:val="clear" w:color="auto" w:fill="auto"/>
                      <w:lang w:val="en-US" w:eastAsia="zh-CN"/>
                    </w:rPr>
                    <w:t>易燃</w:t>
                  </w:r>
                </w:p>
              </w:tc>
              <w:tc>
                <w:tcPr>
                  <w:tcW w:w="1773" w:type="pct"/>
                  <w:tcBorders>
                    <w:tl2br w:val="nil"/>
                    <w:tr2bl w:val="nil"/>
                  </w:tcBorders>
                  <w:noWrap w:val="0"/>
                  <w:vAlign w:val="center"/>
                </w:tcPr>
                <w:p w14:paraId="32394616">
                  <w:pPr>
                    <w:pStyle w:val="25"/>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default" w:ascii="Times New Roman" w:hAnsi="Times New Roman" w:eastAsia="仿宋" w:cs="Times New Roman"/>
                      <w:color w:val="auto"/>
                      <w:sz w:val="21"/>
                      <w:szCs w:val="21"/>
                      <w:shd w:val="clear" w:color="auto" w:fill="auto"/>
                      <w:lang w:val="en-US" w:eastAsia="zh-CN"/>
                    </w:rPr>
                    <w:t>L</w:t>
                  </w:r>
                  <w:r>
                    <w:rPr>
                      <w:rFonts w:hint="eastAsia" w:ascii="Times New Roman" w:hAnsi="Times New Roman" w:eastAsia="仿宋" w:cs="Times New Roman"/>
                      <w:color w:val="auto"/>
                      <w:sz w:val="21"/>
                      <w:szCs w:val="21"/>
                      <w:shd w:val="clear" w:color="auto" w:fill="auto"/>
                      <w:lang w:val="en-US" w:eastAsia="zh-CN"/>
                    </w:rPr>
                    <w:t>C</w:t>
                  </w:r>
                  <w:r>
                    <w:rPr>
                      <w:rFonts w:hint="default" w:ascii="Times New Roman" w:hAnsi="Times New Roman" w:eastAsia="仿宋" w:cs="Times New Roman"/>
                      <w:color w:val="auto"/>
                      <w:sz w:val="21"/>
                      <w:szCs w:val="21"/>
                      <w:shd w:val="clear" w:color="auto" w:fill="auto"/>
                      <w:vertAlign w:val="subscript"/>
                      <w:lang w:val="en-US" w:eastAsia="zh-CN"/>
                    </w:rPr>
                    <w:t>50</w:t>
                  </w:r>
                  <w:r>
                    <w:rPr>
                      <w:rFonts w:hint="eastAsia" w:ascii="Times New Roman" w:hAnsi="Times New Roman" w:eastAsia="仿宋" w:cs="Times New Roman"/>
                      <w:color w:val="auto"/>
                      <w:sz w:val="21"/>
                      <w:szCs w:val="21"/>
                      <w:shd w:val="clear" w:color="auto" w:fill="auto"/>
                      <w:lang w:val="en-US" w:eastAsia="zh-CN"/>
                    </w:rPr>
                    <w:t>：（23±0.7）</w:t>
                  </w:r>
                  <w:r>
                    <w:rPr>
                      <w:rFonts w:hint="default" w:ascii="Times New Roman" w:hAnsi="Times New Roman" w:eastAsia="仿宋" w:cs="Times New Roman"/>
                      <w:color w:val="auto"/>
                      <w:sz w:val="21"/>
                      <w:szCs w:val="21"/>
                      <w:shd w:val="clear" w:color="auto" w:fill="auto"/>
                      <w:lang w:val="en-US" w:eastAsia="zh-CN"/>
                    </w:rPr>
                    <w:t>mg/kg（大鼠</w:t>
                  </w:r>
                  <w:r>
                    <w:rPr>
                      <w:rFonts w:hint="eastAsia" w:ascii="Times New Roman" w:hAnsi="Times New Roman" w:eastAsia="仿宋" w:cs="Times New Roman"/>
                      <w:color w:val="auto"/>
                      <w:sz w:val="21"/>
                      <w:szCs w:val="21"/>
                      <w:shd w:val="clear" w:color="auto" w:fill="auto"/>
                      <w:lang w:val="en-US" w:eastAsia="zh-CN"/>
                    </w:rPr>
                    <w:t>静脉注射</w:t>
                  </w:r>
                  <w:r>
                    <w:rPr>
                      <w:rFonts w:hint="default" w:ascii="Times New Roman" w:hAnsi="Times New Roman" w:eastAsia="仿宋" w:cs="Times New Roman"/>
                      <w:color w:val="auto"/>
                      <w:sz w:val="21"/>
                      <w:szCs w:val="21"/>
                      <w:shd w:val="clear" w:color="auto" w:fill="auto"/>
                      <w:lang w:val="en-US" w:eastAsia="zh-CN"/>
                    </w:rPr>
                    <w:t>）</w:t>
                  </w:r>
                </w:p>
                <w:p w14:paraId="7C359742">
                  <w:pPr>
                    <w:pStyle w:val="25"/>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default" w:ascii="Times New Roman" w:hAnsi="Times New Roman" w:eastAsia="仿宋" w:cs="Times New Roman"/>
                      <w:color w:val="auto"/>
                      <w:sz w:val="21"/>
                      <w:szCs w:val="21"/>
                      <w:shd w:val="clear" w:color="auto" w:fill="auto"/>
                      <w:lang w:val="en-US" w:eastAsia="zh-CN"/>
                    </w:rPr>
                    <w:t>L</w:t>
                  </w:r>
                  <w:r>
                    <w:rPr>
                      <w:rFonts w:hint="eastAsia" w:ascii="Times New Roman" w:hAnsi="Times New Roman" w:eastAsia="仿宋" w:cs="Times New Roman"/>
                      <w:color w:val="auto"/>
                      <w:sz w:val="21"/>
                      <w:szCs w:val="21"/>
                      <w:shd w:val="clear" w:color="auto" w:fill="auto"/>
                      <w:lang w:val="en-US" w:eastAsia="zh-CN"/>
                    </w:rPr>
                    <w:t>C</w:t>
                  </w:r>
                  <w:r>
                    <w:rPr>
                      <w:rFonts w:hint="default" w:ascii="Times New Roman" w:hAnsi="Times New Roman" w:eastAsia="仿宋" w:cs="Times New Roman"/>
                      <w:color w:val="auto"/>
                      <w:sz w:val="21"/>
                      <w:szCs w:val="21"/>
                      <w:shd w:val="clear" w:color="auto" w:fill="auto"/>
                      <w:vertAlign w:val="subscript"/>
                      <w:lang w:val="en-US" w:eastAsia="zh-CN"/>
                    </w:rPr>
                    <w:t>50</w:t>
                  </w:r>
                  <w:r>
                    <w:rPr>
                      <w:rFonts w:hint="eastAsia" w:ascii="Times New Roman" w:hAnsi="Times New Roman" w:eastAsia="仿宋" w:cs="Times New Roman"/>
                      <w:color w:val="auto"/>
                      <w:sz w:val="21"/>
                      <w:szCs w:val="21"/>
                      <w:shd w:val="clear" w:color="auto" w:fill="auto"/>
                      <w:lang w:val="en-US" w:eastAsia="zh-CN"/>
                    </w:rPr>
                    <w:t>：（21.5±1.8）</w:t>
                  </w:r>
                  <w:r>
                    <w:rPr>
                      <w:rFonts w:hint="default" w:ascii="Times New Roman" w:hAnsi="Times New Roman" w:eastAsia="仿宋" w:cs="Times New Roman"/>
                      <w:color w:val="auto"/>
                      <w:sz w:val="21"/>
                      <w:szCs w:val="21"/>
                      <w:shd w:val="clear" w:color="auto" w:fill="auto"/>
                      <w:lang w:val="en-US" w:eastAsia="zh-CN"/>
                    </w:rPr>
                    <w:t>mg/kg（</w:t>
                  </w:r>
                  <w:r>
                    <w:rPr>
                      <w:rFonts w:hint="eastAsia" w:ascii="Times New Roman" w:hAnsi="Times New Roman" w:eastAsia="仿宋" w:cs="Times New Roman"/>
                      <w:color w:val="auto"/>
                      <w:sz w:val="21"/>
                      <w:szCs w:val="21"/>
                      <w:shd w:val="clear" w:color="auto" w:fill="auto"/>
                      <w:lang w:val="en-US" w:eastAsia="zh-CN"/>
                    </w:rPr>
                    <w:t>小</w:t>
                  </w:r>
                  <w:r>
                    <w:rPr>
                      <w:rFonts w:hint="default" w:ascii="Times New Roman" w:hAnsi="Times New Roman" w:eastAsia="仿宋" w:cs="Times New Roman"/>
                      <w:color w:val="auto"/>
                      <w:sz w:val="21"/>
                      <w:szCs w:val="21"/>
                      <w:shd w:val="clear" w:color="auto" w:fill="auto"/>
                      <w:lang w:val="en-US" w:eastAsia="zh-CN"/>
                    </w:rPr>
                    <w:t>鼠</w:t>
                  </w:r>
                  <w:r>
                    <w:rPr>
                      <w:rFonts w:hint="eastAsia" w:ascii="Times New Roman" w:hAnsi="Times New Roman" w:eastAsia="仿宋" w:cs="Times New Roman"/>
                      <w:color w:val="auto"/>
                      <w:sz w:val="21"/>
                      <w:szCs w:val="21"/>
                      <w:shd w:val="clear" w:color="auto" w:fill="auto"/>
                      <w:lang w:val="en-US" w:eastAsia="zh-CN"/>
                    </w:rPr>
                    <w:t>静脉注射</w:t>
                  </w:r>
                  <w:r>
                    <w:rPr>
                      <w:rFonts w:hint="default" w:ascii="Times New Roman" w:hAnsi="Times New Roman" w:eastAsia="仿宋" w:cs="Times New Roman"/>
                      <w:color w:val="auto"/>
                      <w:sz w:val="21"/>
                      <w:szCs w:val="21"/>
                      <w:shd w:val="clear" w:color="auto" w:fill="auto"/>
                      <w:lang w:val="en-US" w:eastAsia="zh-CN"/>
                    </w:rPr>
                    <w:t>）</w:t>
                  </w:r>
                </w:p>
              </w:tc>
            </w:tr>
            <w:tr w14:paraId="2F470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3" w:type="pct"/>
                  <w:tcBorders>
                    <w:tl2br w:val="nil"/>
                    <w:tr2bl w:val="nil"/>
                  </w:tcBorders>
                  <w:noWrap w:val="0"/>
                  <w:vAlign w:val="center"/>
                </w:tcPr>
                <w:p w14:paraId="2013D81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kern w:val="2"/>
                      <w:sz w:val="21"/>
                      <w:szCs w:val="21"/>
                      <w:lang w:val="en-US" w:eastAsia="zh-CN" w:bidi="ar-SA"/>
                    </w:rPr>
                    <w:t>氧化锌</w:t>
                  </w:r>
                </w:p>
              </w:tc>
              <w:tc>
                <w:tcPr>
                  <w:tcW w:w="1967" w:type="pct"/>
                  <w:tcBorders>
                    <w:tl2br w:val="nil"/>
                    <w:tr2bl w:val="nil"/>
                  </w:tcBorders>
                  <w:noWrap w:val="0"/>
                  <w:vAlign w:val="center"/>
                </w:tcPr>
                <w:p w14:paraId="6AF24C10">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shd w:val="clear" w:color="auto" w:fill="auto"/>
                      <w:vertAlign w:val="baseline"/>
                      <w:lang w:val="en-US" w:eastAsia="zh-CN"/>
                    </w:rPr>
                  </w:pPr>
                  <w:r>
                    <w:rPr>
                      <w:rFonts w:hint="eastAsia" w:eastAsia="仿宋" w:cs="Times New Roman"/>
                      <w:color w:val="auto"/>
                      <w:sz w:val="21"/>
                      <w:szCs w:val="21"/>
                      <w:shd w:val="clear" w:color="auto" w:fill="auto"/>
                      <w:vertAlign w:val="baseline"/>
                      <w:lang w:val="en-US" w:eastAsia="zh-CN"/>
                    </w:rPr>
                    <w:t>白色六角晶体或粉末，无气味；相对密度（水＝1）：5.606；熔点（℃）：1975；不溶于水、乙醇，溶于酸、氢氧化钠水溶液、氯化铵。</w:t>
                  </w:r>
                </w:p>
              </w:tc>
              <w:tc>
                <w:tcPr>
                  <w:tcW w:w="474" w:type="pct"/>
                  <w:tcBorders>
                    <w:tl2br w:val="nil"/>
                    <w:tr2bl w:val="nil"/>
                  </w:tcBorders>
                  <w:noWrap w:val="0"/>
                  <w:vAlign w:val="center"/>
                </w:tcPr>
                <w:p w14:paraId="52C6368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shd w:val="clear" w:color="auto" w:fill="auto"/>
                      <w:lang w:val="en-US" w:eastAsia="zh-CN" w:bidi="ar-SA"/>
                    </w:rPr>
                  </w:pPr>
                  <w:r>
                    <w:rPr>
                      <w:rFonts w:hint="eastAsia" w:ascii="Times New Roman" w:hAnsi="Times New Roman" w:eastAsia="仿宋" w:cs="Times New Roman"/>
                      <w:color w:val="auto"/>
                      <w:sz w:val="21"/>
                      <w:szCs w:val="21"/>
                      <w:shd w:val="clear" w:color="auto" w:fill="auto"/>
                      <w:lang w:val="en-US" w:eastAsia="zh-CN"/>
                    </w:rPr>
                    <w:t>不燃</w:t>
                  </w:r>
                </w:p>
              </w:tc>
              <w:tc>
                <w:tcPr>
                  <w:tcW w:w="1773" w:type="pct"/>
                  <w:tcBorders>
                    <w:tl2br w:val="nil"/>
                    <w:tr2bl w:val="nil"/>
                  </w:tcBorders>
                  <w:noWrap w:val="0"/>
                  <w:vAlign w:val="center"/>
                </w:tcPr>
                <w:p w14:paraId="59255706">
                  <w:pPr>
                    <w:pStyle w:val="25"/>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default" w:ascii="Times New Roman" w:hAnsi="Times New Roman" w:eastAsia="仿宋" w:cs="Times New Roman"/>
                      <w:color w:val="auto"/>
                      <w:sz w:val="21"/>
                      <w:szCs w:val="21"/>
                      <w:shd w:val="clear" w:color="auto" w:fill="auto"/>
                      <w:lang w:val="en-US" w:eastAsia="zh-CN"/>
                    </w:rPr>
                    <w:t>LD</w:t>
                  </w:r>
                  <w:r>
                    <w:rPr>
                      <w:rFonts w:hint="default" w:ascii="Times New Roman" w:hAnsi="Times New Roman" w:eastAsia="仿宋" w:cs="Times New Roman"/>
                      <w:color w:val="auto"/>
                      <w:sz w:val="21"/>
                      <w:szCs w:val="21"/>
                      <w:shd w:val="clear" w:color="auto" w:fill="auto"/>
                      <w:vertAlign w:val="subscript"/>
                      <w:lang w:val="en-US" w:eastAsia="zh-CN"/>
                    </w:rPr>
                    <w:t>50</w:t>
                  </w:r>
                  <w:r>
                    <w:rPr>
                      <w:rFonts w:hint="eastAsia" w:ascii="Times New Roman" w:hAnsi="Times New Roman" w:eastAsia="仿宋" w:cs="Times New Roman"/>
                      <w:color w:val="auto"/>
                      <w:sz w:val="21"/>
                      <w:szCs w:val="21"/>
                      <w:shd w:val="clear" w:color="auto" w:fill="auto"/>
                      <w:lang w:val="en-US" w:eastAsia="zh-CN"/>
                    </w:rPr>
                    <w:t>：795</w:t>
                  </w:r>
                  <w:r>
                    <w:rPr>
                      <w:rFonts w:hint="default" w:ascii="Times New Roman" w:hAnsi="Times New Roman" w:eastAsia="仿宋" w:cs="Times New Roman"/>
                      <w:color w:val="auto"/>
                      <w:sz w:val="21"/>
                      <w:szCs w:val="21"/>
                      <w:shd w:val="clear" w:color="auto" w:fill="auto"/>
                      <w:lang w:val="en-US" w:eastAsia="zh-CN"/>
                    </w:rPr>
                    <w:t>0mg/kg（</w:t>
                  </w:r>
                  <w:r>
                    <w:rPr>
                      <w:rFonts w:hint="eastAsia" w:ascii="Times New Roman" w:hAnsi="Times New Roman" w:eastAsia="仿宋" w:cs="Times New Roman"/>
                      <w:color w:val="auto"/>
                      <w:sz w:val="21"/>
                      <w:szCs w:val="21"/>
                      <w:shd w:val="clear" w:color="auto" w:fill="auto"/>
                      <w:lang w:val="en-US" w:eastAsia="zh-CN"/>
                    </w:rPr>
                    <w:t>小</w:t>
                  </w:r>
                  <w:r>
                    <w:rPr>
                      <w:rFonts w:hint="default" w:ascii="Times New Roman" w:hAnsi="Times New Roman" w:eastAsia="仿宋" w:cs="Times New Roman"/>
                      <w:color w:val="auto"/>
                      <w:sz w:val="21"/>
                      <w:szCs w:val="21"/>
                      <w:shd w:val="clear" w:color="auto" w:fill="auto"/>
                      <w:lang w:val="en-US" w:eastAsia="zh-CN"/>
                    </w:rPr>
                    <w:t>鼠经口）</w:t>
                  </w:r>
                </w:p>
              </w:tc>
            </w:tr>
            <w:tr w14:paraId="431DC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3" w:type="pct"/>
                  <w:tcBorders>
                    <w:tl2br w:val="nil"/>
                    <w:tr2bl w:val="nil"/>
                  </w:tcBorders>
                  <w:noWrap w:val="0"/>
                  <w:vAlign w:val="center"/>
                </w:tcPr>
                <w:p w14:paraId="44B5A304">
                  <w:pPr>
                    <w:keepNext w:val="0"/>
                    <w:keepLines w:val="0"/>
                    <w:suppressLineNumbers w:val="0"/>
                    <w:spacing w:before="0" w:beforeAutospacing="0" w:after="0" w:afterAutospacing="0"/>
                    <w:ind w:left="0" w:right="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氧化镁</w:t>
                  </w:r>
                </w:p>
              </w:tc>
              <w:tc>
                <w:tcPr>
                  <w:tcW w:w="1967" w:type="pct"/>
                  <w:tcBorders>
                    <w:tl2br w:val="nil"/>
                    <w:tr2bl w:val="nil"/>
                  </w:tcBorders>
                  <w:noWrap w:val="0"/>
                  <w:vAlign w:val="center"/>
                </w:tcPr>
                <w:p w14:paraId="6BBBFFF9">
                  <w:pPr>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shd w:val="clear" w:color="auto" w:fill="auto"/>
                      <w:lang w:val="en-US" w:eastAsia="zh-CN"/>
                    </w:rPr>
                  </w:pPr>
                  <w:r>
                    <w:rPr>
                      <w:rFonts w:hint="eastAsia" w:eastAsia="仿宋" w:cs="Times New Roman"/>
                      <w:color w:val="auto"/>
                      <w:sz w:val="21"/>
                      <w:szCs w:val="21"/>
                      <w:shd w:val="clear" w:color="auto" w:fill="auto"/>
                      <w:lang w:val="en-US" w:eastAsia="zh-CN"/>
                    </w:rPr>
                    <w:t>白色立方晶体或粉末，无气味；相对密度（水=1）：3.58；熔点（℃）：2800；沸点（℃）：3600；不溶于水、乙醇，溶于酸、铵盐。</w:t>
                  </w:r>
                </w:p>
              </w:tc>
              <w:tc>
                <w:tcPr>
                  <w:tcW w:w="474" w:type="pct"/>
                  <w:tcBorders>
                    <w:tl2br w:val="nil"/>
                    <w:tr2bl w:val="nil"/>
                  </w:tcBorders>
                  <w:noWrap w:val="0"/>
                  <w:vAlign w:val="center"/>
                </w:tcPr>
                <w:p w14:paraId="316D098D">
                  <w:pPr>
                    <w:keepNext w:val="0"/>
                    <w:keepLines w:val="0"/>
                    <w:suppressLineNumbers w:val="0"/>
                    <w:spacing w:before="0" w:beforeAutospacing="0" w:after="0" w:afterAutospacing="0"/>
                    <w:ind w:left="0" w:right="0"/>
                    <w:jc w:val="center"/>
                    <w:rPr>
                      <w:rFonts w:hint="default" w:eastAsia="仿宋" w:cs="Times New Roman"/>
                      <w:color w:val="auto"/>
                      <w:sz w:val="21"/>
                      <w:szCs w:val="21"/>
                      <w:shd w:val="clear" w:color="auto" w:fill="auto"/>
                      <w:lang w:val="en-US" w:eastAsia="zh-CN"/>
                    </w:rPr>
                  </w:pPr>
                  <w:r>
                    <w:rPr>
                      <w:rFonts w:hint="eastAsia" w:eastAsia="仿宋" w:cs="Times New Roman"/>
                      <w:color w:val="auto"/>
                      <w:sz w:val="21"/>
                      <w:szCs w:val="21"/>
                      <w:shd w:val="clear" w:color="auto" w:fill="auto"/>
                      <w:lang w:val="en-US" w:eastAsia="zh-CN"/>
                    </w:rPr>
                    <w:t>不燃</w:t>
                  </w:r>
                </w:p>
              </w:tc>
              <w:tc>
                <w:tcPr>
                  <w:tcW w:w="1773" w:type="pct"/>
                  <w:tcBorders>
                    <w:tl2br w:val="nil"/>
                    <w:tr2bl w:val="nil"/>
                  </w:tcBorders>
                  <w:noWrap w:val="0"/>
                  <w:vAlign w:val="center"/>
                </w:tcPr>
                <w:p w14:paraId="434585DB">
                  <w:pPr>
                    <w:pStyle w:val="25"/>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shd w:val="clear" w:color="auto" w:fill="auto"/>
                      <w:lang w:val="en-US" w:eastAsia="zh-CN"/>
                    </w:rPr>
                  </w:pPr>
                  <w:r>
                    <w:rPr>
                      <w:rFonts w:hint="eastAsia" w:ascii="Times New Roman" w:hAnsi="Times New Roman" w:eastAsia="仿宋" w:cs="Times New Roman"/>
                      <w:color w:val="auto"/>
                      <w:sz w:val="21"/>
                      <w:szCs w:val="21"/>
                      <w:shd w:val="clear" w:color="auto" w:fill="auto"/>
                      <w:lang w:val="en-US" w:eastAsia="zh-CN"/>
                    </w:rPr>
                    <w:t>/</w:t>
                  </w:r>
                </w:p>
              </w:tc>
            </w:tr>
          </w:tbl>
          <w:p w14:paraId="097FB1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spacing w:val="0"/>
                <w:kern w:val="2"/>
                <w:sz w:val="21"/>
                <w:szCs w:val="21"/>
                <w:lang w:val="en-US" w:eastAsia="zh-CN" w:bidi="ar-SA"/>
              </w:rPr>
            </w:pPr>
          </w:p>
          <w:p w14:paraId="6EB30D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color w:val="auto"/>
                <w:sz w:val="21"/>
                <w:lang w:val="en-US" w:eastAsia="zh-CN"/>
              </w:rPr>
            </w:pPr>
          </w:p>
        </w:tc>
      </w:tr>
    </w:tbl>
    <w:p w14:paraId="7BC6DAB5">
      <w:pPr>
        <w:pStyle w:val="22"/>
        <w:jc w:val="both"/>
        <w:rPr>
          <w:rFonts w:hint="default" w:ascii="Times New Roman" w:hAnsi="Times New Roman" w:eastAsia="黑体" w:cs="Times New Roman"/>
          <w:snapToGrid w:val="0"/>
          <w:color w:val="auto"/>
          <w:sz w:val="36"/>
          <w:szCs w:val="36"/>
        </w:rPr>
        <w:sectPr>
          <w:pgSz w:w="16838" w:h="11906" w:orient="landscape"/>
          <w:pgMar w:top="1088" w:right="1134" w:bottom="1400" w:left="1134"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198"/>
      </w:tblGrid>
      <w:tr w14:paraId="2814E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31"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14:paraId="5AFFA93F">
            <w:pPr>
              <w:pStyle w:val="22"/>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eastAsia" w:ascii="宋体" w:hAnsi="宋体" w:eastAsia="宋体" w:cs="宋体"/>
                <w:b w:val="0"/>
                <w:bCs w:val="0"/>
                <w:color w:val="auto"/>
                <w:kern w:val="0"/>
                <w:sz w:val="21"/>
                <w:szCs w:val="21"/>
                <w:lang w:val="en-US" w:eastAsia="zh-CN" w:bidi="ar"/>
              </w:rPr>
              <w:t>建设内容</w:t>
            </w:r>
          </w:p>
        </w:tc>
        <w:tc>
          <w:tcPr>
            <w:tcW w:w="9198" w:type="dxa"/>
            <w:tcBorders>
              <w:top w:val="single" w:color="auto" w:sz="4" w:space="0"/>
              <w:left w:val="single" w:color="auto" w:sz="4" w:space="0"/>
              <w:bottom w:val="single" w:color="auto" w:sz="4" w:space="0"/>
              <w:right w:val="single" w:color="auto" w:sz="4" w:space="0"/>
            </w:tcBorders>
            <w:noWrap w:val="0"/>
            <w:vAlign w:val="top"/>
          </w:tcPr>
          <w:p w14:paraId="056B388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420"/>
              <w:jc w:val="both"/>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5</w:t>
            </w:r>
            <w:r>
              <w:rPr>
                <w:rFonts w:hint="eastAsia" w:ascii="宋体" w:hAnsi="宋体" w:eastAsia="宋体" w:cs="宋体"/>
                <w:b/>
                <w:bCs/>
                <w:color w:val="auto"/>
                <w:kern w:val="2"/>
                <w:sz w:val="21"/>
                <w:szCs w:val="21"/>
                <w:lang w:val="en-US" w:eastAsia="zh-CN" w:bidi="ar"/>
              </w:rPr>
              <w:t>、胶粘剂挥发性有机物含量分析情况</w:t>
            </w:r>
          </w:p>
          <w:p w14:paraId="36FCA703">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b w:val="0"/>
                <w:bCs w:val="0"/>
                <w:color w:val="auto"/>
                <w:spacing w:val="0"/>
                <w:kern w:val="2"/>
                <w:sz w:val="21"/>
                <w:szCs w:val="21"/>
              </w:rPr>
            </w:pPr>
            <w:r>
              <w:rPr>
                <w:rFonts w:hint="eastAsia" w:ascii="宋体" w:hAnsi="宋体" w:eastAsia="宋体" w:cs="宋体"/>
                <w:b w:val="0"/>
                <w:bCs w:val="0"/>
                <w:color w:val="auto"/>
                <w:spacing w:val="0"/>
                <w:kern w:val="2"/>
                <w:sz w:val="21"/>
                <w:szCs w:val="21"/>
                <w:lang w:val="en-US" w:eastAsia="zh-CN" w:bidi="ar"/>
              </w:rPr>
              <w:t>本项目胶粘剂中挥发性有机物含量对照分析情况如下：</w:t>
            </w:r>
          </w:p>
          <w:p w14:paraId="62B74AD7">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表</w:t>
            </w:r>
            <w:r>
              <w:rPr>
                <w:rFonts w:hint="default" w:ascii="Times New Roman" w:hAnsi="Times New Roman" w:eastAsia="宋体" w:cs="Times New Roman"/>
                <w:b/>
                <w:bCs w:val="0"/>
                <w:color w:val="auto"/>
                <w:kern w:val="2"/>
                <w:sz w:val="21"/>
                <w:szCs w:val="21"/>
                <w:lang w:val="en-US" w:eastAsia="zh-CN" w:bidi="ar"/>
              </w:rPr>
              <w:t>2-</w:t>
            </w:r>
            <w:r>
              <w:rPr>
                <w:rFonts w:hint="eastAsia" w:cs="Times New Roman"/>
                <w:b/>
                <w:bCs w:val="0"/>
                <w:color w:val="auto"/>
                <w:kern w:val="2"/>
                <w:sz w:val="21"/>
                <w:szCs w:val="21"/>
                <w:lang w:val="en-US" w:eastAsia="zh-CN" w:bidi="ar"/>
              </w:rPr>
              <w:t>6</w:t>
            </w:r>
            <w:r>
              <w:rPr>
                <w:rFonts w:hint="default" w:ascii="Times New Roman" w:hAnsi="Times New Roman" w:eastAsia="宋体" w:cs="Times New Roman"/>
                <w:b/>
                <w:bCs w:val="0"/>
                <w:color w:val="auto"/>
                <w:kern w:val="2"/>
                <w:sz w:val="21"/>
                <w:szCs w:val="21"/>
                <w:lang w:val="en-US" w:eastAsia="zh-CN" w:bidi="ar"/>
              </w:rPr>
              <w:t xml:space="preserve">  </w:t>
            </w:r>
            <w:r>
              <w:rPr>
                <w:rFonts w:hint="eastAsia" w:ascii="宋体" w:hAnsi="宋体" w:eastAsia="宋体" w:cs="宋体"/>
                <w:b/>
                <w:bCs w:val="0"/>
                <w:color w:val="auto"/>
                <w:kern w:val="2"/>
                <w:sz w:val="21"/>
                <w:szCs w:val="21"/>
                <w:lang w:val="en-US" w:eastAsia="zh-CN" w:bidi="ar"/>
              </w:rPr>
              <w:t>本项目胶粘剂中挥发性有机物含量分析情况一览表</w:t>
            </w:r>
          </w:p>
          <w:tbl>
            <w:tblPr>
              <w:tblStyle w:val="27"/>
              <w:tblW w:w="4997"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3745"/>
              <w:gridCol w:w="3867"/>
            </w:tblGrid>
            <w:tr w14:paraId="65922F6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pct"/>
                  <w:tcBorders>
                    <w:top w:val="single" w:color="auto" w:sz="12" w:space="0"/>
                    <w:left w:val="nil"/>
                    <w:bottom w:val="single" w:color="auto" w:sz="4" w:space="0"/>
                    <w:right w:val="single" w:color="auto" w:sz="4" w:space="0"/>
                  </w:tcBorders>
                  <w:noWrap w:val="0"/>
                  <w:vAlign w:val="center"/>
                </w:tcPr>
                <w:p w14:paraId="7528DB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物料名称</w:t>
                  </w:r>
                </w:p>
              </w:tc>
              <w:tc>
                <w:tcPr>
                  <w:tcW w:w="2085" w:type="pct"/>
                  <w:tcBorders>
                    <w:top w:val="single" w:color="auto" w:sz="12" w:space="0"/>
                    <w:left w:val="single" w:color="auto" w:sz="4" w:space="0"/>
                    <w:bottom w:val="single" w:color="auto" w:sz="4" w:space="0"/>
                    <w:right w:val="single" w:color="auto" w:sz="4" w:space="0"/>
                  </w:tcBorders>
                  <w:noWrap w:val="0"/>
                  <w:vAlign w:val="center"/>
                </w:tcPr>
                <w:p w14:paraId="276EDE2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含量</w:t>
                  </w:r>
                </w:p>
              </w:tc>
              <w:tc>
                <w:tcPr>
                  <w:tcW w:w="2153" w:type="pct"/>
                  <w:tcBorders>
                    <w:top w:val="single" w:color="auto" w:sz="12" w:space="0"/>
                    <w:left w:val="single" w:color="auto" w:sz="4" w:space="0"/>
                    <w:bottom w:val="single" w:color="auto" w:sz="4" w:space="0"/>
                    <w:right w:val="nil"/>
                  </w:tcBorders>
                  <w:noWrap w:val="0"/>
                  <w:vAlign w:val="center"/>
                </w:tcPr>
                <w:p w14:paraId="1646B1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bidi="ar"/>
                    </w:rPr>
                    <w:t>VOCs</w:t>
                  </w:r>
                  <w:r>
                    <w:rPr>
                      <w:rFonts w:hint="eastAsia" w:ascii="仿宋" w:hAnsi="仿宋" w:eastAsia="仿宋" w:cs="仿宋"/>
                      <w:color w:val="auto"/>
                      <w:kern w:val="0"/>
                      <w:sz w:val="21"/>
                      <w:szCs w:val="21"/>
                      <w:lang w:val="en-US" w:eastAsia="zh-CN" w:bidi="ar"/>
                    </w:rPr>
                    <w:t>限值</w:t>
                  </w:r>
                  <w:r>
                    <w:rPr>
                      <w:rFonts w:hint="default" w:ascii="Times New Roman" w:hAnsi="Times New Roman" w:eastAsia="仿宋" w:cs="Times New Roman"/>
                      <w:color w:val="auto"/>
                      <w:kern w:val="0"/>
                      <w:sz w:val="21"/>
                      <w:szCs w:val="21"/>
                      <w:lang w:val="en-US" w:eastAsia="zh-CN" w:bidi="ar"/>
                    </w:rPr>
                    <w:t>——</w:t>
                  </w:r>
                  <w:r>
                    <w:rPr>
                      <w:rFonts w:hint="eastAsia" w:ascii="仿宋" w:hAnsi="仿宋" w:eastAsia="仿宋" w:cs="仿宋"/>
                      <w:color w:val="auto"/>
                      <w:kern w:val="0"/>
                      <w:sz w:val="21"/>
                      <w:szCs w:val="21"/>
                      <w:lang w:val="en-US" w:eastAsia="zh-CN" w:bidi="ar"/>
                    </w:rPr>
                    <w:t>《胶粘剂挥发性有机化合物限量》（</w:t>
                  </w:r>
                  <w:r>
                    <w:rPr>
                      <w:rFonts w:hint="default" w:ascii="Times New Roman" w:hAnsi="Times New Roman" w:eastAsia="仿宋" w:cs="Times New Roman"/>
                      <w:color w:val="auto"/>
                      <w:kern w:val="0"/>
                      <w:sz w:val="21"/>
                      <w:szCs w:val="21"/>
                      <w:lang w:val="en-US" w:eastAsia="zh-CN" w:bidi="ar"/>
                    </w:rPr>
                    <w:t>GB33372-2020</w:t>
                  </w:r>
                  <w:r>
                    <w:rPr>
                      <w:rFonts w:hint="eastAsia" w:ascii="仿宋" w:hAnsi="仿宋" w:eastAsia="仿宋" w:cs="仿宋"/>
                      <w:color w:val="auto"/>
                      <w:kern w:val="0"/>
                      <w:sz w:val="21"/>
                      <w:szCs w:val="21"/>
                      <w:lang w:val="en-US" w:eastAsia="zh-CN" w:bidi="ar"/>
                    </w:rPr>
                    <w:t>）</w:t>
                  </w:r>
                </w:p>
              </w:tc>
            </w:tr>
            <w:tr w14:paraId="308405B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pct"/>
                  <w:tcBorders>
                    <w:top w:val="single" w:color="auto" w:sz="4" w:space="0"/>
                    <w:left w:val="nil"/>
                    <w:bottom w:val="single" w:color="auto" w:sz="12" w:space="0"/>
                    <w:right w:val="single" w:color="auto" w:sz="4" w:space="0"/>
                  </w:tcBorders>
                  <w:noWrap w:val="0"/>
                  <w:vAlign w:val="center"/>
                </w:tcPr>
                <w:p w14:paraId="73B155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胶粘剂</w:t>
                  </w:r>
                </w:p>
              </w:tc>
              <w:tc>
                <w:tcPr>
                  <w:tcW w:w="2085" w:type="pct"/>
                  <w:tcBorders>
                    <w:top w:val="single" w:color="auto" w:sz="4" w:space="0"/>
                    <w:left w:val="single" w:color="auto" w:sz="4" w:space="0"/>
                    <w:bottom w:val="single" w:color="auto" w:sz="12" w:space="0"/>
                    <w:right w:val="single" w:color="auto" w:sz="4" w:space="0"/>
                  </w:tcBorders>
                  <w:noWrap w:val="0"/>
                  <w:vAlign w:val="center"/>
                </w:tcPr>
                <w:p w14:paraId="5E34BE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bidi="ar"/>
                    </w:rPr>
                    <w:t>2g/L-</w:t>
                  </w:r>
                  <w:r>
                    <w:rPr>
                      <w:rFonts w:hint="eastAsia" w:ascii="仿宋" w:hAnsi="仿宋" w:eastAsia="仿宋" w:cs="仿宋"/>
                      <w:color w:val="auto"/>
                      <w:kern w:val="0"/>
                      <w:sz w:val="21"/>
                      <w:szCs w:val="21"/>
                      <w:lang w:val="en-US" w:eastAsia="zh-CN" w:bidi="ar"/>
                    </w:rPr>
                    <w:t>数据来源：</w:t>
                  </w:r>
                  <w:r>
                    <w:rPr>
                      <w:rFonts w:hint="default" w:ascii="Times New Roman" w:hAnsi="Times New Roman" w:eastAsia="仿宋" w:cs="Times New Roman"/>
                      <w:color w:val="auto"/>
                      <w:kern w:val="0"/>
                      <w:sz w:val="21"/>
                      <w:szCs w:val="21"/>
                      <w:lang w:val="en-US" w:eastAsia="zh-CN" w:bidi="ar"/>
                    </w:rPr>
                    <w:t>VOC</w:t>
                  </w:r>
                  <w:r>
                    <w:rPr>
                      <w:rFonts w:hint="eastAsia" w:ascii="仿宋" w:hAnsi="仿宋" w:eastAsia="仿宋" w:cs="仿宋"/>
                      <w:color w:val="auto"/>
                      <w:kern w:val="0"/>
                      <w:sz w:val="21"/>
                      <w:szCs w:val="21"/>
                      <w:lang w:val="en-US" w:eastAsia="zh-CN" w:bidi="ar"/>
                    </w:rPr>
                    <w:t>检测报告（</w:t>
                  </w:r>
                  <w:r>
                    <w:rPr>
                      <w:rFonts w:hint="default" w:ascii="Times New Roman" w:hAnsi="Times New Roman" w:eastAsia="仿宋" w:cs="Times New Roman"/>
                      <w:color w:val="auto"/>
                      <w:kern w:val="0"/>
                      <w:sz w:val="21"/>
                      <w:szCs w:val="21"/>
                      <w:lang w:val="en-US" w:eastAsia="zh-CN" w:bidi="ar"/>
                    </w:rPr>
                    <w:t>A2210031574101001E</w:t>
                  </w:r>
                  <w:r>
                    <w:rPr>
                      <w:rFonts w:hint="eastAsia" w:ascii="仿宋" w:hAnsi="仿宋" w:eastAsia="仿宋" w:cs="仿宋"/>
                      <w:color w:val="auto"/>
                      <w:kern w:val="0"/>
                      <w:sz w:val="21"/>
                      <w:szCs w:val="21"/>
                      <w:lang w:val="en-US" w:eastAsia="zh-CN" w:bidi="ar"/>
                    </w:rPr>
                    <w:t>）</w:t>
                  </w:r>
                </w:p>
              </w:tc>
              <w:tc>
                <w:tcPr>
                  <w:tcW w:w="2153" w:type="pct"/>
                  <w:tcBorders>
                    <w:top w:val="single" w:color="auto" w:sz="4" w:space="0"/>
                    <w:left w:val="single" w:color="auto" w:sz="4" w:space="0"/>
                    <w:bottom w:val="single" w:color="auto" w:sz="12" w:space="0"/>
                    <w:right w:val="nil"/>
                  </w:tcBorders>
                  <w:noWrap w:val="0"/>
                  <w:vAlign w:val="center"/>
                </w:tcPr>
                <w:p w14:paraId="21BB41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bidi="ar"/>
                    </w:rPr>
                    <w:t>50g/L</w:t>
                  </w:r>
                  <w:r>
                    <w:rPr>
                      <w:rFonts w:hint="eastAsia" w:ascii="仿宋" w:hAnsi="仿宋" w:eastAsia="仿宋" w:cs="仿宋"/>
                      <w:color w:val="auto"/>
                      <w:kern w:val="0"/>
                      <w:sz w:val="21"/>
                      <w:szCs w:val="21"/>
                      <w:lang w:val="en-US" w:eastAsia="zh-CN" w:bidi="ar"/>
                    </w:rPr>
                    <w:t>（表</w:t>
                  </w:r>
                  <w:r>
                    <w:rPr>
                      <w:rFonts w:hint="default" w:ascii="Times New Roman" w:hAnsi="Times New Roman" w:eastAsia="仿宋" w:cs="Times New Roman"/>
                      <w:color w:val="auto"/>
                      <w:kern w:val="0"/>
                      <w:sz w:val="21"/>
                      <w:szCs w:val="21"/>
                      <w:lang w:val="en-US" w:eastAsia="zh-CN" w:bidi="ar"/>
                    </w:rPr>
                    <w:t xml:space="preserve">1 </w:t>
                  </w:r>
                  <w:r>
                    <w:rPr>
                      <w:rFonts w:hint="eastAsia" w:ascii="仿宋" w:hAnsi="仿宋" w:eastAsia="仿宋" w:cs="仿宋"/>
                      <w:color w:val="auto"/>
                      <w:kern w:val="0"/>
                      <w:sz w:val="21"/>
                      <w:szCs w:val="21"/>
                      <w:lang w:val="en-US" w:eastAsia="zh-CN" w:bidi="ar"/>
                    </w:rPr>
                    <w:t>水基型胶粘剂</w:t>
                  </w:r>
                  <w:r>
                    <w:rPr>
                      <w:rFonts w:hint="default" w:ascii="Times New Roman" w:hAnsi="Times New Roman" w:eastAsia="仿宋" w:cs="Times New Roman"/>
                      <w:color w:val="auto"/>
                      <w:kern w:val="0"/>
                      <w:sz w:val="21"/>
                      <w:szCs w:val="21"/>
                      <w:lang w:val="en-US" w:eastAsia="zh-CN" w:bidi="ar"/>
                    </w:rPr>
                    <w:t>-</w:t>
                  </w:r>
                  <w:r>
                    <w:rPr>
                      <w:rFonts w:hint="eastAsia" w:ascii="仿宋" w:hAnsi="仿宋" w:eastAsia="仿宋" w:cs="仿宋"/>
                      <w:color w:val="auto"/>
                      <w:kern w:val="0"/>
                      <w:sz w:val="21"/>
                      <w:szCs w:val="21"/>
                      <w:lang w:val="en-US" w:eastAsia="zh-CN" w:bidi="ar"/>
                    </w:rPr>
                    <w:t>丙烯酸酯类）</w:t>
                  </w:r>
                </w:p>
              </w:tc>
            </w:tr>
          </w:tbl>
          <w:p w14:paraId="4DE6405F">
            <w:pPr>
              <w:keepNext w:val="0"/>
              <w:keepLines w:val="0"/>
              <w:widowControl w:val="0"/>
              <w:suppressLineNumbers w:val="0"/>
              <w:autoSpaceDE w:val="0"/>
              <w:autoSpaceDN/>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b w:val="0"/>
                <w:bCs w:val="0"/>
                <w:color w:val="auto"/>
                <w:spacing w:val="0"/>
                <w:kern w:val="2"/>
                <w:sz w:val="21"/>
                <w:szCs w:val="21"/>
              </w:rPr>
            </w:pPr>
            <w:r>
              <w:rPr>
                <w:rFonts w:hint="eastAsia" w:ascii="宋体" w:hAnsi="宋体" w:eastAsia="宋体" w:cs="宋体"/>
                <w:b w:val="0"/>
                <w:bCs w:val="0"/>
                <w:color w:val="auto"/>
                <w:spacing w:val="0"/>
                <w:kern w:val="2"/>
                <w:sz w:val="21"/>
                <w:szCs w:val="21"/>
                <w:lang w:val="en-US" w:eastAsia="zh-CN" w:bidi="ar"/>
              </w:rPr>
              <w:t>由上表可知，本项目拟采用的胶粘剂满足《胶粘剂挥发性有机化合物限量》（</w:t>
            </w:r>
            <w:r>
              <w:rPr>
                <w:rFonts w:hint="default" w:ascii="Times New Roman" w:hAnsi="Times New Roman" w:eastAsia="宋体" w:cs="Times New Roman"/>
                <w:b w:val="0"/>
                <w:bCs w:val="0"/>
                <w:color w:val="auto"/>
                <w:spacing w:val="0"/>
                <w:kern w:val="2"/>
                <w:sz w:val="21"/>
                <w:szCs w:val="21"/>
                <w:lang w:val="en-US" w:eastAsia="zh-CN" w:bidi="ar"/>
              </w:rPr>
              <w:t>GB33372-2020</w:t>
            </w:r>
            <w:r>
              <w:rPr>
                <w:rFonts w:hint="eastAsia" w:ascii="宋体" w:hAnsi="宋体" w:eastAsia="宋体" w:cs="宋体"/>
                <w:b w:val="0"/>
                <w:bCs w:val="0"/>
                <w:color w:val="auto"/>
                <w:spacing w:val="0"/>
                <w:kern w:val="2"/>
                <w:sz w:val="21"/>
                <w:szCs w:val="21"/>
                <w:lang w:val="en-US" w:eastAsia="zh-CN" w:bidi="ar"/>
              </w:rPr>
              <w:t>）中挥发性有机物含量的相关限值要求。</w:t>
            </w:r>
          </w:p>
          <w:p w14:paraId="2D9DCDE8">
            <w:pPr>
              <w:keepNext w:val="0"/>
              <w:keepLines w:val="0"/>
              <w:widowControl w:val="0"/>
              <w:suppressLineNumbers w:val="0"/>
              <w:autoSpaceDE w:val="0"/>
              <w:autoSpaceDN/>
              <w:adjustRightInd w:val="0"/>
              <w:snapToGrid w:val="0"/>
              <w:spacing w:before="0" w:beforeAutospacing="0" w:after="0" w:afterAutospacing="0" w:line="360" w:lineRule="auto"/>
              <w:ind w:left="0" w:right="0" w:firstLine="422" w:firstLineChars="200"/>
              <w:jc w:val="left"/>
              <w:rPr>
                <w:rFonts w:hint="default" w:ascii="Times New Roman" w:hAnsi="Times New Roman" w:eastAsia="宋体" w:cs="Times New Roman"/>
                <w:b/>
                <w:bCs/>
                <w:color w:val="auto"/>
                <w:kern w:val="2"/>
                <w:sz w:val="21"/>
                <w:szCs w:val="21"/>
              </w:rPr>
            </w:pPr>
            <w:r>
              <w:rPr>
                <w:rFonts w:hint="eastAsia" w:cs="Times New Roman"/>
                <w:b/>
                <w:bCs/>
                <w:color w:val="auto"/>
                <w:kern w:val="2"/>
                <w:sz w:val="21"/>
                <w:szCs w:val="21"/>
                <w:lang w:val="en-US" w:eastAsia="zh-CN" w:bidi="ar"/>
              </w:rPr>
              <w:t>6</w:t>
            </w:r>
            <w:r>
              <w:rPr>
                <w:rFonts w:hint="eastAsia" w:ascii="宋体" w:hAnsi="宋体" w:eastAsia="宋体" w:cs="宋体"/>
                <w:b/>
                <w:bCs/>
                <w:color w:val="auto"/>
                <w:kern w:val="2"/>
                <w:sz w:val="21"/>
                <w:szCs w:val="21"/>
                <w:lang w:val="en-US" w:eastAsia="zh-CN" w:bidi="ar"/>
              </w:rPr>
              <w:t>、建设项目组成情况</w:t>
            </w:r>
          </w:p>
          <w:p w14:paraId="7A3C4269">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eastAsia" w:ascii="宋体" w:hAnsi="宋体" w:eastAsia="宋体" w:cs="宋体"/>
                <w:b/>
                <w:bCs w:val="0"/>
                <w:color w:val="auto"/>
                <w:kern w:val="0"/>
                <w:sz w:val="21"/>
                <w:szCs w:val="21"/>
                <w:lang w:val="en-US" w:eastAsia="zh-CN" w:bidi="ar"/>
              </w:rPr>
              <w:t>表</w:t>
            </w:r>
            <w:r>
              <w:rPr>
                <w:rFonts w:hint="default" w:ascii="Times New Roman" w:hAnsi="Times New Roman" w:eastAsia="宋体" w:cs="Times New Roman"/>
                <w:b/>
                <w:bCs w:val="0"/>
                <w:color w:val="auto"/>
                <w:kern w:val="0"/>
                <w:sz w:val="21"/>
                <w:szCs w:val="21"/>
                <w:lang w:val="en-US" w:eastAsia="zh-CN" w:bidi="ar"/>
              </w:rPr>
              <w:t>2-</w:t>
            </w:r>
            <w:r>
              <w:rPr>
                <w:rFonts w:hint="eastAsia" w:cs="Times New Roman"/>
                <w:b/>
                <w:bCs w:val="0"/>
                <w:color w:val="auto"/>
                <w:kern w:val="0"/>
                <w:sz w:val="21"/>
                <w:szCs w:val="21"/>
                <w:lang w:val="en-US" w:eastAsia="zh-CN" w:bidi="ar"/>
              </w:rPr>
              <w:t>7</w:t>
            </w:r>
            <w:r>
              <w:rPr>
                <w:rFonts w:hint="default" w:ascii="Times New Roman" w:hAnsi="Times New Roman" w:eastAsia="宋体" w:cs="Times New Roman"/>
                <w:b/>
                <w:bCs w:val="0"/>
                <w:color w:val="auto"/>
                <w:kern w:val="0"/>
                <w:sz w:val="21"/>
                <w:szCs w:val="21"/>
                <w:lang w:val="en-US" w:eastAsia="zh-CN" w:bidi="ar"/>
              </w:rPr>
              <w:t xml:space="preserve">  </w:t>
            </w:r>
            <w:r>
              <w:rPr>
                <w:rFonts w:hint="eastAsia" w:ascii="宋体" w:hAnsi="宋体" w:eastAsia="宋体" w:cs="宋体"/>
                <w:b/>
                <w:bCs w:val="0"/>
                <w:color w:val="auto"/>
                <w:kern w:val="0"/>
                <w:sz w:val="21"/>
                <w:szCs w:val="21"/>
                <w:lang w:val="en-US" w:eastAsia="zh-CN" w:bidi="ar"/>
              </w:rPr>
              <w:t>建设项目组成情况一览表</w:t>
            </w:r>
          </w:p>
          <w:tbl>
            <w:tblPr>
              <w:tblStyle w:val="27"/>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656"/>
              <w:gridCol w:w="1518"/>
              <w:gridCol w:w="3380"/>
              <w:gridCol w:w="2737"/>
            </w:tblGrid>
            <w:tr w14:paraId="6709931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595" w:type="pct"/>
                  <w:gridSpan w:val="3"/>
                  <w:tcBorders>
                    <w:top w:val="single" w:color="auto" w:sz="12" w:space="0"/>
                    <w:left w:val="nil"/>
                    <w:bottom w:val="single" w:color="auto" w:sz="4" w:space="0"/>
                    <w:right w:val="single" w:color="auto" w:sz="4" w:space="0"/>
                  </w:tcBorders>
                  <w:noWrap w:val="0"/>
                  <w:vAlign w:val="center"/>
                </w:tcPr>
                <w:p w14:paraId="2F5D5C93">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建设内容</w:t>
                  </w:r>
                </w:p>
              </w:tc>
              <w:tc>
                <w:tcPr>
                  <w:tcW w:w="1881" w:type="pct"/>
                  <w:tcBorders>
                    <w:top w:val="single" w:color="auto" w:sz="12" w:space="0"/>
                    <w:left w:val="single" w:color="auto" w:sz="4" w:space="0"/>
                    <w:bottom w:val="single" w:color="auto" w:sz="4" w:space="0"/>
                    <w:right w:val="single" w:color="auto" w:sz="4" w:space="0"/>
                  </w:tcBorders>
                  <w:noWrap w:val="0"/>
                  <w:vAlign w:val="center"/>
                </w:tcPr>
                <w:p w14:paraId="3A8A0DA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建设规模</w:t>
                  </w:r>
                </w:p>
              </w:tc>
              <w:tc>
                <w:tcPr>
                  <w:tcW w:w="1523" w:type="pct"/>
                  <w:tcBorders>
                    <w:top w:val="single" w:color="auto" w:sz="12" w:space="0"/>
                    <w:left w:val="single" w:color="auto" w:sz="4" w:space="0"/>
                    <w:bottom w:val="single" w:color="auto" w:sz="4" w:space="0"/>
                    <w:right w:val="nil"/>
                  </w:tcBorders>
                  <w:noWrap w:val="0"/>
                  <w:vAlign w:val="center"/>
                </w:tcPr>
                <w:p w14:paraId="15A59465">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备注</w:t>
                  </w:r>
                </w:p>
              </w:tc>
            </w:tr>
            <w:tr w14:paraId="699A404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85" w:type="pct"/>
                  <w:vMerge w:val="restart"/>
                  <w:tcBorders>
                    <w:top w:val="single" w:color="auto" w:sz="4" w:space="0"/>
                    <w:left w:val="nil"/>
                    <w:bottom w:val="single" w:color="auto" w:sz="4" w:space="0"/>
                    <w:right w:val="single" w:color="auto" w:sz="4" w:space="0"/>
                  </w:tcBorders>
                  <w:noWrap w:val="0"/>
                  <w:vAlign w:val="center"/>
                </w:tcPr>
                <w:p w14:paraId="2186556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主体工程</w:t>
                  </w:r>
                </w:p>
              </w:tc>
              <w:tc>
                <w:tcPr>
                  <w:tcW w:w="1210" w:type="pct"/>
                  <w:gridSpan w:val="2"/>
                  <w:tcBorders>
                    <w:top w:val="single" w:color="auto" w:sz="4" w:space="0"/>
                    <w:left w:val="single" w:color="auto" w:sz="4" w:space="0"/>
                    <w:bottom w:val="single" w:color="auto" w:sz="4" w:space="0"/>
                    <w:right w:val="single" w:color="auto" w:sz="4" w:space="0"/>
                  </w:tcBorders>
                  <w:noWrap w:val="0"/>
                  <w:vAlign w:val="center"/>
                </w:tcPr>
                <w:p w14:paraId="46022AF7">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生产车间</w:t>
                  </w:r>
                </w:p>
              </w:tc>
              <w:tc>
                <w:tcPr>
                  <w:tcW w:w="1881" w:type="pct"/>
                  <w:tcBorders>
                    <w:top w:val="single" w:color="auto" w:sz="4" w:space="0"/>
                    <w:left w:val="single" w:color="auto" w:sz="4" w:space="0"/>
                    <w:bottom w:val="single" w:color="auto" w:sz="4" w:space="0"/>
                    <w:right w:val="single" w:color="auto" w:sz="4" w:space="0"/>
                  </w:tcBorders>
                  <w:noWrap w:val="0"/>
                  <w:vAlign w:val="center"/>
                </w:tcPr>
                <w:p w14:paraId="0854DD18">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建筑面积：</w:t>
                  </w:r>
                  <w:r>
                    <w:rPr>
                      <w:rFonts w:hint="default" w:ascii="Times New Roman" w:hAnsi="Times New Roman" w:eastAsia="仿宋" w:cs="Times New Roman"/>
                      <w:color w:val="auto"/>
                      <w:kern w:val="0"/>
                      <w:sz w:val="21"/>
                      <w:szCs w:val="21"/>
                      <w:lang w:val="en-US" w:eastAsia="zh-CN" w:bidi="ar"/>
                    </w:rPr>
                    <w:t>2893.8m</w:t>
                  </w:r>
                  <w:r>
                    <w:rPr>
                      <w:rFonts w:hint="default" w:ascii="Times New Roman" w:hAnsi="Times New Roman" w:eastAsia="仿宋" w:cs="Times New Roman"/>
                      <w:color w:val="auto"/>
                      <w:kern w:val="0"/>
                      <w:sz w:val="21"/>
                      <w:szCs w:val="21"/>
                      <w:vertAlign w:val="superscript"/>
                      <w:lang w:val="en-US" w:eastAsia="zh-CN" w:bidi="ar"/>
                    </w:rPr>
                    <w:t>2</w:t>
                  </w:r>
                </w:p>
              </w:tc>
              <w:tc>
                <w:tcPr>
                  <w:tcW w:w="1523" w:type="pct"/>
                  <w:tcBorders>
                    <w:top w:val="single" w:color="auto" w:sz="4" w:space="0"/>
                    <w:left w:val="single" w:color="auto" w:sz="4" w:space="0"/>
                    <w:bottom w:val="single" w:color="auto" w:sz="4" w:space="0"/>
                    <w:right w:val="nil"/>
                  </w:tcBorders>
                  <w:noWrap w:val="0"/>
                  <w:vAlign w:val="center"/>
                </w:tcPr>
                <w:p w14:paraId="1BE97089">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租赁，高度为</w:t>
                  </w:r>
                  <w:r>
                    <w:rPr>
                      <w:rFonts w:hint="default" w:ascii="Times New Roman" w:hAnsi="Times New Roman" w:eastAsia="仿宋" w:cs="Times New Roman"/>
                      <w:color w:val="auto"/>
                      <w:kern w:val="0"/>
                      <w:sz w:val="21"/>
                      <w:szCs w:val="21"/>
                      <w:lang w:val="en-US" w:eastAsia="zh-CN" w:bidi="ar"/>
                    </w:rPr>
                    <w:t>10m</w:t>
                  </w:r>
                </w:p>
              </w:tc>
            </w:tr>
            <w:tr w14:paraId="374A34B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85" w:type="pct"/>
                  <w:vMerge w:val="continue"/>
                  <w:tcBorders>
                    <w:top w:val="single" w:color="auto" w:sz="4" w:space="0"/>
                    <w:left w:val="nil"/>
                    <w:bottom w:val="single" w:color="auto" w:sz="4" w:space="0"/>
                    <w:right w:val="single" w:color="auto" w:sz="4" w:space="0"/>
                  </w:tcBorders>
                  <w:noWrap w:val="0"/>
                  <w:vAlign w:val="center"/>
                </w:tcPr>
                <w:p w14:paraId="6BCEF7D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10" w:type="pct"/>
                  <w:gridSpan w:val="2"/>
                  <w:tcBorders>
                    <w:top w:val="single" w:color="auto" w:sz="4" w:space="0"/>
                    <w:left w:val="single" w:color="auto" w:sz="4" w:space="0"/>
                    <w:bottom w:val="single" w:color="auto" w:sz="4" w:space="0"/>
                    <w:right w:val="single" w:color="auto" w:sz="4" w:space="0"/>
                  </w:tcBorders>
                  <w:noWrap w:val="0"/>
                  <w:vAlign w:val="center"/>
                </w:tcPr>
                <w:p w14:paraId="08C1F2F3">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生产设备</w:t>
                  </w:r>
                </w:p>
              </w:tc>
              <w:tc>
                <w:tcPr>
                  <w:tcW w:w="1881" w:type="pct"/>
                  <w:tcBorders>
                    <w:top w:val="single" w:color="auto" w:sz="4" w:space="0"/>
                    <w:left w:val="single" w:color="auto" w:sz="4" w:space="0"/>
                    <w:bottom w:val="single" w:color="auto" w:sz="4" w:space="0"/>
                    <w:right w:val="single" w:color="auto" w:sz="4" w:space="0"/>
                  </w:tcBorders>
                  <w:noWrap w:val="0"/>
                  <w:vAlign w:val="center"/>
                </w:tcPr>
                <w:p w14:paraId="6D20CA6D">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见表</w:t>
                  </w:r>
                  <w:r>
                    <w:rPr>
                      <w:rFonts w:hint="default" w:ascii="Times New Roman" w:hAnsi="Times New Roman" w:eastAsia="仿宋" w:cs="Times New Roman"/>
                      <w:color w:val="auto"/>
                      <w:kern w:val="0"/>
                      <w:sz w:val="21"/>
                      <w:szCs w:val="21"/>
                      <w:lang w:val="en-US" w:eastAsia="zh-CN" w:bidi="ar"/>
                    </w:rPr>
                    <w:t>2-2</w:t>
                  </w:r>
                </w:p>
              </w:tc>
              <w:tc>
                <w:tcPr>
                  <w:tcW w:w="1523" w:type="pct"/>
                  <w:tcBorders>
                    <w:top w:val="single" w:color="auto" w:sz="4" w:space="0"/>
                    <w:left w:val="single" w:color="auto" w:sz="4" w:space="0"/>
                    <w:bottom w:val="single" w:color="auto" w:sz="4" w:space="0"/>
                    <w:right w:val="nil"/>
                  </w:tcBorders>
                  <w:noWrap w:val="0"/>
                  <w:vAlign w:val="center"/>
                </w:tcPr>
                <w:p w14:paraId="6CC6C861">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bidi="ar"/>
                    </w:rPr>
                    <w:t>/</w:t>
                  </w:r>
                </w:p>
              </w:tc>
            </w:tr>
            <w:tr w14:paraId="4C788BD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85" w:type="pct"/>
                  <w:vMerge w:val="restart"/>
                  <w:tcBorders>
                    <w:top w:val="single" w:color="auto" w:sz="4" w:space="0"/>
                    <w:left w:val="nil"/>
                    <w:bottom w:val="single" w:color="auto" w:sz="4" w:space="0"/>
                    <w:right w:val="single" w:color="auto" w:sz="4" w:space="0"/>
                  </w:tcBorders>
                  <w:noWrap w:val="0"/>
                  <w:vAlign w:val="center"/>
                </w:tcPr>
                <w:p w14:paraId="2E32D40D">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公用工程</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269A44D5">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给水</w:t>
                  </w:r>
                </w:p>
              </w:tc>
              <w:tc>
                <w:tcPr>
                  <w:tcW w:w="845" w:type="pct"/>
                  <w:tcBorders>
                    <w:top w:val="single" w:color="auto" w:sz="4" w:space="0"/>
                    <w:left w:val="single" w:color="auto" w:sz="4" w:space="0"/>
                    <w:bottom w:val="single" w:color="auto" w:sz="4" w:space="0"/>
                    <w:right w:val="single" w:color="auto" w:sz="4" w:space="0"/>
                  </w:tcBorders>
                  <w:noWrap w:val="0"/>
                  <w:vAlign w:val="center"/>
                </w:tcPr>
                <w:p w14:paraId="420BD7E3">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自来水</w:t>
                  </w:r>
                </w:p>
              </w:tc>
              <w:tc>
                <w:tcPr>
                  <w:tcW w:w="1881" w:type="pct"/>
                  <w:tcBorders>
                    <w:top w:val="single" w:color="auto" w:sz="4" w:space="0"/>
                    <w:left w:val="single" w:color="auto" w:sz="4" w:space="0"/>
                    <w:bottom w:val="single" w:color="auto" w:sz="4" w:space="0"/>
                    <w:right w:val="single" w:color="auto" w:sz="4" w:space="0"/>
                  </w:tcBorders>
                  <w:noWrap w:val="0"/>
                  <w:vAlign w:val="center"/>
                </w:tcPr>
                <w:p w14:paraId="71146C0B">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eastAsia="仿宋" w:cs="Times New Roman"/>
                      <w:color w:val="auto"/>
                      <w:kern w:val="2"/>
                      <w:sz w:val="21"/>
                      <w:szCs w:val="21"/>
                      <w:lang w:val="en-US" w:eastAsia="zh-CN" w:bidi="ar"/>
                    </w:rPr>
                    <w:t>1309</w:t>
                  </w:r>
                  <w:r>
                    <w:rPr>
                      <w:rFonts w:hint="default" w:ascii="Times New Roman" w:hAnsi="Times New Roman" w:eastAsia="仿宋" w:cs="Times New Roman"/>
                      <w:color w:val="auto"/>
                      <w:kern w:val="0"/>
                      <w:sz w:val="21"/>
                      <w:szCs w:val="21"/>
                      <w:lang w:val="en-US" w:eastAsia="zh-CN" w:bidi="ar"/>
                    </w:rPr>
                    <w:t>m</w:t>
                  </w:r>
                  <w:r>
                    <w:rPr>
                      <w:rFonts w:hint="default" w:ascii="Times New Roman" w:hAnsi="Times New Roman" w:eastAsia="仿宋" w:cs="Times New Roman"/>
                      <w:color w:val="auto"/>
                      <w:kern w:val="0"/>
                      <w:sz w:val="21"/>
                      <w:szCs w:val="21"/>
                      <w:vertAlign w:val="superscript"/>
                      <w:lang w:val="en-US" w:eastAsia="zh-CN" w:bidi="ar"/>
                    </w:rPr>
                    <w:t>3</w:t>
                  </w:r>
                  <w:r>
                    <w:rPr>
                      <w:rFonts w:hint="default" w:ascii="Times New Roman" w:hAnsi="Times New Roman" w:eastAsia="仿宋" w:cs="Times New Roman"/>
                      <w:color w:val="auto"/>
                      <w:kern w:val="0"/>
                      <w:sz w:val="21"/>
                      <w:szCs w:val="21"/>
                      <w:lang w:val="en-US" w:eastAsia="zh-CN" w:bidi="ar"/>
                    </w:rPr>
                    <w:t>/a</w:t>
                  </w:r>
                </w:p>
              </w:tc>
              <w:tc>
                <w:tcPr>
                  <w:tcW w:w="1523" w:type="pct"/>
                  <w:tcBorders>
                    <w:top w:val="single" w:color="auto" w:sz="4" w:space="0"/>
                    <w:left w:val="single" w:color="auto" w:sz="4" w:space="0"/>
                    <w:bottom w:val="single" w:color="auto" w:sz="4" w:space="0"/>
                    <w:right w:val="nil"/>
                  </w:tcBorders>
                  <w:noWrap w:val="0"/>
                  <w:vAlign w:val="center"/>
                </w:tcPr>
                <w:p w14:paraId="1F573339">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区域给水管网</w:t>
                  </w:r>
                </w:p>
              </w:tc>
            </w:tr>
            <w:tr w14:paraId="1273545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385" w:type="pct"/>
                  <w:vMerge w:val="continue"/>
                  <w:tcBorders>
                    <w:top w:val="single" w:color="auto" w:sz="4" w:space="0"/>
                    <w:left w:val="nil"/>
                    <w:bottom w:val="single" w:color="auto" w:sz="4" w:space="0"/>
                    <w:right w:val="single" w:color="auto" w:sz="4" w:space="0"/>
                  </w:tcBorders>
                  <w:noWrap w:val="0"/>
                  <w:vAlign w:val="center"/>
                </w:tcPr>
                <w:p w14:paraId="6457B6D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10" w:type="pct"/>
                  <w:gridSpan w:val="2"/>
                  <w:tcBorders>
                    <w:top w:val="single" w:color="auto" w:sz="4" w:space="0"/>
                    <w:left w:val="single" w:color="auto" w:sz="4" w:space="0"/>
                    <w:bottom w:val="single" w:color="auto" w:sz="4" w:space="0"/>
                    <w:right w:val="single" w:color="auto" w:sz="4" w:space="0"/>
                  </w:tcBorders>
                  <w:noWrap w:val="0"/>
                  <w:vAlign w:val="center"/>
                </w:tcPr>
                <w:p w14:paraId="0D63C545">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排水</w:t>
                  </w:r>
                </w:p>
              </w:tc>
              <w:tc>
                <w:tcPr>
                  <w:tcW w:w="1881" w:type="pct"/>
                  <w:tcBorders>
                    <w:top w:val="single" w:color="auto" w:sz="4" w:space="0"/>
                    <w:left w:val="single" w:color="auto" w:sz="4" w:space="0"/>
                    <w:bottom w:val="single" w:color="auto" w:sz="4" w:space="0"/>
                    <w:right w:val="single" w:color="auto" w:sz="4" w:space="0"/>
                  </w:tcBorders>
                  <w:noWrap w:val="0"/>
                  <w:vAlign w:val="center"/>
                </w:tcPr>
                <w:p w14:paraId="49B264DA">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eastAsia="仿宋" w:cs="Times New Roman"/>
                      <w:color w:val="auto"/>
                      <w:kern w:val="0"/>
                      <w:sz w:val="21"/>
                      <w:szCs w:val="21"/>
                      <w:lang w:val="en-US" w:eastAsia="zh-CN" w:bidi="ar"/>
                    </w:rPr>
                    <w:t>72</w:t>
                  </w:r>
                  <w:r>
                    <w:rPr>
                      <w:rFonts w:hint="default" w:ascii="Times New Roman" w:hAnsi="Times New Roman" w:eastAsia="仿宋" w:cs="Times New Roman"/>
                      <w:color w:val="auto"/>
                      <w:kern w:val="0"/>
                      <w:sz w:val="21"/>
                      <w:szCs w:val="21"/>
                      <w:lang w:val="en-US" w:eastAsia="zh-CN" w:bidi="ar"/>
                    </w:rPr>
                    <w:t>0m</w:t>
                  </w:r>
                  <w:r>
                    <w:rPr>
                      <w:rFonts w:hint="default" w:ascii="Times New Roman" w:hAnsi="Times New Roman" w:eastAsia="仿宋" w:cs="Times New Roman"/>
                      <w:color w:val="auto"/>
                      <w:kern w:val="0"/>
                      <w:sz w:val="21"/>
                      <w:szCs w:val="21"/>
                      <w:vertAlign w:val="superscript"/>
                      <w:lang w:val="en-US" w:eastAsia="zh-CN" w:bidi="ar"/>
                    </w:rPr>
                    <w:t>3</w:t>
                  </w:r>
                  <w:r>
                    <w:rPr>
                      <w:rFonts w:hint="default" w:ascii="Times New Roman" w:hAnsi="Times New Roman" w:eastAsia="仿宋" w:cs="Times New Roman"/>
                      <w:color w:val="auto"/>
                      <w:kern w:val="0"/>
                      <w:sz w:val="21"/>
                      <w:szCs w:val="21"/>
                      <w:lang w:val="en-US" w:eastAsia="zh-CN" w:bidi="ar"/>
                    </w:rPr>
                    <w:t>/a</w:t>
                  </w:r>
                </w:p>
              </w:tc>
              <w:tc>
                <w:tcPr>
                  <w:tcW w:w="1523" w:type="pct"/>
                  <w:tcBorders>
                    <w:top w:val="single" w:color="auto" w:sz="4" w:space="0"/>
                    <w:left w:val="single" w:color="auto" w:sz="4" w:space="0"/>
                    <w:bottom w:val="single" w:color="auto" w:sz="4" w:space="0"/>
                    <w:right w:val="nil"/>
                  </w:tcBorders>
                  <w:noWrap w:val="0"/>
                  <w:vAlign w:val="center"/>
                </w:tcPr>
                <w:p w14:paraId="7CFAAC6F">
                  <w:pPr>
                    <w:keepNext w:val="0"/>
                    <w:keepLines w:val="0"/>
                    <w:widowControl/>
                    <w:suppressLineNumbers w:val="0"/>
                    <w:spacing w:before="0" w:beforeAutospacing="0" w:after="0" w:afterAutospacing="0"/>
                    <w:ind w:left="0" w:right="0"/>
                    <w:jc w:val="both"/>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生活污水接管至金坛区朱林镇三星村李巷农村生活污水处理站集中处理</w:t>
                  </w:r>
                </w:p>
              </w:tc>
            </w:tr>
            <w:tr w14:paraId="006AF16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85" w:type="pct"/>
                  <w:vMerge w:val="continue"/>
                  <w:tcBorders>
                    <w:top w:val="single" w:color="auto" w:sz="4" w:space="0"/>
                    <w:left w:val="nil"/>
                    <w:bottom w:val="single" w:color="auto" w:sz="4" w:space="0"/>
                    <w:right w:val="single" w:color="auto" w:sz="4" w:space="0"/>
                  </w:tcBorders>
                  <w:noWrap w:val="0"/>
                  <w:vAlign w:val="center"/>
                </w:tcPr>
                <w:p w14:paraId="6C912C3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10" w:type="pct"/>
                  <w:gridSpan w:val="2"/>
                  <w:tcBorders>
                    <w:top w:val="single" w:color="auto" w:sz="4" w:space="0"/>
                    <w:left w:val="single" w:color="auto" w:sz="4" w:space="0"/>
                    <w:bottom w:val="single" w:color="auto" w:sz="4" w:space="0"/>
                    <w:right w:val="single" w:color="auto" w:sz="4" w:space="0"/>
                  </w:tcBorders>
                  <w:noWrap w:val="0"/>
                  <w:vAlign w:val="center"/>
                </w:tcPr>
                <w:p w14:paraId="101DDAC3">
                  <w:pPr>
                    <w:pStyle w:val="22"/>
                    <w:keepNext w:val="0"/>
                    <w:keepLines w:val="0"/>
                    <w:widowControl w:val="0"/>
                    <w:suppressLineNumbers w:val="0"/>
                    <w:spacing w:before="0" w:beforeAutospacing="0" w:after="0" w:afterAutospacing="0" w:line="300" w:lineRule="exact"/>
                    <w:ind w:left="0" w:right="0"/>
                    <w:jc w:val="center"/>
                    <w:rPr>
                      <w:rFonts w:hint="default" w:ascii="Times New Roman" w:hAnsi="Times New Roman" w:eastAsia="仿宋" w:cs="Times New Roman"/>
                      <w:bCs/>
                      <w:color w:val="auto"/>
                      <w:kern w:val="0"/>
                      <w:sz w:val="21"/>
                      <w:szCs w:val="21"/>
                    </w:rPr>
                  </w:pPr>
                  <w:r>
                    <w:rPr>
                      <w:rFonts w:hint="eastAsia" w:ascii="仿宋" w:hAnsi="仿宋" w:eastAsia="仿宋" w:cs="仿宋"/>
                      <w:bCs/>
                      <w:color w:val="auto"/>
                      <w:kern w:val="2"/>
                      <w:sz w:val="21"/>
                      <w:szCs w:val="21"/>
                      <w:lang w:val="en-US" w:eastAsia="zh-CN" w:bidi="ar"/>
                    </w:rPr>
                    <w:t>供电</w:t>
                  </w:r>
                </w:p>
              </w:tc>
              <w:tc>
                <w:tcPr>
                  <w:tcW w:w="1881" w:type="pct"/>
                  <w:tcBorders>
                    <w:top w:val="single" w:color="auto" w:sz="4" w:space="0"/>
                    <w:left w:val="single" w:color="auto" w:sz="4" w:space="0"/>
                    <w:bottom w:val="single" w:color="auto" w:sz="4" w:space="0"/>
                    <w:right w:val="single" w:color="auto" w:sz="4" w:space="0"/>
                  </w:tcBorders>
                  <w:noWrap w:val="0"/>
                  <w:vAlign w:val="center"/>
                </w:tcPr>
                <w:p w14:paraId="54DDCC6B">
                  <w:pPr>
                    <w:pStyle w:val="22"/>
                    <w:keepNext w:val="0"/>
                    <w:keepLines w:val="0"/>
                    <w:widowControl w:val="0"/>
                    <w:suppressLineNumbers w:val="0"/>
                    <w:spacing w:before="0" w:beforeAutospacing="0" w:after="0" w:afterAutospacing="0" w:line="300" w:lineRule="exact"/>
                    <w:ind w:left="0" w:right="0"/>
                    <w:jc w:val="center"/>
                    <w:rPr>
                      <w:rFonts w:hint="default" w:ascii="Times New Roman" w:hAnsi="Times New Roman" w:eastAsia="仿宋" w:cs="Times New Roman"/>
                      <w:bCs/>
                      <w:color w:val="auto"/>
                      <w:kern w:val="0"/>
                      <w:sz w:val="21"/>
                      <w:szCs w:val="21"/>
                    </w:rPr>
                  </w:pPr>
                  <w:r>
                    <w:rPr>
                      <w:rFonts w:hint="eastAsia" w:ascii="仿宋" w:hAnsi="仿宋" w:eastAsia="仿宋" w:cs="仿宋"/>
                      <w:bCs/>
                      <w:color w:val="auto"/>
                      <w:kern w:val="2"/>
                      <w:sz w:val="21"/>
                      <w:szCs w:val="21"/>
                      <w:lang w:val="en-US" w:eastAsia="zh-CN" w:bidi="ar"/>
                    </w:rPr>
                    <w:t>耗电量</w:t>
                  </w:r>
                  <w:r>
                    <w:rPr>
                      <w:rFonts w:hint="eastAsia" w:ascii="Times New Roman" w:hAnsi="Times New Roman" w:eastAsia="仿宋" w:cs="Times New Roman"/>
                      <w:bCs/>
                      <w:color w:val="auto"/>
                      <w:kern w:val="2"/>
                      <w:sz w:val="21"/>
                      <w:szCs w:val="21"/>
                      <w:lang w:val="en-US" w:eastAsia="zh-CN" w:bidi="ar"/>
                    </w:rPr>
                    <w:t>12</w:t>
                  </w:r>
                  <w:r>
                    <w:rPr>
                      <w:rFonts w:hint="eastAsia" w:ascii="仿宋" w:hAnsi="仿宋" w:eastAsia="仿宋" w:cs="仿宋"/>
                      <w:bCs/>
                      <w:color w:val="auto"/>
                      <w:kern w:val="2"/>
                      <w:sz w:val="21"/>
                      <w:szCs w:val="21"/>
                      <w:lang w:val="en-US" w:eastAsia="zh-CN" w:bidi="ar"/>
                    </w:rPr>
                    <w:t>万</w:t>
                  </w:r>
                  <w:r>
                    <w:rPr>
                      <w:rFonts w:hint="default" w:ascii="Times New Roman" w:hAnsi="Times New Roman" w:eastAsia="仿宋" w:cs="Times New Roman"/>
                      <w:bCs/>
                      <w:color w:val="auto"/>
                      <w:kern w:val="2"/>
                      <w:sz w:val="21"/>
                      <w:szCs w:val="21"/>
                      <w:lang w:val="en-US" w:eastAsia="zh-CN" w:bidi="ar"/>
                    </w:rPr>
                    <w:t>kW·h/a</w:t>
                  </w:r>
                </w:p>
              </w:tc>
              <w:tc>
                <w:tcPr>
                  <w:tcW w:w="1523" w:type="pct"/>
                  <w:tcBorders>
                    <w:top w:val="single" w:color="auto" w:sz="4" w:space="0"/>
                    <w:left w:val="single" w:color="auto" w:sz="4" w:space="0"/>
                    <w:bottom w:val="single" w:color="auto" w:sz="4" w:space="0"/>
                    <w:right w:val="nil"/>
                  </w:tcBorders>
                  <w:noWrap w:val="0"/>
                  <w:vAlign w:val="center"/>
                </w:tcPr>
                <w:p w14:paraId="4FC975D6">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2"/>
                      <w:sz w:val="21"/>
                      <w:szCs w:val="21"/>
                      <w:lang w:val="en-US" w:eastAsia="zh-CN" w:bidi="ar"/>
                    </w:rPr>
                    <w:t>市政电网</w:t>
                  </w:r>
                </w:p>
              </w:tc>
            </w:tr>
            <w:tr w14:paraId="056CA37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85" w:type="pct"/>
                  <w:vMerge w:val="restart"/>
                  <w:tcBorders>
                    <w:top w:val="single" w:color="auto" w:sz="4" w:space="0"/>
                    <w:left w:val="nil"/>
                    <w:bottom w:val="single" w:color="auto" w:sz="4" w:space="0"/>
                    <w:right w:val="single" w:color="auto" w:sz="4" w:space="0"/>
                  </w:tcBorders>
                  <w:noWrap w:val="0"/>
                  <w:vAlign w:val="center"/>
                </w:tcPr>
                <w:p w14:paraId="64123C99">
                  <w:pPr>
                    <w:keepNext w:val="0"/>
                    <w:keepLines w:val="0"/>
                    <w:widowControl w:val="0"/>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环保工程</w:t>
                  </w:r>
                </w:p>
              </w:tc>
              <w:tc>
                <w:tcPr>
                  <w:tcW w:w="365" w:type="pct"/>
                  <w:vMerge w:val="restart"/>
                  <w:tcBorders>
                    <w:top w:val="single" w:color="auto" w:sz="4" w:space="0"/>
                    <w:left w:val="single" w:color="auto" w:sz="4" w:space="0"/>
                    <w:bottom w:val="single" w:color="auto" w:sz="4" w:space="0"/>
                    <w:right w:val="single" w:color="auto" w:sz="4" w:space="0"/>
                  </w:tcBorders>
                  <w:noWrap w:val="0"/>
                  <w:vAlign w:val="center"/>
                </w:tcPr>
                <w:p w14:paraId="227CC48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废气处理</w:t>
                  </w:r>
                </w:p>
              </w:tc>
              <w:tc>
                <w:tcPr>
                  <w:tcW w:w="84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192ABE">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磨圆粉尘：颗粒物</w:t>
                  </w:r>
                </w:p>
              </w:tc>
              <w:tc>
                <w:tcPr>
                  <w:tcW w:w="18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DA7891">
                  <w:pPr>
                    <w:keepNext w:val="0"/>
                    <w:keepLines w:val="0"/>
                    <w:suppressLineNumbers w:val="0"/>
                    <w:spacing w:before="0" w:beforeAutospacing="0" w:after="0" w:afterAutospacing="0" w:line="240" w:lineRule="auto"/>
                    <w:ind w:left="0" w:leftChars="0" w:right="0" w:rightChars="0"/>
                    <w:jc w:val="both"/>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szCs w:val="21"/>
                      <w:lang w:val="en-US" w:eastAsia="zh-CN" w:bidi="en-US"/>
                    </w:rPr>
                    <w:t>磨圆粉尘经</w:t>
                  </w:r>
                  <w:r>
                    <w:rPr>
                      <w:rFonts w:hint="eastAsia" w:ascii="Times New Roman" w:hAnsi="Times New Roman" w:eastAsia="仿宋" w:cs="Times New Roman"/>
                      <w:color w:val="auto"/>
                      <w:kern w:val="0"/>
                      <w:szCs w:val="21"/>
                      <w:lang w:val="en-US" w:eastAsia="zh-CN"/>
                    </w:rPr>
                    <w:t>集气罩</w:t>
                  </w:r>
                  <w:r>
                    <w:rPr>
                      <w:rFonts w:hint="eastAsia" w:eastAsia="仿宋" w:cs="Times New Roman"/>
                      <w:color w:val="auto"/>
                      <w:kern w:val="0"/>
                      <w:szCs w:val="21"/>
                      <w:lang w:val="en-US" w:eastAsia="zh-CN"/>
                    </w:rPr>
                    <w:t>（设垂帘</w:t>
                  </w:r>
                  <w:r>
                    <w:rPr>
                      <w:rFonts w:hint="eastAsia" w:ascii="Times New Roman" w:hAnsi="Times New Roman" w:eastAsia="仿宋" w:cs="Times New Roman"/>
                      <w:color w:val="auto"/>
                      <w:kern w:val="0"/>
                      <w:szCs w:val="21"/>
                      <w:lang w:val="en-US" w:eastAsia="zh-CN"/>
                    </w:rPr>
                    <w:t>收集后通过一套“袋式除尘”装置（TA001）处理，尾气通过一根15m高排气筒（DA001）排放</w:t>
                  </w:r>
                </w:p>
              </w:tc>
              <w:tc>
                <w:tcPr>
                  <w:tcW w:w="1523" w:type="pct"/>
                  <w:vMerge w:val="restart"/>
                  <w:tcBorders>
                    <w:top w:val="single" w:color="auto" w:sz="4" w:space="0"/>
                    <w:left w:val="single" w:color="auto" w:sz="4" w:space="0"/>
                    <w:bottom w:val="single" w:color="auto" w:sz="4" w:space="0"/>
                    <w:right w:val="nil"/>
                  </w:tcBorders>
                  <w:noWrap w:val="0"/>
                  <w:vAlign w:val="center"/>
                </w:tcPr>
                <w:p w14:paraId="7F84C0A4">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达标排放</w:t>
                  </w:r>
                </w:p>
              </w:tc>
            </w:tr>
            <w:tr w14:paraId="2A4764F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85" w:type="pct"/>
                  <w:vMerge w:val="continue"/>
                  <w:tcBorders>
                    <w:left w:val="nil"/>
                    <w:right w:val="single" w:color="auto" w:sz="4" w:space="0"/>
                  </w:tcBorders>
                  <w:noWrap w:val="0"/>
                  <w:vAlign w:val="center"/>
                </w:tcPr>
                <w:p w14:paraId="3587BB53">
                  <w:pPr>
                    <w:keepNext w:val="0"/>
                    <w:keepLines w:val="0"/>
                    <w:widowControl w:val="0"/>
                    <w:suppressLineNumbers w:val="0"/>
                    <w:spacing w:before="0" w:beforeAutospacing="0" w:after="0" w:afterAutospacing="0"/>
                    <w:ind w:left="0" w:right="0"/>
                    <w:jc w:val="center"/>
                    <w:rPr>
                      <w:rFonts w:hint="eastAsia" w:ascii="仿宋" w:hAnsi="仿宋" w:eastAsia="仿宋" w:cs="仿宋"/>
                      <w:color w:val="auto"/>
                      <w:kern w:val="0"/>
                      <w:sz w:val="21"/>
                      <w:szCs w:val="21"/>
                      <w:lang w:val="en-US" w:eastAsia="zh-CN" w:bidi="ar"/>
                    </w:rPr>
                  </w:pPr>
                </w:p>
              </w:tc>
              <w:tc>
                <w:tcPr>
                  <w:tcW w:w="365" w:type="pct"/>
                  <w:vMerge w:val="continue"/>
                  <w:tcBorders>
                    <w:left w:val="single" w:color="auto" w:sz="4" w:space="0"/>
                    <w:right w:val="single" w:color="auto" w:sz="4" w:space="0"/>
                  </w:tcBorders>
                  <w:noWrap w:val="0"/>
                  <w:vAlign w:val="center"/>
                </w:tcPr>
                <w:p w14:paraId="4C696324">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lang w:val="en-US" w:eastAsia="zh-CN" w:bidi="ar"/>
                    </w:rPr>
                  </w:pPr>
                </w:p>
              </w:tc>
              <w:tc>
                <w:tcPr>
                  <w:tcW w:w="84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9E5C06">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涂胶废气：非甲烷总烃</w:t>
                  </w:r>
                </w:p>
              </w:tc>
              <w:tc>
                <w:tcPr>
                  <w:tcW w:w="18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AE5667">
                  <w:pPr>
                    <w:keepNext w:val="0"/>
                    <w:keepLines w:val="0"/>
                    <w:widowControl/>
                    <w:suppressLineNumbers w:val="0"/>
                    <w:spacing w:before="0" w:beforeAutospacing="0" w:after="0" w:afterAutospacing="0" w:line="240" w:lineRule="auto"/>
                    <w:ind w:left="0" w:leftChars="0" w:right="0" w:rightChars="0"/>
                    <w:jc w:val="both"/>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涂胶废气经</w:t>
                  </w:r>
                  <w:r>
                    <w:rPr>
                      <w:rFonts w:hint="eastAsia" w:eastAsia="仿宋" w:cs="Times New Roman"/>
                      <w:color w:val="auto"/>
                      <w:kern w:val="0"/>
                      <w:szCs w:val="21"/>
                      <w:lang w:val="en-US" w:eastAsia="zh-CN"/>
                    </w:rPr>
                    <w:t>密闭</w:t>
                  </w:r>
                  <w:r>
                    <w:rPr>
                      <w:rFonts w:hint="eastAsia" w:ascii="Times New Roman" w:hAnsi="Times New Roman" w:eastAsia="仿宋" w:cs="Times New Roman"/>
                      <w:color w:val="auto"/>
                      <w:kern w:val="0"/>
                      <w:szCs w:val="21"/>
                      <w:lang w:val="en-US" w:eastAsia="zh-CN"/>
                    </w:rPr>
                    <w:t>收集后通过一套“脉冲除尘+水喷淋+除雾+两级活性炭吸附”装置（TA00</w:t>
                  </w:r>
                  <w:r>
                    <w:rPr>
                      <w:rFonts w:hint="eastAsia" w:eastAsia="仿宋" w:cs="Times New Roman"/>
                      <w:color w:val="auto"/>
                      <w:kern w:val="0"/>
                      <w:szCs w:val="21"/>
                      <w:lang w:val="en-US" w:eastAsia="zh-CN"/>
                    </w:rPr>
                    <w:t>2</w:t>
                  </w:r>
                  <w:r>
                    <w:rPr>
                      <w:rFonts w:hint="eastAsia" w:ascii="Times New Roman" w:hAnsi="Times New Roman" w:eastAsia="仿宋" w:cs="Times New Roman"/>
                      <w:color w:val="auto"/>
                      <w:kern w:val="0"/>
                      <w:szCs w:val="21"/>
                      <w:lang w:val="en-US" w:eastAsia="zh-CN"/>
                    </w:rPr>
                    <w:t>）处理，尾气通过一根15m高排气筒（DA002）排放</w:t>
                  </w:r>
                </w:p>
              </w:tc>
              <w:tc>
                <w:tcPr>
                  <w:tcW w:w="1523" w:type="pct"/>
                  <w:vMerge w:val="continue"/>
                  <w:tcBorders>
                    <w:left w:val="single" w:color="auto" w:sz="4" w:space="0"/>
                    <w:right w:val="nil"/>
                  </w:tcBorders>
                  <w:noWrap w:val="0"/>
                  <w:vAlign w:val="center"/>
                </w:tcPr>
                <w:p w14:paraId="5C692F0D">
                  <w:pPr>
                    <w:keepNext w:val="0"/>
                    <w:keepLines w:val="0"/>
                    <w:widowControl w:val="0"/>
                    <w:suppressLineNumbers w:val="0"/>
                    <w:spacing w:before="0" w:beforeAutospacing="0" w:after="0" w:afterAutospacing="0"/>
                    <w:ind w:left="0" w:right="0"/>
                    <w:jc w:val="center"/>
                    <w:rPr>
                      <w:rFonts w:hint="eastAsia" w:ascii="仿宋" w:hAnsi="仿宋" w:eastAsia="仿宋" w:cs="仿宋"/>
                      <w:color w:val="auto"/>
                      <w:kern w:val="0"/>
                      <w:sz w:val="21"/>
                      <w:szCs w:val="21"/>
                      <w:lang w:val="en-US" w:eastAsia="zh-CN" w:bidi="ar"/>
                    </w:rPr>
                  </w:pPr>
                </w:p>
              </w:tc>
            </w:tr>
            <w:tr w14:paraId="497CEC4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85" w:type="pct"/>
                  <w:vMerge w:val="continue"/>
                  <w:tcBorders>
                    <w:top w:val="single" w:color="auto" w:sz="4" w:space="0"/>
                    <w:left w:val="nil"/>
                    <w:bottom w:val="single" w:color="auto" w:sz="4" w:space="0"/>
                    <w:right w:val="single" w:color="auto" w:sz="4" w:space="0"/>
                  </w:tcBorders>
                  <w:noWrap w:val="0"/>
                  <w:vAlign w:val="center"/>
                </w:tcPr>
                <w:p w14:paraId="59D508F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365" w:type="pct"/>
                  <w:vMerge w:val="continue"/>
                  <w:tcBorders>
                    <w:top w:val="single" w:color="auto" w:sz="4" w:space="0"/>
                    <w:left w:val="single" w:color="auto" w:sz="4" w:space="0"/>
                    <w:bottom w:val="single" w:color="auto" w:sz="4" w:space="0"/>
                    <w:right w:val="single" w:color="auto" w:sz="4" w:space="0"/>
                  </w:tcBorders>
                  <w:noWrap w:val="0"/>
                  <w:vAlign w:val="center"/>
                </w:tcPr>
                <w:p w14:paraId="4FC55A5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4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23064E">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密炼废气：颗粒物、硫化氢、二硫化碳、非甲烷总烃、臭气浓度</w:t>
                  </w:r>
                </w:p>
              </w:tc>
              <w:tc>
                <w:tcPr>
                  <w:tcW w:w="1881" w:type="pct"/>
                  <w:vMerge w:val="restart"/>
                  <w:tcBorders>
                    <w:top w:val="single" w:color="auto" w:sz="4" w:space="0"/>
                    <w:left w:val="single" w:color="auto" w:sz="4" w:space="0"/>
                    <w:right w:val="single" w:color="auto" w:sz="4" w:space="0"/>
                  </w:tcBorders>
                  <w:shd w:val="clear" w:color="auto" w:fill="auto"/>
                  <w:noWrap w:val="0"/>
                  <w:vAlign w:val="center"/>
                </w:tcPr>
                <w:p w14:paraId="2BCFE761">
                  <w:pPr>
                    <w:keepNext w:val="0"/>
                    <w:keepLines w:val="0"/>
                    <w:widowControl/>
                    <w:suppressLineNumbers w:val="0"/>
                    <w:spacing w:before="0" w:beforeAutospacing="0" w:after="0" w:afterAutospacing="0" w:line="240" w:lineRule="auto"/>
                    <w:ind w:left="0" w:leftChars="0" w:right="0" w:rightChars="0"/>
                    <w:jc w:val="both"/>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炼胶废气</w:t>
                  </w:r>
                  <w:r>
                    <w:rPr>
                      <w:rFonts w:hint="eastAsia" w:eastAsia="仿宋" w:cs="Times New Roman"/>
                      <w:color w:val="auto"/>
                      <w:kern w:val="0"/>
                      <w:szCs w:val="21"/>
                      <w:lang w:val="en-US" w:eastAsia="zh-CN"/>
                    </w:rPr>
                    <w:t>密闭</w:t>
                  </w:r>
                  <w:r>
                    <w:rPr>
                      <w:rFonts w:hint="eastAsia" w:ascii="Times New Roman" w:hAnsi="Times New Roman" w:eastAsia="仿宋" w:cs="Times New Roman"/>
                      <w:color w:val="auto"/>
                      <w:kern w:val="0"/>
                      <w:szCs w:val="21"/>
                      <w:lang w:val="en-US" w:eastAsia="zh-CN"/>
                    </w:rPr>
                    <w:t>收集</w:t>
                  </w:r>
                  <w:r>
                    <w:rPr>
                      <w:rFonts w:hint="eastAsia" w:eastAsia="仿宋" w:cs="Times New Roman"/>
                      <w:color w:val="auto"/>
                      <w:kern w:val="0"/>
                      <w:szCs w:val="21"/>
                      <w:lang w:val="en-US" w:eastAsia="zh-CN"/>
                    </w:rPr>
                    <w:t>后</w:t>
                  </w:r>
                  <w:r>
                    <w:rPr>
                      <w:rFonts w:hint="eastAsia" w:ascii="Times New Roman" w:hAnsi="Times New Roman" w:eastAsia="仿宋" w:cs="Times New Roman"/>
                      <w:color w:val="auto"/>
                      <w:kern w:val="0"/>
                      <w:szCs w:val="21"/>
                      <w:lang w:val="en-US" w:eastAsia="zh-CN"/>
                    </w:rPr>
                    <w:t>通过一套“脉冲除尘+水喷淋+除雾+两级活性炭吸附”装置（TA002）处理，尾气通过一根15m高排气筒（DA002）排放</w:t>
                  </w:r>
                </w:p>
              </w:tc>
              <w:tc>
                <w:tcPr>
                  <w:tcW w:w="1523" w:type="pct"/>
                  <w:vMerge w:val="continue"/>
                  <w:tcBorders>
                    <w:top w:val="single" w:color="auto" w:sz="4" w:space="0"/>
                    <w:left w:val="single" w:color="auto" w:sz="4" w:space="0"/>
                    <w:bottom w:val="single" w:color="auto" w:sz="4" w:space="0"/>
                    <w:right w:val="nil"/>
                  </w:tcBorders>
                  <w:noWrap w:val="0"/>
                  <w:vAlign w:val="center"/>
                </w:tcPr>
                <w:p w14:paraId="211E9B0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74390FB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385" w:type="pct"/>
                  <w:vMerge w:val="continue"/>
                  <w:tcBorders>
                    <w:top w:val="single" w:color="auto" w:sz="4" w:space="0"/>
                    <w:left w:val="nil"/>
                    <w:bottom w:val="single" w:color="auto" w:sz="4" w:space="0"/>
                    <w:right w:val="single" w:color="auto" w:sz="4" w:space="0"/>
                  </w:tcBorders>
                  <w:noWrap w:val="0"/>
                  <w:vAlign w:val="center"/>
                </w:tcPr>
                <w:p w14:paraId="19BA5AD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365" w:type="pct"/>
                  <w:vMerge w:val="continue"/>
                  <w:tcBorders>
                    <w:top w:val="single" w:color="auto" w:sz="4" w:space="0"/>
                    <w:left w:val="single" w:color="auto" w:sz="4" w:space="0"/>
                    <w:bottom w:val="single" w:color="auto" w:sz="4" w:space="0"/>
                    <w:right w:val="single" w:color="auto" w:sz="4" w:space="0"/>
                  </w:tcBorders>
                  <w:noWrap w:val="0"/>
                  <w:vAlign w:val="center"/>
                </w:tcPr>
                <w:p w14:paraId="00A5A11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45" w:type="pct"/>
                  <w:tcBorders>
                    <w:top w:val="single" w:color="auto" w:sz="4" w:space="0"/>
                    <w:left w:val="single" w:color="000000" w:sz="4" w:space="0"/>
                    <w:bottom w:val="single" w:color="auto" w:sz="4" w:space="0"/>
                    <w:right w:val="single" w:color="auto" w:sz="4" w:space="0"/>
                  </w:tcBorders>
                  <w:shd w:val="clear" w:color="auto" w:fill="auto"/>
                  <w:noWrap w:val="0"/>
                  <w:vAlign w:val="center"/>
                </w:tcPr>
                <w:p w14:paraId="58ABBAB1">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开炼废气：硫化氢、二硫化碳、非甲烷总烃、臭气浓度</w:t>
                  </w:r>
                </w:p>
              </w:tc>
              <w:tc>
                <w:tcPr>
                  <w:tcW w:w="1881" w:type="pct"/>
                  <w:vMerge w:val="continue"/>
                  <w:tcBorders>
                    <w:left w:val="single" w:color="auto" w:sz="4" w:space="0"/>
                    <w:bottom w:val="single" w:color="auto" w:sz="4" w:space="0"/>
                    <w:right w:val="single" w:color="auto" w:sz="4" w:space="0"/>
                  </w:tcBorders>
                  <w:noWrap w:val="0"/>
                  <w:vAlign w:val="center"/>
                </w:tcPr>
                <w:p w14:paraId="7C3A9DC6">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color w:val="auto"/>
                      <w:kern w:val="0"/>
                      <w:sz w:val="21"/>
                      <w:szCs w:val="21"/>
                    </w:rPr>
                  </w:pPr>
                </w:p>
              </w:tc>
              <w:tc>
                <w:tcPr>
                  <w:tcW w:w="1523" w:type="pct"/>
                  <w:vMerge w:val="continue"/>
                  <w:tcBorders>
                    <w:top w:val="single" w:color="auto" w:sz="4" w:space="0"/>
                    <w:left w:val="single" w:color="auto" w:sz="4" w:space="0"/>
                    <w:bottom w:val="single" w:color="auto" w:sz="4" w:space="0"/>
                    <w:right w:val="nil"/>
                  </w:tcBorders>
                  <w:noWrap w:val="0"/>
                  <w:vAlign w:val="center"/>
                </w:tcPr>
                <w:p w14:paraId="1CDDC7B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0AEC47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385" w:type="pct"/>
                  <w:vMerge w:val="continue"/>
                  <w:tcBorders>
                    <w:top w:val="single" w:color="auto" w:sz="4" w:space="0"/>
                    <w:left w:val="nil"/>
                    <w:bottom w:val="single" w:color="auto" w:sz="4" w:space="0"/>
                    <w:right w:val="single" w:color="auto" w:sz="4" w:space="0"/>
                  </w:tcBorders>
                  <w:noWrap w:val="0"/>
                  <w:vAlign w:val="center"/>
                </w:tcPr>
                <w:p w14:paraId="4FCBCDE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365" w:type="pct"/>
                  <w:vMerge w:val="continue"/>
                  <w:tcBorders>
                    <w:top w:val="single" w:color="auto" w:sz="4" w:space="0"/>
                    <w:left w:val="single" w:color="auto" w:sz="4" w:space="0"/>
                    <w:bottom w:val="single" w:color="auto" w:sz="4" w:space="0"/>
                    <w:right w:val="single" w:color="auto" w:sz="4" w:space="0"/>
                  </w:tcBorders>
                  <w:noWrap w:val="0"/>
                  <w:vAlign w:val="center"/>
                </w:tcPr>
                <w:p w14:paraId="74095A8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45" w:type="pct"/>
                  <w:tcBorders>
                    <w:top w:val="single" w:color="auto" w:sz="4" w:space="0"/>
                    <w:left w:val="single" w:color="000000" w:sz="4" w:space="0"/>
                    <w:bottom w:val="single" w:color="auto" w:sz="4" w:space="0"/>
                    <w:right w:val="single" w:color="auto" w:sz="4" w:space="0"/>
                  </w:tcBorders>
                  <w:shd w:val="clear" w:color="auto" w:fill="auto"/>
                  <w:noWrap w:val="0"/>
                  <w:vAlign w:val="center"/>
                </w:tcPr>
                <w:p w14:paraId="1ED68A22">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硫化废气：硫化氢、二硫化碳、非甲烷总烃、臭气浓度</w:t>
                  </w:r>
                </w:p>
              </w:tc>
              <w:tc>
                <w:tcPr>
                  <w:tcW w:w="18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64B4DB">
                  <w:pPr>
                    <w:keepNext w:val="0"/>
                    <w:keepLines w:val="0"/>
                    <w:suppressLineNumbers w:val="0"/>
                    <w:spacing w:before="0" w:beforeAutospacing="0" w:after="0" w:afterAutospacing="0" w:line="240" w:lineRule="auto"/>
                    <w:ind w:left="0" w:leftChars="0" w:right="0" w:rightChars="0"/>
                    <w:jc w:val="both"/>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硫化废气经密闭</w:t>
                  </w:r>
                  <w:r>
                    <w:rPr>
                      <w:rFonts w:hint="eastAsia" w:ascii="Times New Roman" w:hAnsi="Times New Roman" w:eastAsia="仿宋" w:cs="Times New Roman"/>
                      <w:color w:val="auto"/>
                      <w:kern w:val="0"/>
                      <w:szCs w:val="21"/>
                      <w:lang w:val="en-US" w:eastAsia="zh-CN"/>
                    </w:rPr>
                    <w:t>收集后通过一套“脉冲除尘+水喷淋+除雾+两级活性炭吸附”装置（TA002）处理，尾气通过</w:t>
                  </w:r>
                  <w:r>
                    <w:rPr>
                      <w:rFonts w:hint="eastAsia" w:eastAsia="仿宋" w:cs="Times New Roman"/>
                      <w:color w:val="auto"/>
                      <w:kern w:val="0"/>
                      <w:szCs w:val="21"/>
                      <w:lang w:val="en-US" w:eastAsia="zh-CN"/>
                    </w:rPr>
                    <w:t>一</w:t>
                  </w:r>
                  <w:r>
                    <w:rPr>
                      <w:rFonts w:hint="eastAsia" w:ascii="Times New Roman" w:hAnsi="Times New Roman" w:eastAsia="仿宋" w:cs="Times New Roman"/>
                      <w:color w:val="auto"/>
                      <w:kern w:val="0"/>
                      <w:szCs w:val="21"/>
                      <w:lang w:val="en-US" w:eastAsia="zh-CN"/>
                    </w:rPr>
                    <w:t>根</w:t>
                  </w:r>
                  <w:r>
                    <w:rPr>
                      <w:rFonts w:hint="eastAsia" w:eastAsia="仿宋" w:cs="Times New Roman"/>
                      <w:color w:val="auto"/>
                      <w:kern w:val="0"/>
                      <w:szCs w:val="21"/>
                      <w:lang w:val="en-US" w:eastAsia="zh-CN"/>
                    </w:rPr>
                    <w:t>15m</w:t>
                  </w:r>
                  <w:r>
                    <w:rPr>
                      <w:rFonts w:hint="eastAsia" w:ascii="Times New Roman" w:hAnsi="Times New Roman" w:eastAsia="仿宋" w:cs="Times New Roman"/>
                      <w:color w:val="auto"/>
                      <w:kern w:val="0"/>
                      <w:szCs w:val="21"/>
                      <w:lang w:val="en-US" w:eastAsia="zh-CN"/>
                    </w:rPr>
                    <w:t>高排气筒</w:t>
                  </w:r>
                  <w:r>
                    <w:rPr>
                      <w:rFonts w:hint="eastAsia" w:eastAsia="仿宋" w:cs="Times New Roman"/>
                      <w:color w:val="auto"/>
                      <w:kern w:val="0"/>
                      <w:szCs w:val="21"/>
                      <w:lang w:val="en-US" w:eastAsia="zh-CN"/>
                    </w:rPr>
                    <w:t>（DA002）</w:t>
                  </w:r>
                  <w:r>
                    <w:rPr>
                      <w:rFonts w:hint="eastAsia" w:ascii="Times New Roman" w:hAnsi="Times New Roman" w:eastAsia="仿宋" w:cs="Times New Roman"/>
                      <w:color w:val="auto"/>
                      <w:kern w:val="0"/>
                      <w:szCs w:val="21"/>
                      <w:lang w:val="en-US" w:eastAsia="zh-CN"/>
                    </w:rPr>
                    <w:t>排放</w:t>
                  </w:r>
                </w:p>
              </w:tc>
              <w:tc>
                <w:tcPr>
                  <w:tcW w:w="1523" w:type="pct"/>
                  <w:vMerge w:val="continue"/>
                  <w:tcBorders>
                    <w:top w:val="single" w:color="auto" w:sz="4" w:space="0"/>
                    <w:left w:val="single" w:color="auto" w:sz="4" w:space="0"/>
                    <w:bottom w:val="single" w:color="auto" w:sz="4" w:space="0"/>
                    <w:right w:val="nil"/>
                  </w:tcBorders>
                  <w:noWrap w:val="0"/>
                  <w:vAlign w:val="center"/>
                </w:tcPr>
                <w:p w14:paraId="2AEDEF4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04A01A2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385" w:type="pct"/>
                  <w:vMerge w:val="continue"/>
                  <w:tcBorders>
                    <w:top w:val="single" w:color="auto" w:sz="4" w:space="0"/>
                    <w:left w:val="nil"/>
                    <w:bottom w:val="single" w:color="auto" w:sz="4" w:space="0"/>
                    <w:right w:val="single" w:color="auto" w:sz="4" w:space="0"/>
                  </w:tcBorders>
                  <w:noWrap w:val="0"/>
                  <w:vAlign w:val="center"/>
                </w:tcPr>
                <w:p w14:paraId="5144CAF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365" w:type="pct"/>
                  <w:tcBorders>
                    <w:top w:val="single" w:color="auto" w:sz="4" w:space="0"/>
                    <w:left w:val="single" w:color="auto" w:sz="4" w:space="0"/>
                    <w:bottom w:val="single" w:color="auto" w:sz="4" w:space="0"/>
                    <w:right w:val="single" w:color="000000" w:sz="4" w:space="0"/>
                  </w:tcBorders>
                  <w:noWrap w:val="0"/>
                  <w:vAlign w:val="center"/>
                </w:tcPr>
                <w:p w14:paraId="77268347">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废水处理</w:t>
                  </w:r>
                </w:p>
              </w:tc>
              <w:tc>
                <w:tcPr>
                  <w:tcW w:w="845" w:type="pct"/>
                  <w:tcBorders>
                    <w:top w:val="single" w:color="auto" w:sz="4" w:space="0"/>
                    <w:left w:val="nil"/>
                    <w:bottom w:val="single" w:color="auto" w:sz="4" w:space="0"/>
                    <w:right w:val="single" w:color="auto" w:sz="4" w:space="0"/>
                  </w:tcBorders>
                  <w:noWrap w:val="0"/>
                  <w:vAlign w:val="center"/>
                </w:tcPr>
                <w:p w14:paraId="50DDD0D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生活污水</w:t>
                  </w:r>
                </w:p>
              </w:tc>
              <w:tc>
                <w:tcPr>
                  <w:tcW w:w="1881" w:type="pct"/>
                  <w:tcBorders>
                    <w:top w:val="single" w:color="auto" w:sz="4" w:space="0"/>
                    <w:left w:val="single" w:color="auto" w:sz="4" w:space="0"/>
                    <w:bottom w:val="single" w:color="auto" w:sz="4" w:space="0"/>
                    <w:right w:val="single" w:color="auto" w:sz="4" w:space="0"/>
                  </w:tcBorders>
                  <w:noWrap w:val="0"/>
                  <w:vAlign w:val="center"/>
                </w:tcPr>
                <w:p w14:paraId="36B5C3E8">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eastAsia="仿宋" w:cs="Times New Roman"/>
                      <w:color w:val="auto"/>
                      <w:kern w:val="0"/>
                      <w:sz w:val="21"/>
                      <w:szCs w:val="21"/>
                      <w:lang w:val="en-US" w:eastAsia="zh-CN" w:bidi="ar"/>
                    </w:rPr>
                    <w:t>72</w:t>
                  </w:r>
                  <w:r>
                    <w:rPr>
                      <w:rFonts w:hint="default" w:ascii="Times New Roman" w:hAnsi="Times New Roman" w:eastAsia="仿宋" w:cs="Times New Roman"/>
                      <w:color w:val="auto"/>
                      <w:kern w:val="0"/>
                      <w:sz w:val="21"/>
                      <w:szCs w:val="21"/>
                      <w:lang w:val="en-US" w:eastAsia="zh-CN" w:bidi="ar"/>
                    </w:rPr>
                    <w:t>0m</w:t>
                  </w:r>
                  <w:r>
                    <w:rPr>
                      <w:rFonts w:hint="default" w:ascii="Times New Roman" w:hAnsi="Times New Roman" w:eastAsia="仿宋" w:cs="Times New Roman"/>
                      <w:color w:val="auto"/>
                      <w:kern w:val="0"/>
                      <w:sz w:val="21"/>
                      <w:szCs w:val="21"/>
                      <w:vertAlign w:val="superscript"/>
                      <w:lang w:val="en-US" w:eastAsia="zh-CN" w:bidi="ar"/>
                    </w:rPr>
                    <w:t>3</w:t>
                  </w:r>
                  <w:r>
                    <w:rPr>
                      <w:rFonts w:hint="default" w:ascii="Times New Roman" w:hAnsi="Times New Roman" w:eastAsia="仿宋" w:cs="Times New Roman"/>
                      <w:color w:val="auto"/>
                      <w:kern w:val="0"/>
                      <w:sz w:val="21"/>
                      <w:szCs w:val="21"/>
                      <w:lang w:val="en-US" w:eastAsia="zh-CN" w:bidi="ar"/>
                    </w:rPr>
                    <w:t>/a</w:t>
                  </w:r>
                </w:p>
              </w:tc>
              <w:tc>
                <w:tcPr>
                  <w:tcW w:w="1523" w:type="pct"/>
                  <w:tcBorders>
                    <w:top w:val="single" w:color="auto" w:sz="4" w:space="0"/>
                    <w:left w:val="single" w:color="auto" w:sz="4" w:space="0"/>
                    <w:bottom w:val="single" w:color="auto" w:sz="4" w:space="0"/>
                    <w:right w:val="nil"/>
                  </w:tcBorders>
                  <w:noWrap w:val="0"/>
                  <w:vAlign w:val="center"/>
                </w:tcPr>
                <w:p w14:paraId="3784C309">
                  <w:pPr>
                    <w:keepNext w:val="0"/>
                    <w:keepLines w:val="0"/>
                    <w:widowControl/>
                    <w:suppressLineNumbers w:val="0"/>
                    <w:spacing w:before="0" w:beforeAutospacing="0" w:after="0" w:afterAutospacing="0"/>
                    <w:ind w:left="0" w:right="0"/>
                    <w:jc w:val="both"/>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生活污水接管至金坛区朱林镇三星村李巷农村生活污水处理站集中处理</w:t>
                  </w:r>
                </w:p>
              </w:tc>
            </w:tr>
            <w:tr w14:paraId="7A9E42C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85" w:type="pct"/>
                  <w:vMerge w:val="continue"/>
                  <w:tcBorders>
                    <w:top w:val="single" w:color="auto" w:sz="4" w:space="0"/>
                    <w:left w:val="nil"/>
                    <w:bottom w:val="single" w:color="auto" w:sz="4" w:space="0"/>
                    <w:right w:val="single" w:color="auto" w:sz="4" w:space="0"/>
                  </w:tcBorders>
                  <w:noWrap w:val="0"/>
                  <w:vAlign w:val="center"/>
                </w:tcPr>
                <w:p w14:paraId="116E6DE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10" w:type="pct"/>
                  <w:gridSpan w:val="2"/>
                  <w:tcBorders>
                    <w:top w:val="single" w:color="auto" w:sz="4" w:space="0"/>
                    <w:left w:val="single" w:color="auto" w:sz="4" w:space="0"/>
                    <w:bottom w:val="single" w:color="auto" w:sz="4" w:space="0"/>
                    <w:right w:val="single" w:color="auto" w:sz="4" w:space="0"/>
                  </w:tcBorders>
                  <w:noWrap w:val="0"/>
                  <w:vAlign w:val="center"/>
                </w:tcPr>
                <w:p w14:paraId="7F33F646">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噪声处理</w:t>
                  </w:r>
                </w:p>
              </w:tc>
              <w:tc>
                <w:tcPr>
                  <w:tcW w:w="1881" w:type="pct"/>
                  <w:tcBorders>
                    <w:top w:val="single" w:color="auto" w:sz="4" w:space="0"/>
                    <w:left w:val="single" w:color="auto" w:sz="4" w:space="0"/>
                    <w:bottom w:val="single" w:color="auto" w:sz="4" w:space="0"/>
                    <w:right w:val="single" w:color="auto" w:sz="4" w:space="0"/>
                  </w:tcBorders>
                  <w:noWrap w:val="0"/>
                  <w:vAlign w:val="center"/>
                </w:tcPr>
                <w:p w14:paraId="06642B7E">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基础减震、厂房隔音</w:t>
                  </w:r>
                </w:p>
              </w:tc>
              <w:tc>
                <w:tcPr>
                  <w:tcW w:w="1523" w:type="pct"/>
                  <w:tcBorders>
                    <w:top w:val="single" w:color="auto" w:sz="4" w:space="0"/>
                    <w:left w:val="single" w:color="auto" w:sz="4" w:space="0"/>
                    <w:bottom w:val="single" w:color="auto" w:sz="4" w:space="0"/>
                    <w:right w:val="nil"/>
                  </w:tcBorders>
                  <w:noWrap w:val="0"/>
                  <w:vAlign w:val="center"/>
                </w:tcPr>
                <w:p w14:paraId="0654BF0E">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rPr>
                  </w:pPr>
                  <w:r>
                    <w:rPr>
                      <w:rFonts w:hint="eastAsia" w:ascii="仿宋" w:hAnsi="仿宋" w:eastAsia="仿宋" w:cs="仿宋"/>
                      <w:color w:val="auto"/>
                      <w:kern w:val="0"/>
                      <w:sz w:val="21"/>
                      <w:szCs w:val="21"/>
                      <w:lang w:val="en-US" w:eastAsia="zh-CN" w:bidi="ar"/>
                    </w:rPr>
                    <w:t>厂界达标</w:t>
                  </w:r>
                </w:p>
              </w:tc>
            </w:tr>
            <w:tr w14:paraId="48B1959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85" w:type="pct"/>
                  <w:vMerge w:val="continue"/>
                  <w:tcBorders>
                    <w:top w:val="single" w:color="auto" w:sz="4" w:space="0"/>
                    <w:left w:val="nil"/>
                    <w:bottom w:val="single" w:color="auto" w:sz="4" w:space="0"/>
                    <w:right w:val="single" w:color="auto" w:sz="4" w:space="0"/>
                  </w:tcBorders>
                  <w:noWrap w:val="0"/>
                  <w:vAlign w:val="center"/>
                </w:tcPr>
                <w:p w14:paraId="2A0A34F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365" w:type="pct"/>
                  <w:vMerge w:val="restart"/>
                  <w:tcBorders>
                    <w:top w:val="single" w:color="auto" w:sz="4" w:space="0"/>
                    <w:left w:val="single" w:color="auto" w:sz="4" w:space="0"/>
                    <w:bottom w:val="single" w:color="auto" w:sz="4" w:space="0"/>
                    <w:right w:val="single" w:color="auto" w:sz="4" w:space="0"/>
                  </w:tcBorders>
                  <w:noWrap w:val="0"/>
                  <w:vAlign w:val="center"/>
                </w:tcPr>
                <w:p w14:paraId="663E2E1E">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固废处理</w:t>
                  </w:r>
                </w:p>
              </w:tc>
              <w:tc>
                <w:tcPr>
                  <w:tcW w:w="845" w:type="pct"/>
                  <w:tcBorders>
                    <w:top w:val="single" w:color="auto" w:sz="4" w:space="0"/>
                    <w:left w:val="single" w:color="auto" w:sz="4" w:space="0"/>
                    <w:bottom w:val="single" w:color="auto" w:sz="4" w:space="0"/>
                    <w:right w:val="single" w:color="auto" w:sz="4" w:space="0"/>
                  </w:tcBorders>
                  <w:noWrap w:val="0"/>
                  <w:vAlign w:val="center"/>
                </w:tcPr>
                <w:p w14:paraId="28ACBA1F">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危废仓库</w:t>
                  </w:r>
                </w:p>
              </w:tc>
              <w:tc>
                <w:tcPr>
                  <w:tcW w:w="1881" w:type="pct"/>
                  <w:tcBorders>
                    <w:top w:val="single" w:color="auto" w:sz="4" w:space="0"/>
                    <w:left w:val="single" w:color="auto" w:sz="4" w:space="0"/>
                    <w:bottom w:val="single" w:color="auto" w:sz="4" w:space="0"/>
                    <w:right w:val="single" w:color="auto" w:sz="4" w:space="0"/>
                  </w:tcBorders>
                  <w:noWrap w:val="0"/>
                  <w:vAlign w:val="center"/>
                </w:tcPr>
                <w:p w14:paraId="69034E29">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eastAsia="仿宋" w:cs="Times New Roman"/>
                      <w:color w:val="auto"/>
                      <w:kern w:val="0"/>
                      <w:sz w:val="21"/>
                      <w:szCs w:val="21"/>
                      <w:lang w:val="en-US" w:eastAsia="zh-CN" w:bidi="ar"/>
                    </w:rPr>
                    <w:t>1</w:t>
                  </w:r>
                  <w:r>
                    <w:rPr>
                      <w:rFonts w:hint="default" w:ascii="Times New Roman" w:hAnsi="Times New Roman" w:eastAsia="仿宋" w:cs="Times New Roman"/>
                      <w:color w:val="auto"/>
                      <w:kern w:val="0"/>
                      <w:sz w:val="21"/>
                      <w:szCs w:val="21"/>
                      <w:lang w:val="en-US" w:eastAsia="zh-CN" w:bidi="ar"/>
                    </w:rPr>
                    <w:t>0m</w:t>
                  </w:r>
                  <w:r>
                    <w:rPr>
                      <w:rFonts w:hint="default" w:ascii="Times New Roman" w:hAnsi="Times New Roman" w:eastAsia="仿宋" w:cs="Times New Roman"/>
                      <w:color w:val="auto"/>
                      <w:kern w:val="0"/>
                      <w:sz w:val="21"/>
                      <w:szCs w:val="21"/>
                      <w:vertAlign w:val="superscript"/>
                      <w:lang w:val="en-US" w:eastAsia="zh-CN" w:bidi="ar"/>
                    </w:rPr>
                    <w:t>2</w:t>
                  </w:r>
                </w:p>
              </w:tc>
              <w:tc>
                <w:tcPr>
                  <w:tcW w:w="1523" w:type="pct"/>
                  <w:tcBorders>
                    <w:top w:val="single" w:color="auto" w:sz="4" w:space="0"/>
                    <w:left w:val="single" w:color="auto" w:sz="4" w:space="0"/>
                    <w:bottom w:val="single" w:color="auto" w:sz="4" w:space="0"/>
                    <w:right w:val="nil"/>
                  </w:tcBorders>
                  <w:noWrap w:val="0"/>
                  <w:vAlign w:val="center"/>
                </w:tcPr>
                <w:p w14:paraId="42586C05">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2"/>
                      <w:sz w:val="21"/>
                      <w:szCs w:val="21"/>
                      <w:lang w:val="en-US" w:eastAsia="zh-CN" w:bidi="ar"/>
                    </w:rPr>
                    <w:t>零排放</w:t>
                  </w:r>
                </w:p>
              </w:tc>
            </w:tr>
            <w:tr w14:paraId="705F89C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85" w:type="pct"/>
                  <w:vMerge w:val="continue"/>
                  <w:tcBorders>
                    <w:top w:val="single" w:color="auto" w:sz="4" w:space="0"/>
                    <w:left w:val="nil"/>
                    <w:bottom w:val="single" w:color="auto" w:sz="4" w:space="0"/>
                    <w:right w:val="single" w:color="auto" w:sz="4" w:space="0"/>
                  </w:tcBorders>
                  <w:noWrap w:val="0"/>
                  <w:vAlign w:val="center"/>
                </w:tcPr>
                <w:p w14:paraId="604AE45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365" w:type="pct"/>
                  <w:vMerge w:val="continue"/>
                  <w:tcBorders>
                    <w:top w:val="single" w:color="auto" w:sz="4" w:space="0"/>
                    <w:left w:val="single" w:color="auto" w:sz="4" w:space="0"/>
                    <w:bottom w:val="single" w:color="auto" w:sz="4" w:space="0"/>
                    <w:right w:val="single" w:color="auto" w:sz="4" w:space="0"/>
                  </w:tcBorders>
                  <w:noWrap w:val="0"/>
                  <w:vAlign w:val="center"/>
                </w:tcPr>
                <w:p w14:paraId="4D4816D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45" w:type="pct"/>
                  <w:tcBorders>
                    <w:top w:val="single" w:color="auto" w:sz="4" w:space="0"/>
                    <w:left w:val="single" w:color="000000" w:sz="4" w:space="0"/>
                    <w:bottom w:val="single" w:color="auto" w:sz="4" w:space="0"/>
                    <w:right w:val="single" w:color="auto" w:sz="4" w:space="0"/>
                  </w:tcBorders>
                  <w:noWrap w:val="0"/>
                  <w:vAlign w:val="center"/>
                </w:tcPr>
                <w:p w14:paraId="3729C457">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一般固废堆场</w:t>
                  </w:r>
                </w:p>
              </w:tc>
              <w:tc>
                <w:tcPr>
                  <w:tcW w:w="1881" w:type="pct"/>
                  <w:tcBorders>
                    <w:top w:val="single" w:color="auto" w:sz="4" w:space="0"/>
                    <w:left w:val="single" w:color="auto" w:sz="4" w:space="0"/>
                    <w:bottom w:val="single" w:color="auto" w:sz="4" w:space="0"/>
                    <w:right w:val="single" w:color="auto" w:sz="4" w:space="0"/>
                  </w:tcBorders>
                  <w:noWrap w:val="0"/>
                  <w:vAlign w:val="center"/>
                </w:tcPr>
                <w:p w14:paraId="160B6EFA">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eastAsia="仿宋" w:cs="Times New Roman"/>
                      <w:color w:val="auto"/>
                      <w:kern w:val="0"/>
                      <w:sz w:val="21"/>
                      <w:szCs w:val="21"/>
                      <w:lang w:val="en-US" w:eastAsia="zh-CN" w:bidi="ar"/>
                    </w:rPr>
                    <w:t>2</w:t>
                  </w:r>
                  <w:r>
                    <w:rPr>
                      <w:rFonts w:hint="default" w:ascii="Times New Roman" w:hAnsi="Times New Roman" w:eastAsia="仿宋" w:cs="Times New Roman"/>
                      <w:color w:val="auto"/>
                      <w:kern w:val="0"/>
                      <w:sz w:val="21"/>
                      <w:szCs w:val="21"/>
                      <w:lang w:val="en-US" w:eastAsia="zh-CN" w:bidi="ar"/>
                    </w:rPr>
                    <w:t>0m</w:t>
                  </w:r>
                  <w:r>
                    <w:rPr>
                      <w:rFonts w:hint="default" w:ascii="Times New Roman" w:hAnsi="Times New Roman" w:eastAsia="仿宋" w:cs="Times New Roman"/>
                      <w:color w:val="auto"/>
                      <w:kern w:val="0"/>
                      <w:sz w:val="21"/>
                      <w:szCs w:val="21"/>
                      <w:vertAlign w:val="superscript"/>
                      <w:lang w:val="en-US" w:eastAsia="zh-CN" w:bidi="ar"/>
                    </w:rPr>
                    <w:t>2</w:t>
                  </w:r>
                </w:p>
              </w:tc>
              <w:tc>
                <w:tcPr>
                  <w:tcW w:w="1523" w:type="pct"/>
                  <w:tcBorders>
                    <w:top w:val="single" w:color="auto" w:sz="4" w:space="0"/>
                    <w:left w:val="single" w:color="auto" w:sz="4" w:space="0"/>
                    <w:bottom w:val="single" w:color="auto" w:sz="4" w:space="0"/>
                    <w:right w:val="nil"/>
                  </w:tcBorders>
                  <w:shd w:val="clear" w:color="auto" w:fill="auto"/>
                  <w:noWrap w:val="0"/>
                  <w:vAlign w:val="center"/>
                </w:tcPr>
                <w:p w14:paraId="053226D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仿宋" w:hAnsi="仿宋" w:eastAsia="仿宋" w:cs="仿宋"/>
                      <w:color w:val="auto"/>
                      <w:kern w:val="2"/>
                      <w:sz w:val="21"/>
                      <w:szCs w:val="21"/>
                      <w:lang w:val="en-US" w:eastAsia="zh-CN" w:bidi="ar"/>
                    </w:rPr>
                    <w:t>零排放</w:t>
                  </w:r>
                </w:p>
              </w:tc>
            </w:tr>
            <w:tr w14:paraId="30F8BDC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85" w:type="pct"/>
                  <w:tcBorders>
                    <w:top w:val="single" w:color="auto" w:sz="4" w:space="0"/>
                    <w:left w:val="nil"/>
                    <w:bottom w:val="single" w:color="auto" w:sz="12" w:space="0"/>
                    <w:right w:val="single" w:color="auto" w:sz="4" w:space="0"/>
                  </w:tcBorders>
                  <w:noWrap w:val="0"/>
                  <w:vAlign w:val="center"/>
                </w:tcPr>
                <w:p w14:paraId="235BA446">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0"/>
                      <w:sz w:val="21"/>
                      <w:szCs w:val="21"/>
                      <w:lang w:val="en-US" w:eastAsia="zh-CN" w:bidi="ar"/>
                    </w:rPr>
                    <w:t>依托工程</w:t>
                  </w:r>
                </w:p>
              </w:tc>
              <w:tc>
                <w:tcPr>
                  <w:tcW w:w="4614" w:type="pct"/>
                  <w:gridSpan w:val="4"/>
                  <w:tcBorders>
                    <w:top w:val="single" w:color="auto" w:sz="4" w:space="0"/>
                    <w:left w:val="single" w:color="auto" w:sz="4" w:space="0"/>
                    <w:bottom w:val="single" w:color="auto" w:sz="12" w:space="0"/>
                    <w:right w:val="nil"/>
                  </w:tcBorders>
                  <w:noWrap w:val="0"/>
                  <w:vAlign w:val="center"/>
                </w:tcPr>
                <w:p w14:paraId="64DF966B">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eastAsia" w:ascii="仿宋" w:hAnsi="仿宋" w:eastAsia="仿宋" w:cs="仿宋"/>
                      <w:color w:val="auto"/>
                      <w:kern w:val="2"/>
                      <w:sz w:val="21"/>
                      <w:szCs w:val="21"/>
                      <w:lang w:val="en-US" w:eastAsia="zh-CN" w:bidi="ar"/>
                    </w:rPr>
                    <w:t>本项目给水、排水、供电等设施自行建设</w:t>
                  </w:r>
                </w:p>
              </w:tc>
            </w:tr>
          </w:tbl>
          <w:p w14:paraId="471F1CC3">
            <w:pPr>
              <w:keepNext w:val="0"/>
              <w:keepLines w:val="0"/>
              <w:widowControl w:val="0"/>
              <w:suppressLineNumbers w:val="0"/>
              <w:autoSpaceDE w:val="0"/>
              <w:autoSpaceDN/>
              <w:adjustRightInd w:val="0"/>
              <w:snapToGrid w:val="0"/>
              <w:spacing w:before="0" w:beforeAutospacing="0" w:after="0" w:afterAutospacing="0" w:line="360" w:lineRule="auto"/>
              <w:ind w:left="0" w:right="0" w:firstLine="422" w:firstLineChars="200"/>
              <w:jc w:val="both"/>
              <w:rPr>
                <w:rFonts w:hint="default" w:ascii="Times New Roman" w:hAnsi="Times New Roman" w:eastAsia="宋体" w:cs="Times New Roman"/>
                <w:b/>
                <w:bCs/>
                <w:color w:val="auto"/>
                <w:kern w:val="2"/>
                <w:sz w:val="21"/>
                <w:szCs w:val="21"/>
              </w:rPr>
            </w:pPr>
            <w:r>
              <w:rPr>
                <w:rFonts w:hint="eastAsia" w:cs="Times New Roman"/>
                <w:b/>
                <w:bCs/>
                <w:color w:val="auto"/>
                <w:kern w:val="2"/>
                <w:sz w:val="21"/>
                <w:szCs w:val="21"/>
                <w:lang w:val="en-US" w:eastAsia="zh-CN" w:bidi="ar"/>
              </w:rPr>
              <w:t>7</w:t>
            </w:r>
            <w:r>
              <w:rPr>
                <w:rFonts w:hint="eastAsia" w:ascii="宋体" w:hAnsi="宋体" w:eastAsia="宋体" w:cs="宋体"/>
                <w:b/>
                <w:bCs/>
                <w:color w:val="auto"/>
                <w:kern w:val="2"/>
                <w:sz w:val="21"/>
                <w:szCs w:val="21"/>
                <w:lang w:val="en-US" w:eastAsia="zh-CN" w:bidi="ar"/>
              </w:rPr>
              <w:t>、生产制度</w:t>
            </w:r>
          </w:p>
          <w:p w14:paraId="6271F0AD">
            <w:pPr>
              <w:keepNext w:val="0"/>
              <w:keepLines w:val="0"/>
              <w:widowControl w:val="0"/>
              <w:suppressLineNumbers w:val="0"/>
              <w:autoSpaceDE w:val="0"/>
              <w:autoSpaceDN/>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本项目新增员工</w:t>
            </w:r>
            <w:r>
              <w:rPr>
                <w:rFonts w:hint="eastAsia" w:cs="Times New Roman"/>
                <w:b w:val="0"/>
                <w:bCs w:val="0"/>
                <w:color w:val="auto"/>
                <w:kern w:val="2"/>
                <w:sz w:val="21"/>
                <w:szCs w:val="21"/>
                <w:lang w:val="en-US" w:eastAsia="zh-CN" w:bidi="ar"/>
              </w:rPr>
              <w:t>30</w:t>
            </w:r>
            <w:r>
              <w:rPr>
                <w:rFonts w:hint="eastAsia" w:ascii="宋体" w:hAnsi="宋体" w:eastAsia="宋体" w:cs="宋体"/>
                <w:b w:val="0"/>
                <w:bCs w:val="0"/>
                <w:color w:val="auto"/>
                <w:kern w:val="2"/>
                <w:sz w:val="21"/>
                <w:szCs w:val="21"/>
                <w:lang w:val="en-US" w:eastAsia="zh-CN" w:bidi="ar"/>
              </w:rPr>
              <w:t>人，采取一班制生产，</w:t>
            </w:r>
            <w:r>
              <w:rPr>
                <w:rFonts w:hint="eastAsia" w:cs="Times New Roman"/>
                <w:b w:val="0"/>
                <w:bCs w:val="0"/>
                <w:color w:val="auto"/>
                <w:kern w:val="2"/>
                <w:sz w:val="21"/>
                <w:szCs w:val="21"/>
                <w:lang w:val="en-US" w:eastAsia="zh-CN" w:bidi="ar"/>
              </w:rPr>
              <w:t>10</w:t>
            </w:r>
            <w:r>
              <w:rPr>
                <w:rFonts w:hint="eastAsia" w:ascii="宋体" w:hAnsi="宋体" w:eastAsia="宋体" w:cs="宋体"/>
                <w:b w:val="0"/>
                <w:bCs w:val="0"/>
                <w:color w:val="auto"/>
                <w:kern w:val="2"/>
                <w:sz w:val="21"/>
                <w:szCs w:val="21"/>
                <w:lang w:val="en-US" w:eastAsia="zh-CN" w:bidi="ar"/>
              </w:rPr>
              <w:t>小时</w:t>
            </w:r>
            <w:r>
              <w:rPr>
                <w:rFonts w:hint="default" w:ascii="Times New Roman" w:hAnsi="Times New Roman" w:eastAsia="宋体" w:cs="Times New Roman"/>
                <w:b w:val="0"/>
                <w:bCs w:val="0"/>
                <w:color w:val="auto"/>
                <w:kern w:val="2"/>
                <w:sz w:val="21"/>
                <w:szCs w:val="21"/>
                <w:lang w:val="en-US" w:eastAsia="zh-CN" w:bidi="ar"/>
              </w:rPr>
              <w:t>/</w:t>
            </w:r>
            <w:r>
              <w:rPr>
                <w:rFonts w:hint="eastAsia" w:ascii="宋体" w:hAnsi="宋体" w:eastAsia="宋体" w:cs="宋体"/>
                <w:b w:val="0"/>
                <w:bCs w:val="0"/>
                <w:color w:val="auto"/>
                <w:kern w:val="2"/>
                <w:sz w:val="21"/>
                <w:szCs w:val="21"/>
                <w:lang w:val="en-US" w:eastAsia="zh-CN" w:bidi="ar"/>
              </w:rPr>
              <w:t>班，</w:t>
            </w:r>
            <w:r>
              <w:rPr>
                <w:rFonts w:hint="default" w:ascii="Times New Roman" w:hAnsi="Times New Roman" w:eastAsia="宋体" w:cs="Times New Roman"/>
                <w:b w:val="0"/>
                <w:bCs w:val="0"/>
                <w:color w:val="auto"/>
                <w:kern w:val="2"/>
                <w:sz w:val="21"/>
                <w:szCs w:val="21"/>
                <w:lang w:val="en-US" w:eastAsia="zh-CN" w:bidi="ar"/>
              </w:rPr>
              <w:t>300</w:t>
            </w:r>
            <w:r>
              <w:rPr>
                <w:rFonts w:hint="eastAsia" w:ascii="宋体" w:hAnsi="宋体" w:eastAsia="宋体" w:cs="宋体"/>
                <w:b w:val="0"/>
                <w:bCs w:val="0"/>
                <w:color w:val="auto"/>
                <w:kern w:val="2"/>
                <w:sz w:val="21"/>
                <w:szCs w:val="21"/>
                <w:lang w:val="en-US" w:eastAsia="zh-CN" w:bidi="ar"/>
              </w:rPr>
              <w:t>天</w:t>
            </w:r>
            <w:r>
              <w:rPr>
                <w:rFonts w:hint="default" w:ascii="Times New Roman" w:hAnsi="Times New Roman" w:eastAsia="宋体" w:cs="Times New Roman"/>
                <w:b w:val="0"/>
                <w:bCs w:val="0"/>
                <w:color w:val="auto"/>
                <w:kern w:val="2"/>
                <w:sz w:val="21"/>
                <w:szCs w:val="21"/>
                <w:lang w:val="en-US" w:eastAsia="zh-CN" w:bidi="ar"/>
              </w:rPr>
              <w:t>/</w:t>
            </w:r>
            <w:r>
              <w:rPr>
                <w:rFonts w:hint="eastAsia" w:ascii="宋体" w:hAnsi="宋体" w:eastAsia="宋体" w:cs="宋体"/>
                <w:b w:val="0"/>
                <w:bCs w:val="0"/>
                <w:color w:val="auto"/>
                <w:kern w:val="2"/>
                <w:sz w:val="21"/>
                <w:szCs w:val="21"/>
                <w:lang w:val="en-US" w:eastAsia="zh-CN" w:bidi="ar"/>
              </w:rPr>
              <w:t>年，可满足本项目生产。</w:t>
            </w:r>
          </w:p>
          <w:p w14:paraId="75D1795E">
            <w:pPr>
              <w:keepNext w:val="0"/>
              <w:keepLines w:val="0"/>
              <w:widowControl w:val="0"/>
              <w:suppressLineNumbers w:val="0"/>
              <w:autoSpaceDE w:val="0"/>
              <w:autoSpaceDN/>
              <w:adjustRightInd w:val="0"/>
              <w:snapToGrid w:val="0"/>
              <w:spacing w:before="0" w:beforeAutospacing="0" w:after="0" w:afterAutospacing="0" w:line="360" w:lineRule="auto"/>
              <w:ind w:left="0" w:right="0" w:firstLine="422" w:firstLineChars="200"/>
              <w:jc w:val="both"/>
              <w:rPr>
                <w:rFonts w:hint="default" w:ascii="Times New Roman" w:hAnsi="Times New Roman" w:eastAsia="宋体" w:cs="Times New Roman"/>
                <w:b/>
                <w:bCs/>
                <w:color w:val="auto"/>
                <w:spacing w:val="0"/>
                <w:kern w:val="2"/>
                <w:sz w:val="21"/>
                <w:szCs w:val="21"/>
              </w:rPr>
            </w:pPr>
            <w:r>
              <w:rPr>
                <w:rFonts w:hint="eastAsia" w:cs="Times New Roman"/>
                <w:b/>
                <w:bCs/>
                <w:color w:val="auto"/>
                <w:spacing w:val="0"/>
                <w:kern w:val="2"/>
                <w:sz w:val="21"/>
                <w:szCs w:val="21"/>
                <w:lang w:val="en-US" w:eastAsia="zh-CN" w:bidi="ar"/>
              </w:rPr>
              <w:t>8</w:t>
            </w:r>
            <w:r>
              <w:rPr>
                <w:rFonts w:hint="eastAsia" w:ascii="宋体" w:hAnsi="宋体" w:eastAsia="宋体" w:cs="宋体"/>
                <w:b/>
                <w:bCs/>
                <w:color w:val="auto"/>
                <w:spacing w:val="0"/>
                <w:kern w:val="2"/>
                <w:sz w:val="21"/>
                <w:szCs w:val="21"/>
                <w:lang w:val="en-US" w:eastAsia="zh-CN" w:bidi="ar"/>
              </w:rPr>
              <w:t>、项目周边环境概况及厂区情况</w:t>
            </w:r>
          </w:p>
          <w:p w14:paraId="51FFE8A8">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spacing w:val="0"/>
                <w:kern w:val="2"/>
                <w:sz w:val="21"/>
                <w:szCs w:val="21"/>
                <w:lang w:val="en-US" w:eastAsia="zh-CN" w:bidi="ar"/>
              </w:rPr>
              <w:t>本项目位于</w:t>
            </w:r>
            <w:r>
              <w:rPr>
                <w:rFonts w:hint="eastAsia" w:ascii="宋体" w:hAnsi="宋体" w:eastAsia="宋体" w:cs="宋体"/>
                <w:b w:val="0"/>
                <w:bCs w:val="0"/>
                <w:color w:val="auto"/>
                <w:kern w:val="2"/>
                <w:sz w:val="21"/>
                <w:szCs w:val="21"/>
                <w:lang w:val="en-US" w:eastAsia="zh-CN" w:bidi="ar"/>
              </w:rPr>
              <w:t>常州市金坛区朱林镇西岗集镇港城路</w:t>
            </w:r>
            <w:r>
              <w:rPr>
                <w:rFonts w:hint="default" w:ascii="Times New Roman" w:hAnsi="Times New Roman" w:eastAsia="宋体" w:cs="Times New Roman"/>
                <w:b w:val="0"/>
                <w:bCs w:val="0"/>
                <w:color w:val="auto"/>
                <w:kern w:val="2"/>
                <w:sz w:val="21"/>
                <w:szCs w:val="21"/>
                <w:lang w:val="en-US" w:eastAsia="zh-CN" w:bidi="ar"/>
              </w:rPr>
              <w:t>99</w:t>
            </w:r>
            <w:r>
              <w:rPr>
                <w:rFonts w:hint="eastAsia" w:ascii="宋体" w:hAnsi="宋体" w:eastAsia="宋体" w:cs="宋体"/>
                <w:b w:val="0"/>
                <w:bCs w:val="0"/>
                <w:color w:val="auto"/>
                <w:kern w:val="2"/>
                <w:sz w:val="21"/>
                <w:szCs w:val="21"/>
                <w:lang w:val="en-US" w:eastAsia="zh-CN" w:bidi="ar"/>
              </w:rPr>
              <w:t>号，详见附图</w:t>
            </w:r>
            <w:r>
              <w:rPr>
                <w:rFonts w:hint="default" w:ascii="Times New Roman" w:hAnsi="Times New Roman" w:eastAsia="宋体" w:cs="Times New Roman"/>
                <w:b w:val="0"/>
                <w:bCs w:val="0"/>
                <w:color w:val="auto"/>
                <w:kern w:val="2"/>
                <w:sz w:val="21"/>
                <w:szCs w:val="21"/>
                <w:lang w:val="en-US" w:eastAsia="zh-CN" w:bidi="ar"/>
              </w:rPr>
              <w:t>1</w:t>
            </w:r>
            <w:r>
              <w:rPr>
                <w:rFonts w:hint="eastAsia" w:ascii="宋体" w:hAnsi="宋体" w:eastAsia="宋体" w:cs="宋体"/>
                <w:b w:val="0"/>
                <w:bCs w:val="0"/>
                <w:color w:val="auto"/>
                <w:kern w:val="2"/>
                <w:sz w:val="21"/>
                <w:szCs w:val="21"/>
                <w:lang w:val="en-US" w:eastAsia="zh-CN" w:bidi="ar"/>
              </w:rPr>
              <w:t>“项目地理位置示意图”。</w:t>
            </w:r>
          </w:p>
          <w:p w14:paraId="09675EEB">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2"/>
                <w:sz w:val="21"/>
                <w:szCs w:val="21"/>
              </w:rPr>
            </w:pPr>
            <w:r>
              <w:rPr>
                <w:rFonts w:hint="eastAsia" w:ascii="宋体" w:hAnsi="宋体" w:eastAsia="宋体" w:cs="宋体"/>
                <w:b w:val="0"/>
                <w:bCs w:val="0"/>
                <w:color w:val="auto"/>
                <w:kern w:val="2"/>
                <w:sz w:val="21"/>
                <w:szCs w:val="21"/>
                <w:lang w:val="en-US" w:eastAsia="zh-CN" w:bidi="ar"/>
              </w:rPr>
              <w:t>本项目所在厂区</w:t>
            </w:r>
            <w:r>
              <w:rPr>
                <w:rFonts w:hint="eastAsia" w:ascii="宋体" w:hAnsi="宋体" w:eastAsia="宋体" w:cs="宋体"/>
                <w:color w:val="auto"/>
                <w:kern w:val="2"/>
                <w:sz w:val="21"/>
                <w:szCs w:val="21"/>
                <w:lang w:val="en-US" w:eastAsia="zh-CN" w:bidi="ar"/>
              </w:rPr>
              <w:t>东侧为</w:t>
            </w:r>
            <w:r>
              <w:rPr>
                <w:rFonts w:hint="eastAsia" w:ascii="宋体" w:hAnsi="宋体" w:cs="宋体"/>
                <w:color w:val="auto"/>
                <w:kern w:val="2"/>
                <w:sz w:val="21"/>
                <w:szCs w:val="21"/>
                <w:lang w:val="en-US" w:eastAsia="zh-CN" w:bidi="ar"/>
              </w:rPr>
              <w:t>港城南路</w:t>
            </w:r>
            <w:r>
              <w:rPr>
                <w:rFonts w:hint="eastAsia" w:ascii="宋体" w:hAnsi="宋体" w:eastAsia="宋体" w:cs="宋体"/>
                <w:color w:val="auto"/>
                <w:kern w:val="2"/>
                <w:sz w:val="21"/>
                <w:szCs w:val="21"/>
                <w:lang w:val="en-US" w:eastAsia="zh-CN" w:bidi="ar"/>
              </w:rPr>
              <w:t>，隔</w:t>
            </w:r>
            <w:r>
              <w:rPr>
                <w:rFonts w:hint="eastAsia" w:ascii="宋体" w:hAnsi="宋体" w:cs="宋体"/>
                <w:color w:val="auto"/>
                <w:kern w:val="2"/>
                <w:sz w:val="21"/>
                <w:szCs w:val="21"/>
                <w:lang w:val="en-US" w:eastAsia="zh-CN" w:bidi="ar"/>
              </w:rPr>
              <w:t>路</w:t>
            </w:r>
            <w:r>
              <w:rPr>
                <w:rFonts w:hint="eastAsia" w:ascii="宋体" w:hAnsi="宋体" w:eastAsia="宋体" w:cs="宋体"/>
                <w:color w:val="auto"/>
                <w:kern w:val="2"/>
                <w:sz w:val="21"/>
                <w:szCs w:val="21"/>
                <w:lang w:val="en-US" w:eastAsia="zh-CN" w:bidi="ar"/>
              </w:rPr>
              <w:t>为江苏天驰轴承有限公司；南侧为</w:t>
            </w:r>
            <w:r>
              <w:rPr>
                <w:rFonts w:hint="eastAsia" w:ascii="宋体" w:hAnsi="宋体" w:cs="宋体"/>
                <w:color w:val="auto"/>
                <w:kern w:val="2"/>
                <w:sz w:val="21"/>
                <w:szCs w:val="21"/>
                <w:lang w:val="en-US" w:eastAsia="zh-CN" w:bidi="ar"/>
              </w:rPr>
              <w:t>空地</w:t>
            </w:r>
            <w:r>
              <w:rPr>
                <w:rFonts w:hint="eastAsia" w:ascii="宋体" w:hAnsi="宋体" w:eastAsia="宋体" w:cs="宋体"/>
                <w:color w:val="auto"/>
                <w:kern w:val="2"/>
                <w:sz w:val="21"/>
                <w:szCs w:val="21"/>
                <w:lang w:val="en-US" w:eastAsia="zh-CN" w:bidi="ar"/>
              </w:rPr>
              <w:t>；西侧为</w:t>
            </w:r>
            <w:r>
              <w:rPr>
                <w:rFonts w:hint="eastAsia" w:ascii="宋体" w:hAnsi="宋体" w:cs="宋体"/>
                <w:color w:val="auto"/>
                <w:kern w:val="2"/>
                <w:sz w:val="21"/>
                <w:szCs w:val="21"/>
                <w:lang w:val="en-US" w:eastAsia="zh-CN" w:bidi="ar"/>
              </w:rPr>
              <w:t>成家圩</w:t>
            </w:r>
            <w:r>
              <w:rPr>
                <w:rFonts w:hint="eastAsia" w:ascii="宋体" w:hAnsi="宋体" w:eastAsia="宋体" w:cs="宋体"/>
                <w:color w:val="auto"/>
                <w:kern w:val="2"/>
                <w:sz w:val="21"/>
                <w:szCs w:val="21"/>
                <w:lang w:val="en-US" w:eastAsia="zh-CN" w:bidi="ar"/>
              </w:rPr>
              <w:t>；北侧为</w:t>
            </w:r>
            <w:r>
              <w:rPr>
                <w:rFonts w:hint="eastAsia" w:ascii="宋体" w:hAnsi="宋体" w:cs="宋体"/>
                <w:color w:val="auto"/>
                <w:kern w:val="2"/>
                <w:sz w:val="21"/>
                <w:szCs w:val="21"/>
                <w:lang w:val="en-US" w:eastAsia="zh-CN" w:bidi="ar"/>
              </w:rPr>
              <w:t>李巷河，隔河为空地</w:t>
            </w:r>
            <w:r>
              <w:rPr>
                <w:rFonts w:hint="eastAsia" w:ascii="宋体" w:hAnsi="宋体" w:eastAsia="宋体" w:cs="宋体"/>
                <w:b w:val="0"/>
                <w:bCs w:val="0"/>
                <w:color w:val="auto"/>
                <w:kern w:val="2"/>
                <w:sz w:val="21"/>
                <w:szCs w:val="21"/>
                <w:lang w:val="en-US" w:eastAsia="zh-CN" w:bidi="ar"/>
              </w:rPr>
              <w:t>。距离项目生产车间最近的环境敏感点为</w:t>
            </w:r>
            <w:r>
              <w:rPr>
                <w:rFonts w:hint="eastAsia" w:ascii="宋体" w:hAnsi="宋体" w:cs="宋体"/>
                <w:b w:val="0"/>
                <w:bCs w:val="0"/>
                <w:color w:val="auto"/>
                <w:kern w:val="2"/>
                <w:sz w:val="21"/>
                <w:szCs w:val="21"/>
                <w:lang w:val="en-US" w:eastAsia="zh-CN" w:bidi="ar"/>
              </w:rPr>
              <w:t>车间</w:t>
            </w:r>
            <w:r>
              <w:rPr>
                <w:rFonts w:hint="eastAsia" w:ascii="宋体" w:hAnsi="宋体" w:eastAsia="宋体" w:cs="宋体"/>
                <w:b w:val="0"/>
                <w:bCs w:val="0"/>
                <w:color w:val="auto"/>
                <w:kern w:val="2"/>
                <w:sz w:val="21"/>
                <w:szCs w:val="21"/>
                <w:lang w:val="en-US" w:eastAsia="zh-CN" w:bidi="ar"/>
              </w:rPr>
              <w:t>西侧约</w:t>
            </w:r>
            <w:r>
              <w:rPr>
                <w:rFonts w:hint="eastAsia" w:cs="Times New Roman"/>
                <w:b w:val="0"/>
                <w:bCs w:val="0"/>
                <w:color w:val="auto"/>
                <w:kern w:val="2"/>
                <w:sz w:val="21"/>
                <w:szCs w:val="21"/>
                <w:lang w:val="en-US" w:eastAsia="zh-CN" w:bidi="ar"/>
              </w:rPr>
              <w:t>133</w:t>
            </w:r>
            <w:r>
              <w:rPr>
                <w:rFonts w:hint="eastAsia" w:ascii="宋体" w:hAnsi="宋体" w:eastAsia="宋体" w:cs="宋体"/>
                <w:b w:val="0"/>
                <w:bCs w:val="0"/>
                <w:color w:val="auto"/>
                <w:kern w:val="2"/>
                <w:sz w:val="21"/>
                <w:szCs w:val="21"/>
                <w:lang w:val="en-US" w:eastAsia="zh-CN" w:bidi="ar"/>
              </w:rPr>
              <w:t>处的</w:t>
            </w:r>
            <w:r>
              <w:rPr>
                <w:rFonts w:hint="eastAsia" w:ascii="宋体" w:hAnsi="宋体" w:cs="宋体"/>
                <w:color w:val="auto"/>
                <w:kern w:val="2"/>
                <w:sz w:val="21"/>
                <w:szCs w:val="21"/>
                <w:lang w:val="en-US" w:eastAsia="zh-CN" w:bidi="ar"/>
              </w:rPr>
              <w:t>成家圩</w:t>
            </w:r>
            <w:r>
              <w:rPr>
                <w:rFonts w:hint="eastAsia" w:ascii="宋体" w:hAnsi="宋体" w:eastAsia="宋体" w:cs="宋体"/>
                <w:b w:val="0"/>
                <w:bCs w:val="0"/>
                <w:color w:val="auto"/>
                <w:kern w:val="2"/>
                <w:sz w:val="21"/>
                <w:szCs w:val="21"/>
                <w:lang w:val="en-US" w:eastAsia="zh-CN" w:bidi="ar"/>
              </w:rPr>
              <w:t>，详见附图</w:t>
            </w:r>
            <w:r>
              <w:rPr>
                <w:rFonts w:hint="default" w:ascii="Times New Roman" w:hAnsi="Times New Roman" w:eastAsia="宋体" w:cs="Times New Roman"/>
                <w:b w:val="0"/>
                <w:bCs w:val="0"/>
                <w:color w:val="auto"/>
                <w:kern w:val="2"/>
                <w:sz w:val="21"/>
                <w:szCs w:val="21"/>
                <w:lang w:val="en-US" w:eastAsia="zh-CN" w:bidi="ar"/>
              </w:rPr>
              <w:t>2</w:t>
            </w:r>
            <w:r>
              <w:rPr>
                <w:rFonts w:hint="eastAsia" w:ascii="宋体" w:hAnsi="宋体" w:eastAsia="宋体" w:cs="宋体"/>
                <w:b w:val="0"/>
                <w:bCs w:val="0"/>
                <w:color w:val="auto"/>
                <w:kern w:val="2"/>
                <w:sz w:val="21"/>
                <w:szCs w:val="21"/>
                <w:lang w:val="en-US" w:eastAsia="zh-CN" w:bidi="ar"/>
              </w:rPr>
              <w:t>“项目周围概况图”。</w:t>
            </w:r>
          </w:p>
          <w:p w14:paraId="2F61EF1D">
            <w:pPr>
              <w:keepNext w:val="0"/>
              <w:keepLines w:val="0"/>
              <w:widowControl w:val="0"/>
              <w:suppressLineNumbers w:val="0"/>
              <w:autoSpaceDE w:val="0"/>
              <w:autoSpaceDN/>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b w:val="0"/>
                <w:bCs w:val="0"/>
                <w:color w:val="auto"/>
                <w:kern w:val="2"/>
                <w:sz w:val="21"/>
                <w:szCs w:val="21"/>
              </w:rPr>
            </w:pPr>
            <w:r>
              <w:rPr>
                <w:rFonts w:hint="eastAsia" w:ascii="宋体" w:hAnsi="宋体" w:eastAsia="宋体" w:cs="宋体"/>
                <w:color w:val="auto"/>
                <w:kern w:val="2"/>
                <w:sz w:val="21"/>
                <w:szCs w:val="21"/>
                <w:lang w:val="en-US" w:eastAsia="zh-CN" w:bidi="ar"/>
              </w:rPr>
              <w:t>本项目利用现有厂房进行生产，</w:t>
            </w:r>
            <w:r>
              <w:rPr>
                <w:rFonts w:hint="eastAsia" w:ascii="宋体" w:hAnsi="宋体" w:eastAsia="宋体" w:cs="宋体"/>
                <w:b w:val="0"/>
                <w:bCs w:val="0"/>
                <w:color w:val="auto"/>
                <w:kern w:val="2"/>
                <w:sz w:val="21"/>
                <w:szCs w:val="21"/>
                <w:lang w:val="en-US" w:eastAsia="zh-CN" w:bidi="ar"/>
              </w:rPr>
              <w:t>厂区平面布局情况详见附图</w:t>
            </w:r>
            <w:r>
              <w:rPr>
                <w:rFonts w:hint="default" w:ascii="Times New Roman" w:hAnsi="Times New Roman" w:eastAsia="宋体" w:cs="Times New Roman"/>
                <w:b w:val="0"/>
                <w:bCs w:val="0"/>
                <w:color w:val="auto"/>
                <w:kern w:val="2"/>
                <w:sz w:val="21"/>
                <w:szCs w:val="21"/>
                <w:lang w:val="en-US" w:eastAsia="zh-CN" w:bidi="ar"/>
              </w:rPr>
              <w:t>3-1</w:t>
            </w:r>
            <w:r>
              <w:rPr>
                <w:rFonts w:hint="eastAsia" w:ascii="宋体" w:hAnsi="宋体" w:eastAsia="宋体" w:cs="宋体"/>
                <w:b w:val="0"/>
                <w:bCs w:val="0"/>
                <w:color w:val="auto"/>
                <w:kern w:val="2"/>
                <w:sz w:val="21"/>
                <w:szCs w:val="21"/>
                <w:lang w:val="en-US" w:eastAsia="zh-CN" w:bidi="ar"/>
              </w:rPr>
              <w:t>“项目厂区平面布置图”，车间平面布局情况详见附图</w:t>
            </w:r>
            <w:r>
              <w:rPr>
                <w:rFonts w:hint="default" w:ascii="Times New Roman" w:hAnsi="Times New Roman" w:eastAsia="宋体" w:cs="Times New Roman"/>
                <w:b w:val="0"/>
                <w:bCs w:val="0"/>
                <w:color w:val="auto"/>
                <w:kern w:val="2"/>
                <w:sz w:val="21"/>
                <w:szCs w:val="21"/>
                <w:lang w:val="en-US" w:eastAsia="zh-CN" w:bidi="ar"/>
              </w:rPr>
              <w:t>3-2</w:t>
            </w:r>
            <w:r>
              <w:rPr>
                <w:rFonts w:hint="eastAsia" w:ascii="宋体" w:hAnsi="宋体" w:eastAsia="宋体" w:cs="宋体"/>
                <w:b w:val="0"/>
                <w:bCs w:val="0"/>
                <w:color w:val="auto"/>
                <w:kern w:val="2"/>
                <w:sz w:val="21"/>
                <w:szCs w:val="21"/>
                <w:lang w:val="en-US" w:eastAsia="zh-CN" w:bidi="ar"/>
              </w:rPr>
              <w:t>“项目车间平面布置图”。</w:t>
            </w:r>
          </w:p>
          <w:p w14:paraId="3F85F8AD">
            <w:pPr>
              <w:keepNext w:val="0"/>
              <w:keepLines w:val="0"/>
              <w:widowControl w:val="0"/>
              <w:suppressLineNumbers w:val="0"/>
              <w:autoSpaceDE w:val="0"/>
              <w:autoSpaceDN/>
              <w:adjustRightInd w:val="0"/>
              <w:snapToGrid w:val="0"/>
              <w:spacing w:before="0" w:beforeAutospacing="0" w:after="0" w:afterAutospacing="0" w:line="360" w:lineRule="auto"/>
              <w:ind w:left="0" w:right="0" w:firstLine="422" w:firstLineChars="200"/>
              <w:jc w:val="both"/>
              <w:rPr>
                <w:rFonts w:hint="eastAsia" w:ascii="Times New Roman" w:hAnsi="Times New Roman" w:eastAsia="宋体" w:cs="Times New Roman"/>
                <w:b/>
                <w:bCs/>
                <w:color w:val="auto"/>
                <w:spacing w:val="0"/>
                <w:kern w:val="2"/>
                <w:sz w:val="21"/>
                <w:szCs w:val="21"/>
              </w:rPr>
            </w:pPr>
            <w:r>
              <w:rPr>
                <w:rFonts w:hint="eastAsia" w:cs="Times New Roman"/>
                <w:b/>
                <w:bCs/>
                <w:color w:val="auto"/>
                <w:spacing w:val="0"/>
                <w:kern w:val="2"/>
                <w:sz w:val="21"/>
                <w:szCs w:val="21"/>
                <w:lang w:val="en-US" w:eastAsia="zh-CN" w:bidi="ar"/>
              </w:rPr>
              <w:t>9</w:t>
            </w:r>
            <w:r>
              <w:rPr>
                <w:rFonts w:hint="eastAsia" w:ascii="宋体" w:hAnsi="宋体" w:eastAsia="宋体" w:cs="宋体"/>
                <w:b/>
                <w:bCs/>
                <w:color w:val="auto"/>
                <w:spacing w:val="0"/>
                <w:kern w:val="2"/>
                <w:sz w:val="21"/>
                <w:szCs w:val="21"/>
                <w:lang w:val="en-US" w:eastAsia="zh-CN" w:bidi="ar"/>
              </w:rPr>
              <w:t>、环保责任主体</w:t>
            </w:r>
          </w:p>
          <w:p w14:paraId="3C5DCF6F">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b w:val="0"/>
                <w:bCs w:val="0"/>
                <w:color w:val="auto"/>
                <w:kern w:val="2"/>
                <w:sz w:val="21"/>
                <w:szCs w:val="21"/>
                <w:lang w:val="en-US" w:eastAsia="zh-CN" w:bidi="ar"/>
              </w:rPr>
              <w:t>本项目供水、供电及排水均依托出租方原有基础设施，</w:t>
            </w:r>
            <w:r>
              <w:rPr>
                <w:rFonts w:hint="eastAsia" w:ascii="宋体" w:hAnsi="宋体" w:eastAsia="宋体" w:cs="宋体"/>
                <w:color w:val="auto"/>
                <w:kern w:val="2"/>
                <w:sz w:val="21"/>
                <w:szCs w:val="21"/>
                <w:lang w:val="en-US" w:eastAsia="zh-CN" w:bidi="ar"/>
              </w:rPr>
              <w:t>污水依托其污水管网及接管口接入市政污水管网，雨水依托其雨水排口接入市政雨水管网，雨水排口设置切断阀，雨水管网连通事故应急池。通常情况下，厂区雨、污水排放口水质达标情况由厂房出租方负责，但如果发生</w:t>
            </w:r>
            <w:r>
              <w:rPr>
                <w:rFonts w:hint="eastAsia" w:ascii="宋体" w:hAnsi="宋体" w:eastAsia="宋体" w:cs="宋体"/>
                <w:b w:val="0"/>
                <w:bCs w:val="0"/>
                <w:color w:val="auto"/>
                <w:kern w:val="2"/>
                <w:sz w:val="21"/>
                <w:szCs w:val="21"/>
                <w:lang w:val="en-US" w:eastAsia="zh-CN" w:bidi="ar"/>
              </w:rPr>
              <w:t>江苏金轮辊业有限公司</w:t>
            </w:r>
            <w:r>
              <w:rPr>
                <w:rFonts w:hint="eastAsia" w:ascii="宋体" w:hAnsi="宋体" w:eastAsia="宋体" w:cs="宋体"/>
                <w:color w:val="auto"/>
                <w:kern w:val="2"/>
                <w:sz w:val="21"/>
                <w:szCs w:val="21"/>
                <w:lang w:val="en-US" w:eastAsia="zh-CN" w:bidi="ar"/>
              </w:rPr>
              <w:t>因突发环境事件可能造成的污水超标排放事故，则应在进行调查并明确责任主体后，由该责任主体承担相应的法律责任。</w:t>
            </w:r>
          </w:p>
          <w:p w14:paraId="20C98D44">
            <w:pPr>
              <w:keepNext w:val="0"/>
              <w:keepLines w:val="0"/>
              <w:widowControl w:val="0"/>
              <w:suppressLineNumbers w:val="0"/>
              <w:autoSpaceDE w:val="0"/>
              <w:autoSpaceDN/>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b w:val="0"/>
                <w:bCs w:val="0"/>
                <w:color w:val="auto"/>
                <w:kern w:val="2"/>
                <w:sz w:val="21"/>
                <w:szCs w:val="21"/>
              </w:rPr>
            </w:pPr>
            <w:r>
              <w:rPr>
                <w:rFonts w:hint="eastAsia" w:ascii="宋体" w:hAnsi="宋体" w:eastAsia="宋体" w:cs="宋体"/>
                <w:color w:val="auto"/>
                <w:kern w:val="2"/>
                <w:sz w:val="21"/>
                <w:szCs w:val="21"/>
                <w:lang w:val="en-US" w:eastAsia="zh-CN" w:bidi="ar"/>
              </w:rPr>
              <w:t>本项目</w:t>
            </w:r>
            <w:r>
              <w:rPr>
                <w:rFonts w:hint="eastAsia" w:ascii="宋体" w:hAnsi="宋体" w:eastAsia="宋体" w:cs="宋体"/>
                <w:b w:val="0"/>
                <w:bCs w:val="0"/>
                <w:color w:val="auto"/>
                <w:kern w:val="2"/>
                <w:sz w:val="21"/>
                <w:szCs w:val="21"/>
                <w:lang w:val="en-US" w:eastAsia="zh-CN" w:bidi="ar"/>
              </w:rPr>
              <w:t>废气治理设施、危废仓库、一般固废堆场等环境污染防治设施均自行建设。</w:t>
            </w:r>
          </w:p>
          <w:p w14:paraId="0F6BD561">
            <w:pPr>
              <w:keepNext w:val="0"/>
              <w:keepLines w:val="0"/>
              <w:widowControl w:val="0"/>
              <w:suppressLineNumbers w:val="0"/>
              <w:autoSpaceDE w:val="0"/>
              <w:autoSpaceDN/>
              <w:adjustRightInd w:val="0"/>
              <w:snapToGrid w:val="0"/>
              <w:spacing w:before="0" w:beforeAutospacing="0" w:after="0" w:afterAutospacing="0" w:line="360" w:lineRule="auto"/>
              <w:ind w:left="0" w:right="0" w:firstLine="422" w:firstLineChars="200"/>
              <w:jc w:val="left"/>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1</w:t>
            </w:r>
            <w:r>
              <w:rPr>
                <w:rFonts w:hint="eastAsia" w:cs="Times New Roman"/>
                <w:b/>
                <w:bCs/>
                <w:color w:val="auto"/>
                <w:kern w:val="2"/>
                <w:sz w:val="21"/>
                <w:szCs w:val="21"/>
                <w:lang w:val="en-US" w:eastAsia="zh-CN" w:bidi="ar"/>
              </w:rPr>
              <w:t>0</w:t>
            </w:r>
            <w:r>
              <w:rPr>
                <w:rFonts w:hint="eastAsia" w:ascii="宋体" w:hAnsi="宋体" w:eastAsia="宋体" w:cs="宋体"/>
                <w:b/>
                <w:bCs/>
                <w:color w:val="auto"/>
                <w:kern w:val="2"/>
                <w:sz w:val="21"/>
                <w:szCs w:val="21"/>
                <w:lang w:val="en-US" w:eastAsia="zh-CN" w:bidi="ar"/>
              </w:rPr>
              <w:t>、水平衡</w:t>
            </w:r>
          </w:p>
          <w:p w14:paraId="70702A5A">
            <w:pPr>
              <w:keepNext w:val="0"/>
              <w:keepLines w:val="0"/>
              <w:widowControl w:val="0"/>
              <w:suppressLineNumbers w:val="0"/>
              <w:autoSpaceDE w:val="0"/>
              <w:autoSpaceDN/>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本项目建成后水平衡图如下：</w:t>
            </w:r>
          </w:p>
          <w:p w14:paraId="28E9E705">
            <w:pPr>
              <w:pStyle w:val="22"/>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2"/>
                <w:sz w:val="24"/>
                <w:szCs w:val="24"/>
              </w:rPr>
            </w:pPr>
            <w:r>
              <w:rPr>
                <w:rFonts w:hint="default"/>
                <w:color w:val="auto"/>
              </w:rPr>
              <w:object>
                <v:shape id="_x0000_i1025" o:spt="75" type="#_x0000_t75" style="height:213.45pt;width:352.85pt;" o:ole="t" filled="f" o:preferrelative="t" stroked="f" coordsize="21600,21600">
                  <v:path/>
                  <v:fill on="f" focussize="0,0"/>
                  <v:stroke on="f"/>
                  <v:imagedata r:id="rId16" cropleft="120f" croptop="2187f" cropright="533f" cropbottom="2083f" o:title=""/>
                  <o:lock v:ext="edit" aspectratio="t"/>
                  <w10:wrap type="none"/>
                  <w10:anchorlock/>
                </v:shape>
                <o:OLEObject Type="Embed" ProgID="Visio.Drawing.15" ShapeID="_x0000_i1025" DrawAspect="Content" ObjectID="_1468075725" r:id="rId15">
                  <o:LockedField>false</o:LockedField>
                </o:OLEObject>
              </w:object>
            </w:r>
          </w:p>
          <w:p w14:paraId="47E3B43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图</w:t>
            </w:r>
            <w:r>
              <w:rPr>
                <w:rFonts w:hint="default" w:ascii="Times New Roman" w:hAnsi="Times New Roman" w:eastAsia="宋体" w:cs="Times New Roman"/>
                <w:b/>
                <w:bCs/>
                <w:color w:val="auto"/>
                <w:kern w:val="2"/>
                <w:sz w:val="21"/>
                <w:szCs w:val="21"/>
                <w:lang w:val="en-US" w:eastAsia="zh-CN" w:bidi="ar"/>
              </w:rPr>
              <w:t xml:space="preserve">2-1  </w:t>
            </w:r>
            <w:r>
              <w:rPr>
                <w:rFonts w:hint="eastAsia" w:ascii="宋体" w:hAnsi="宋体" w:eastAsia="宋体" w:cs="宋体"/>
                <w:b/>
                <w:bCs/>
                <w:color w:val="auto"/>
                <w:kern w:val="2"/>
                <w:sz w:val="21"/>
                <w:szCs w:val="21"/>
                <w:lang w:val="en-US" w:eastAsia="zh-CN" w:bidi="ar"/>
              </w:rPr>
              <w:t>水平衡图</w:t>
            </w:r>
            <w:r>
              <w:rPr>
                <w:rFonts w:hint="default" w:ascii="Times New Roman" w:hAnsi="Times New Roman" w:eastAsia="宋体" w:cs="Times New Roman"/>
                <w:b/>
                <w:bCs/>
                <w:color w:val="auto"/>
                <w:kern w:val="2"/>
                <w:sz w:val="21"/>
                <w:szCs w:val="21"/>
                <w:lang w:val="en-US" w:eastAsia="zh-CN" w:bidi="ar"/>
              </w:rPr>
              <w:t xml:space="preserve">  </w:t>
            </w:r>
            <w:r>
              <w:rPr>
                <w:rFonts w:hint="eastAsia" w:ascii="宋体" w:hAnsi="宋体" w:eastAsia="宋体" w:cs="宋体"/>
                <w:b/>
                <w:bCs/>
                <w:color w:val="auto"/>
                <w:kern w:val="2"/>
                <w:sz w:val="21"/>
                <w:szCs w:val="21"/>
                <w:lang w:val="en-US" w:eastAsia="zh-CN" w:bidi="ar"/>
              </w:rPr>
              <w:t>单位</w:t>
            </w:r>
            <w:r>
              <w:rPr>
                <w:rFonts w:hint="default" w:ascii="Times New Roman" w:hAnsi="Times New Roman" w:eastAsia="宋体" w:cs="Times New Roman"/>
                <w:b/>
                <w:bCs/>
                <w:color w:val="auto"/>
                <w:kern w:val="2"/>
                <w:sz w:val="21"/>
                <w:szCs w:val="21"/>
                <w:lang w:val="en-US" w:eastAsia="zh-CN" w:bidi="ar"/>
              </w:rPr>
              <w:t>m</w:t>
            </w:r>
            <w:r>
              <w:rPr>
                <w:rFonts w:hint="default" w:ascii="Times New Roman" w:hAnsi="Times New Roman" w:eastAsia="宋体" w:cs="Times New Roman"/>
                <w:b/>
                <w:bCs/>
                <w:color w:val="auto"/>
                <w:kern w:val="2"/>
                <w:sz w:val="21"/>
                <w:szCs w:val="21"/>
                <w:vertAlign w:val="superscript"/>
                <w:lang w:val="en-US" w:eastAsia="zh-CN" w:bidi="ar"/>
              </w:rPr>
              <w:t>3</w:t>
            </w:r>
            <w:r>
              <w:rPr>
                <w:rFonts w:hint="default" w:ascii="Times New Roman" w:hAnsi="Times New Roman" w:eastAsia="宋体" w:cs="Times New Roman"/>
                <w:b/>
                <w:bCs/>
                <w:color w:val="auto"/>
                <w:kern w:val="2"/>
                <w:sz w:val="21"/>
                <w:szCs w:val="21"/>
                <w:lang w:val="en-US" w:eastAsia="zh-CN" w:bidi="ar"/>
              </w:rPr>
              <w:t>/a</w:t>
            </w:r>
          </w:p>
          <w:p w14:paraId="3E3007E5">
            <w:pPr>
              <w:keepNext w:val="0"/>
              <w:keepLines w:val="0"/>
              <w:widowControl w:val="0"/>
              <w:suppressLineNumbers w:val="0"/>
              <w:autoSpaceDE w:val="0"/>
              <w:autoSpaceDN/>
              <w:adjustRightInd w:val="0"/>
              <w:snapToGrid w:val="0"/>
              <w:spacing w:before="0" w:beforeAutospacing="0" w:after="0" w:afterAutospacing="0" w:line="360" w:lineRule="auto"/>
              <w:ind w:left="0" w:right="0"/>
              <w:jc w:val="left"/>
              <w:rPr>
                <w:rFonts w:hint="eastAsia" w:ascii="Times New Roman" w:hAnsi="Times New Roman" w:eastAsia="宋体" w:cs="Times New Roman"/>
                <w:b/>
                <w:bCs/>
                <w:color w:val="auto"/>
                <w:kern w:val="2"/>
                <w:sz w:val="24"/>
                <w:szCs w:val="24"/>
              </w:rPr>
            </w:pPr>
          </w:p>
        </w:tc>
      </w:tr>
    </w:tbl>
    <w:p w14:paraId="34C31DA9">
      <w:pPr>
        <w:pStyle w:val="22"/>
        <w:jc w:val="center"/>
        <w:rPr>
          <w:rFonts w:hint="default" w:ascii="Times New Roman" w:hAnsi="Times New Roman" w:eastAsia="黑体" w:cs="Times New Roman"/>
          <w:snapToGrid w:val="0"/>
          <w:color w:val="auto"/>
          <w:sz w:val="36"/>
          <w:szCs w:val="36"/>
        </w:rPr>
        <w:sectPr>
          <w:pgSz w:w="11906" w:h="16838"/>
          <w:pgMar w:top="1134" w:right="1400" w:bottom="1134" w:left="1088"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8"/>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9212"/>
      </w:tblGrid>
      <w:tr w14:paraId="3DB4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4" w:hRule="atLeast"/>
        </w:trPr>
        <w:tc>
          <w:tcPr>
            <w:tcW w:w="436" w:type="dxa"/>
            <w:noWrap w:val="0"/>
            <w:vAlign w:val="center"/>
          </w:tcPr>
          <w:p w14:paraId="24D1330F">
            <w:pPr>
              <w:pStyle w:val="22"/>
              <w:keepNext w:val="0"/>
              <w:keepLines w:val="0"/>
              <w:suppressLineNumbers w:val="0"/>
              <w:ind w:left="0" w:right="0"/>
              <w:jc w:val="center"/>
              <w:rPr>
                <w:rFonts w:hint="default" w:ascii="Times New Roman" w:hAnsi="Times New Roman" w:eastAsia="黑体" w:cs="Times New Roman"/>
                <w:snapToGrid w:val="0"/>
                <w:color w:val="auto"/>
                <w:sz w:val="36"/>
                <w:szCs w:val="36"/>
                <w:vertAlign w:val="baseline"/>
              </w:rPr>
            </w:pPr>
            <w:r>
              <w:rPr>
                <w:rFonts w:hint="default" w:ascii="Times New Roman" w:hAnsi="Times New Roman" w:cs="Times New Roman"/>
                <w:b w:val="0"/>
                <w:bCs w:val="0"/>
                <w:color w:val="auto"/>
                <w:sz w:val="21"/>
                <w:szCs w:val="21"/>
              </w:rPr>
              <w:t>工艺流程和产排污环节</w:t>
            </w:r>
          </w:p>
        </w:tc>
        <w:tc>
          <w:tcPr>
            <w:tcW w:w="9212" w:type="dxa"/>
            <w:noWrap w:val="0"/>
            <w:vAlign w:val="top"/>
          </w:tcPr>
          <w:p w14:paraId="36076DD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jc w:val="left"/>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本项目</w:t>
            </w:r>
            <w:r>
              <w:rPr>
                <w:rFonts w:hint="eastAsia" w:ascii="Times New Roman" w:hAnsi="Times New Roman" w:eastAsia="宋体" w:cs="Times New Roman"/>
                <w:bCs/>
                <w:color w:val="auto"/>
                <w:kern w:val="2"/>
                <w:sz w:val="21"/>
                <w:szCs w:val="21"/>
                <w:lang w:val="en-US" w:eastAsia="zh-CN" w:bidi="ar-SA"/>
              </w:rPr>
              <w:t>具体生产工艺如下：</w:t>
            </w:r>
          </w:p>
          <w:p w14:paraId="0378C9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rPr>
            </w:pPr>
            <w:r>
              <w:rPr>
                <w:rFonts w:hint="default" w:ascii="Times New Roman" w:hAnsi="Times New Roman" w:cs="Times New Roman"/>
                <w:color w:val="auto"/>
              </w:rPr>
              <w:object>
                <v:shape id="_x0000_i1026" o:spt="75" type="#_x0000_t75" style="height:324.75pt;width:461.05pt;" o:ole="t" filled="f" o:preferrelative="t" stroked="f" coordsize="21600,21600">
                  <v:path/>
                  <v:fill on="f" focussize="0,0"/>
                  <v:stroke on="f"/>
                  <v:imagedata r:id="rId18" o:title=""/>
                  <o:lock v:ext="edit" aspectratio="f"/>
                  <w10:wrap type="none"/>
                  <w10:anchorlock/>
                </v:shape>
                <o:OLEObject Type="Embed" ProgID="Visio.Drawing.15" ShapeID="_x0000_i1026" DrawAspect="Content" ObjectID="_1468075726" r:id="rId17">
                  <o:LockedField>false</o:LockedField>
                </o:OLEObject>
              </w:object>
            </w:r>
          </w:p>
          <w:p w14:paraId="14AC58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图2-</w:t>
            </w:r>
            <w:r>
              <w:rPr>
                <w:rFonts w:hint="eastAsia" w:cs="Times New Roman"/>
                <w:b/>
                <w:bCs/>
                <w:color w:val="auto"/>
                <w:lang w:val="en-US" w:eastAsia="zh-CN"/>
              </w:rPr>
              <w:t>2</w:t>
            </w:r>
            <w:r>
              <w:rPr>
                <w:rFonts w:hint="eastAsia" w:ascii="Times New Roman" w:hAnsi="Times New Roman" w:eastAsia="宋体" w:cs="Times New Roman"/>
                <w:b/>
                <w:bCs/>
                <w:color w:val="auto"/>
                <w:lang w:val="en-US" w:eastAsia="zh-CN"/>
              </w:rPr>
              <w:t xml:space="preserve">  生产工艺流程图</w:t>
            </w:r>
          </w:p>
          <w:p w14:paraId="4E7D5D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auto"/>
                <w:lang w:val="en-US" w:eastAsia="zh-CN"/>
              </w:rPr>
            </w:pPr>
            <w:r>
              <w:rPr>
                <w:rFonts w:hint="eastAsia" w:eastAsia="宋体" w:cs="Times New Roman"/>
                <w:b/>
                <w:bCs/>
                <w:color w:val="auto"/>
                <w:lang w:val="en-US" w:eastAsia="zh-CN"/>
              </w:rPr>
              <w:t>生产</w:t>
            </w:r>
            <w:r>
              <w:rPr>
                <w:rFonts w:hint="default" w:ascii="Times New Roman" w:hAnsi="Times New Roman" w:eastAsia="宋体" w:cs="Times New Roman"/>
                <w:b/>
                <w:bCs/>
                <w:color w:val="auto"/>
                <w:lang w:val="en-US" w:eastAsia="zh-CN"/>
              </w:rPr>
              <w:t>工艺流程简述：</w:t>
            </w:r>
          </w:p>
          <w:p w14:paraId="720ECB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val="0"/>
                <w:bCs w:val="0"/>
                <w:color w:val="auto"/>
                <w:lang w:val="en-US" w:eastAsia="zh-CN"/>
              </w:rPr>
            </w:pPr>
            <w:r>
              <w:rPr>
                <w:rFonts w:hint="eastAsia" w:cs="Times New Roman"/>
                <w:b/>
                <w:bCs/>
                <w:color w:val="auto"/>
                <w:lang w:val="en-US" w:eastAsia="zh-CN"/>
              </w:rPr>
              <w:t>下料：</w:t>
            </w:r>
            <w:r>
              <w:rPr>
                <w:rFonts w:hint="eastAsia" w:ascii="Times New Roman" w:hAnsi="Times New Roman" w:eastAsia="宋体" w:cs="Times New Roman"/>
                <w:b w:val="0"/>
                <w:bCs w:val="0"/>
                <w:color w:val="auto"/>
                <w:lang w:val="en-US" w:eastAsia="zh-CN"/>
              </w:rPr>
              <w:t>根据设计要求，使用锯床将外购的钢管根据特定尺寸进行切割处理</w:t>
            </w:r>
            <w:r>
              <w:rPr>
                <w:rFonts w:hint="eastAsia" w:cs="Times New Roman"/>
                <w:b w:val="0"/>
                <w:bCs w:val="0"/>
                <w:color w:val="auto"/>
                <w:lang w:val="en-US" w:eastAsia="zh-CN"/>
              </w:rPr>
              <w:t>，下料过程</w:t>
            </w:r>
            <w:r>
              <w:rPr>
                <w:rFonts w:hint="eastAsia" w:ascii="Times New Roman" w:hAnsi="Times New Roman" w:eastAsia="宋体" w:cs="Times New Roman"/>
                <w:b w:val="0"/>
                <w:bCs w:val="0"/>
                <w:color w:val="auto"/>
                <w:lang w:val="en-US" w:eastAsia="zh-CN"/>
              </w:rPr>
              <w:t>过程使用切削液进行润滑和冷却，无粉尘产生。切削液循环使用，定期补充、更换。该过程产生边角料（S1）和</w:t>
            </w:r>
            <w:r>
              <w:rPr>
                <w:rFonts w:hint="eastAsia" w:cs="Times New Roman"/>
                <w:b w:val="0"/>
                <w:bCs w:val="0"/>
                <w:color w:val="auto"/>
                <w:lang w:val="en-US" w:eastAsia="zh-CN"/>
              </w:rPr>
              <w:t>废切削液（S2）</w:t>
            </w:r>
            <w:r>
              <w:rPr>
                <w:rFonts w:hint="eastAsia" w:ascii="Times New Roman" w:hAnsi="Times New Roman" w:eastAsia="宋体" w:cs="Times New Roman"/>
                <w:b w:val="0"/>
                <w:bCs w:val="0"/>
                <w:color w:val="auto"/>
                <w:lang w:val="en-US" w:eastAsia="zh-CN"/>
              </w:rPr>
              <w:t>。</w:t>
            </w:r>
          </w:p>
          <w:p w14:paraId="7BB997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ascii="Times New Roman" w:hAnsi="Times New Roman" w:eastAsia="宋体" w:cs="Times New Roman"/>
                <w:b w:val="0"/>
                <w:bCs w:val="0"/>
                <w:color w:val="auto"/>
                <w:lang w:val="en-US" w:eastAsia="zh-CN"/>
              </w:rPr>
            </w:pPr>
            <w:r>
              <w:rPr>
                <w:rFonts w:hint="eastAsia" w:cs="Times New Roman"/>
                <w:b/>
                <w:bCs/>
                <w:color w:val="auto"/>
                <w:lang w:val="en-US" w:eastAsia="zh-CN"/>
              </w:rPr>
              <w:t>机加工</w:t>
            </w:r>
            <w:r>
              <w:rPr>
                <w:rFonts w:hint="eastAsia" w:ascii="Times New Roman" w:hAnsi="Times New Roman" w:eastAsia="宋体" w:cs="Times New Roman"/>
                <w:b/>
                <w:bCs/>
                <w:color w:val="auto"/>
                <w:lang w:val="en-US" w:eastAsia="zh-CN"/>
              </w:rPr>
              <w:t>：</w:t>
            </w:r>
            <w:r>
              <w:rPr>
                <w:rFonts w:hint="eastAsia" w:cs="Times New Roman"/>
                <w:b w:val="0"/>
                <w:bCs w:val="0"/>
                <w:color w:val="auto"/>
                <w:lang w:val="en-US" w:eastAsia="zh-CN"/>
              </w:rPr>
              <w:t>将切割后的钢管利用数控车床、加工中心等进行机械加工，</w:t>
            </w:r>
            <w:r>
              <w:rPr>
                <w:rFonts w:hint="eastAsia" w:ascii="Times New Roman" w:hAnsi="Times New Roman" w:eastAsia="宋体" w:cs="Times New Roman"/>
                <w:b w:val="0"/>
                <w:bCs w:val="0"/>
                <w:color w:val="auto"/>
                <w:lang w:val="en-US" w:eastAsia="zh-CN"/>
              </w:rPr>
              <w:t>加工过程使用切削液进行润滑和冷却，无粉尘产生。切削液循环使用，定期补充、更换。切削液用量较少，且切削液沸点100度以上，机加工过程不加热，产生的油雾极微量，本项目不作定量分析。</w:t>
            </w:r>
            <w:r>
              <w:rPr>
                <w:rFonts w:hint="eastAsia" w:cs="Times New Roman"/>
                <w:b w:val="0"/>
                <w:bCs w:val="0"/>
                <w:color w:val="auto"/>
                <w:lang w:val="en-US" w:eastAsia="zh-CN"/>
              </w:rPr>
              <w:t>该</w:t>
            </w:r>
            <w:r>
              <w:rPr>
                <w:rFonts w:hint="eastAsia" w:ascii="Times New Roman" w:hAnsi="Times New Roman" w:eastAsia="宋体" w:cs="Times New Roman"/>
                <w:b w:val="0"/>
                <w:bCs w:val="0"/>
                <w:color w:val="auto"/>
                <w:lang w:val="en-US" w:eastAsia="zh-CN"/>
              </w:rPr>
              <w:t>过程产生</w:t>
            </w:r>
            <w:r>
              <w:rPr>
                <w:rFonts w:hint="eastAsia" w:cs="Times New Roman"/>
                <w:b w:val="0"/>
                <w:bCs w:val="0"/>
                <w:color w:val="auto"/>
                <w:lang w:val="en-US" w:eastAsia="zh-CN"/>
              </w:rPr>
              <w:t>边角料</w:t>
            </w:r>
            <w:r>
              <w:rPr>
                <w:rFonts w:hint="eastAsia" w:ascii="Times New Roman" w:hAnsi="Times New Roman" w:eastAsia="宋体" w:cs="Times New Roman"/>
                <w:b w:val="0"/>
                <w:bCs w:val="0"/>
                <w:color w:val="auto"/>
                <w:lang w:val="en-US" w:eastAsia="zh-CN"/>
              </w:rPr>
              <w:t>（</w:t>
            </w:r>
            <w:r>
              <w:rPr>
                <w:rFonts w:hint="eastAsia" w:cs="Times New Roman"/>
                <w:b w:val="0"/>
                <w:bCs w:val="0"/>
                <w:color w:val="auto"/>
                <w:lang w:val="en-US" w:eastAsia="zh-CN"/>
              </w:rPr>
              <w:t>S3</w:t>
            </w:r>
            <w:r>
              <w:rPr>
                <w:rFonts w:hint="eastAsia" w:ascii="Times New Roman" w:hAnsi="Times New Roman" w:eastAsia="宋体" w:cs="Times New Roman"/>
                <w:b w:val="0"/>
                <w:bCs w:val="0"/>
                <w:color w:val="auto"/>
                <w:lang w:val="en-US" w:eastAsia="zh-CN"/>
              </w:rPr>
              <w:t>）</w:t>
            </w:r>
            <w:r>
              <w:rPr>
                <w:rFonts w:hint="eastAsia" w:cs="Times New Roman"/>
                <w:b w:val="0"/>
                <w:bCs w:val="0"/>
                <w:color w:val="auto"/>
                <w:lang w:val="en-US" w:eastAsia="zh-CN"/>
              </w:rPr>
              <w:t>和废切削液（S4）</w:t>
            </w:r>
            <w:r>
              <w:rPr>
                <w:rFonts w:hint="eastAsia" w:ascii="Times New Roman" w:hAnsi="Times New Roman" w:eastAsia="宋体" w:cs="Times New Roman"/>
                <w:b w:val="0"/>
                <w:bCs w:val="0"/>
                <w:color w:val="auto"/>
                <w:lang w:val="en-US" w:eastAsia="zh-CN"/>
              </w:rPr>
              <w:t>。</w:t>
            </w:r>
          </w:p>
          <w:p w14:paraId="336329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ascii="Times New Roman" w:hAnsi="Times New Roman" w:eastAsia="宋体" w:cs="Times New Roman"/>
                <w:b w:val="0"/>
                <w:bCs w:val="0"/>
                <w:color w:val="auto"/>
                <w:lang w:val="en-US" w:eastAsia="zh-CN"/>
              </w:rPr>
            </w:pPr>
            <w:r>
              <w:rPr>
                <w:rFonts w:hint="eastAsia" w:cs="Times New Roman"/>
                <w:b/>
                <w:bCs/>
                <w:color w:val="auto"/>
                <w:lang w:val="en-US" w:eastAsia="zh-CN"/>
              </w:rPr>
              <w:t>动平衡</w:t>
            </w:r>
            <w:r>
              <w:rPr>
                <w:rFonts w:hint="eastAsia" w:ascii="Times New Roman" w:hAnsi="Times New Roman" w:eastAsia="宋体" w:cs="Times New Roman"/>
                <w:b/>
                <w:bCs/>
                <w:color w:val="auto"/>
                <w:lang w:val="en-US" w:eastAsia="zh-CN"/>
              </w:rPr>
              <w:t>：</w:t>
            </w:r>
            <w:r>
              <w:rPr>
                <w:rFonts w:hint="eastAsia" w:ascii="Times New Roman" w:hAnsi="Times New Roman" w:eastAsia="宋体" w:cs="Times New Roman"/>
                <w:b w:val="0"/>
                <w:bCs w:val="0"/>
                <w:color w:val="auto"/>
                <w:lang w:val="en-US" w:eastAsia="zh-CN"/>
              </w:rPr>
              <w:t>将经过</w:t>
            </w:r>
            <w:r>
              <w:rPr>
                <w:rFonts w:hint="eastAsia" w:cs="Times New Roman"/>
                <w:b w:val="0"/>
                <w:bCs w:val="0"/>
                <w:color w:val="auto"/>
                <w:lang w:val="en-US" w:eastAsia="zh-CN"/>
              </w:rPr>
              <w:t>机</w:t>
            </w:r>
            <w:r>
              <w:rPr>
                <w:rFonts w:hint="eastAsia" w:ascii="Times New Roman" w:hAnsi="Times New Roman" w:eastAsia="宋体" w:cs="Times New Roman"/>
                <w:b w:val="0"/>
                <w:bCs w:val="0"/>
                <w:color w:val="auto"/>
                <w:lang w:val="en-US" w:eastAsia="zh-CN"/>
              </w:rPr>
              <w:t>加工后的半成品与轴承</w:t>
            </w:r>
            <w:r>
              <w:rPr>
                <w:rFonts w:hint="eastAsia" w:cs="Times New Roman"/>
                <w:b w:val="0"/>
                <w:bCs w:val="0"/>
                <w:color w:val="auto"/>
                <w:lang w:val="en-US" w:eastAsia="zh-CN"/>
              </w:rPr>
              <w:t>组装后送至动平衡仪器进行检测</w:t>
            </w:r>
            <w:r>
              <w:rPr>
                <w:rFonts w:hint="eastAsia" w:ascii="Times New Roman" w:hAnsi="Times New Roman" w:eastAsia="宋体" w:cs="Times New Roman"/>
                <w:b w:val="0"/>
                <w:bCs w:val="0"/>
                <w:color w:val="auto"/>
                <w:lang w:val="en-US" w:eastAsia="zh-CN"/>
              </w:rPr>
              <w:t>。</w:t>
            </w:r>
          </w:p>
          <w:p w14:paraId="452391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cs="Times New Roman"/>
                <w:b w:val="0"/>
                <w:bCs w:val="0"/>
                <w:color w:val="auto"/>
                <w:lang w:val="en-US" w:eastAsia="zh-CN"/>
              </w:rPr>
            </w:pPr>
            <w:r>
              <w:rPr>
                <w:rFonts w:hint="eastAsia" w:cs="Times New Roman"/>
                <w:b/>
                <w:bCs/>
                <w:color w:val="auto"/>
                <w:lang w:val="en-US" w:eastAsia="zh-CN"/>
              </w:rPr>
              <w:t>拉毛：</w:t>
            </w:r>
            <w:r>
              <w:rPr>
                <w:rFonts w:hint="eastAsia" w:cs="Times New Roman"/>
                <w:b w:val="0"/>
                <w:bCs w:val="0"/>
                <w:color w:val="auto"/>
                <w:lang w:val="en-US" w:eastAsia="zh-CN"/>
              </w:rPr>
              <w:t>根据不同的粗糙度要求，人工利用砂纸对工件表面进行拉毛处理，使辊芯表面形成许多微小的凹凸结构，这些结构增加了表面的比表面积，从而使粘贴物更好地附着在辊芯表面。砂纸切削橡胶钢芯表面时，仅产生极少量微小颗粒，这些颗粒在作业区域内迅速沉降，粉尘产生量微乎其微，实际操作可忽略不计。该过程产生边角料</w:t>
            </w:r>
            <w:r>
              <w:rPr>
                <w:rFonts w:hint="eastAsia" w:ascii="Times New Roman" w:hAnsi="Times New Roman" w:eastAsia="宋体" w:cs="Times New Roman"/>
                <w:b w:val="0"/>
                <w:bCs w:val="0"/>
                <w:color w:val="auto"/>
                <w:lang w:val="en-US" w:eastAsia="zh-CN"/>
              </w:rPr>
              <w:t>（</w:t>
            </w:r>
            <w:r>
              <w:rPr>
                <w:rFonts w:hint="eastAsia" w:cs="Times New Roman"/>
                <w:b w:val="0"/>
                <w:bCs w:val="0"/>
                <w:color w:val="auto"/>
                <w:lang w:val="en-US" w:eastAsia="zh-CN"/>
              </w:rPr>
              <w:t>S5</w:t>
            </w:r>
            <w:r>
              <w:rPr>
                <w:rFonts w:hint="eastAsia" w:ascii="Times New Roman" w:hAnsi="Times New Roman" w:eastAsia="宋体" w:cs="Times New Roman"/>
                <w:b w:val="0"/>
                <w:bCs w:val="0"/>
                <w:color w:val="auto"/>
                <w:lang w:val="en-US" w:eastAsia="zh-CN"/>
              </w:rPr>
              <w:t>）和废砂纸（S</w:t>
            </w:r>
            <w:r>
              <w:rPr>
                <w:rFonts w:hint="eastAsia" w:cs="Times New Roman"/>
                <w:b w:val="0"/>
                <w:bCs w:val="0"/>
                <w:color w:val="auto"/>
                <w:lang w:val="en-US" w:eastAsia="zh-CN"/>
              </w:rPr>
              <w:t>6</w:t>
            </w:r>
            <w:r>
              <w:rPr>
                <w:rFonts w:hint="eastAsia" w:ascii="Times New Roman" w:hAnsi="Times New Roman" w:eastAsia="宋体" w:cs="Times New Roman"/>
                <w:b w:val="0"/>
                <w:bCs w:val="0"/>
                <w:color w:val="auto"/>
                <w:lang w:val="en-US" w:eastAsia="zh-CN"/>
              </w:rPr>
              <w:t>）。</w:t>
            </w:r>
          </w:p>
          <w:p w14:paraId="6F3F3A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cs="Times New Roman"/>
                <w:b/>
                <w:bCs/>
                <w:color w:val="auto"/>
                <w:lang w:val="en-US" w:eastAsia="zh-CN"/>
              </w:rPr>
            </w:pPr>
            <w:r>
              <w:rPr>
                <w:rFonts w:hint="eastAsia" w:cs="Times New Roman"/>
                <w:b/>
                <w:bCs/>
                <w:color w:val="auto"/>
                <w:lang w:val="en-US" w:eastAsia="zh-CN"/>
              </w:rPr>
              <w:t>涂胶固化：</w:t>
            </w:r>
            <w:r>
              <w:rPr>
                <w:rFonts w:hint="eastAsia" w:cs="Times New Roman"/>
                <w:b w:val="0"/>
                <w:bCs w:val="0"/>
                <w:color w:val="auto"/>
                <w:lang w:val="en-US" w:eastAsia="zh-CN"/>
              </w:rPr>
              <w:t>为了增强后续橡胶与辊之间的粘结力，人工在辊芯表面使用毛刷刷涂一层胶粘剂并常温固化。该过程产生涂胶废气（G1）。</w:t>
            </w:r>
          </w:p>
          <w:p w14:paraId="2DE880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cs="Times New Roman"/>
                <w:b w:val="0"/>
                <w:bCs w:val="0"/>
                <w:color w:val="auto"/>
                <w:lang w:val="en-US" w:eastAsia="zh-CN"/>
              </w:rPr>
            </w:pPr>
            <w:r>
              <w:rPr>
                <w:rFonts w:hint="eastAsia" w:cs="Times New Roman"/>
                <w:b/>
                <w:bCs/>
                <w:color w:val="auto"/>
                <w:lang w:val="en-US" w:eastAsia="zh-CN"/>
              </w:rPr>
              <w:t>密炼：</w:t>
            </w:r>
            <w:r>
              <w:rPr>
                <w:rFonts w:hint="eastAsia" w:cs="Times New Roman"/>
                <w:b w:val="0"/>
                <w:bCs w:val="0"/>
                <w:color w:val="auto"/>
                <w:lang w:val="en-US" w:eastAsia="zh-CN"/>
              </w:rPr>
              <w:t>本项目在配料处使用密炼机配套自动上料机将密炼一个批次所需要的橡胶、硬脂酸、促进剂M、防老剂4010等根据配比进行自动提取称量，称量后按比例配制好后采用密闭管道进行输送将原辅料投加入密炼机中。密炼过程主要利用两个转子的相对运动，机器转动摩擦产生热量使原辅材料升温，在温度为80</w:t>
            </w:r>
            <w:r>
              <w:rPr>
                <w:rFonts w:hint="default" w:ascii="Times New Roman" w:hAnsi="Times New Roman" w:cs="Times New Roman"/>
                <w:b w:val="0"/>
                <w:bCs w:val="0"/>
                <w:color w:val="auto"/>
                <w:lang w:val="en-US" w:eastAsia="zh-CN"/>
              </w:rPr>
              <w:t>℃</w:t>
            </w:r>
            <w:r>
              <w:rPr>
                <w:rFonts w:hint="eastAsia" w:cs="Times New Roman"/>
                <w:b w:val="0"/>
                <w:bCs w:val="0"/>
                <w:color w:val="auto"/>
                <w:lang w:val="en-US" w:eastAsia="zh-CN"/>
              </w:rPr>
              <w:t>左右时混合6-7min左右，实现转速控制，从而确保加入密炼室的各种原料混合均匀，达到相应的工艺要求。密炼机冷却采用循环水，循环水不接触物料，仅水温升高，水质不发生变化。密炼机设置一个排气口，工作时排气口打开，该过程产生密炼废气（G2）。</w:t>
            </w:r>
          </w:p>
          <w:p w14:paraId="5A1068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ascii="Times New Roman" w:hAnsi="Times New Roman" w:eastAsia="宋体" w:cs="Times New Roman"/>
                <w:b w:val="0"/>
                <w:bCs w:val="0"/>
                <w:color w:val="auto"/>
                <w:sz w:val="21"/>
                <w:lang w:val="en-US" w:eastAsia="zh-CN"/>
              </w:rPr>
            </w:pPr>
            <w:r>
              <w:rPr>
                <w:rFonts w:hint="eastAsia" w:cs="Times New Roman"/>
                <w:b/>
                <w:bCs/>
                <w:color w:val="auto"/>
                <w:lang w:val="en-US" w:eastAsia="zh-CN"/>
              </w:rPr>
              <w:t>开炼：</w:t>
            </w:r>
            <w:r>
              <w:rPr>
                <w:rFonts w:hint="eastAsia" w:cs="Times New Roman"/>
                <w:b w:val="0"/>
                <w:bCs w:val="0"/>
                <w:color w:val="auto"/>
                <w:lang w:val="en-US" w:eastAsia="zh-CN"/>
              </w:rPr>
              <w:t>将密炼好的胶料通过配套提升机自动投放入开炼机进行定尺寸开炼出片，该过程利用开炼机前后两个速度不同的滚筒形成的相对速度差所引起的剪切力，橡胶受到挤压温度上升，使橡胶变得柔软而富有可塑性，开炼温度50-70</w:t>
            </w:r>
            <w:r>
              <w:rPr>
                <w:rFonts w:hint="default" w:ascii="Times New Roman" w:hAnsi="Times New Roman" w:cs="Times New Roman"/>
                <w:b w:val="0"/>
                <w:bCs w:val="0"/>
                <w:color w:val="auto"/>
                <w:lang w:val="en-US" w:eastAsia="zh-CN"/>
              </w:rPr>
              <w:t>℃</w:t>
            </w:r>
            <w:r>
              <w:rPr>
                <w:rFonts w:hint="eastAsia" w:cs="Times New Roman"/>
                <w:b w:val="0"/>
                <w:bCs w:val="0"/>
                <w:color w:val="auto"/>
                <w:lang w:val="en-US" w:eastAsia="zh-CN"/>
              </w:rPr>
              <w:t>，时间20min。开炼机冷却采用循环水，循环水不接触物料，仅水温升高，水质不发生变化。该过程产生开炼废气（G3）</w:t>
            </w:r>
            <w:r>
              <w:rPr>
                <w:rFonts w:hint="eastAsia" w:ascii="Times New Roman" w:hAnsi="Times New Roman" w:eastAsia="宋体" w:cs="Times New Roman"/>
                <w:b w:val="0"/>
                <w:bCs w:val="0"/>
                <w:color w:val="auto"/>
                <w:sz w:val="21"/>
                <w:lang w:val="en-US" w:eastAsia="zh-CN"/>
              </w:rPr>
              <w:t>。</w:t>
            </w:r>
          </w:p>
          <w:p w14:paraId="19B083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cs="Times New Roman"/>
                <w:b w:val="0"/>
                <w:bCs w:val="0"/>
                <w:color w:val="auto"/>
                <w:lang w:val="en-US" w:eastAsia="zh-CN"/>
              </w:rPr>
            </w:pPr>
            <w:r>
              <w:rPr>
                <w:rFonts w:hint="eastAsia" w:ascii="Times New Roman" w:hAnsi="Times New Roman" w:eastAsia="宋体" w:cs="Times New Roman"/>
                <w:b/>
                <w:bCs/>
                <w:color w:val="auto"/>
                <w:sz w:val="21"/>
                <w:lang w:val="en-US" w:eastAsia="zh-CN"/>
              </w:rPr>
              <w:t>缠绕贴胶：</w:t>
            </w:r>
            <w:r>
              <w:rPr>
                <w:rFonts w:hint="eastAsia" w:ascii="Times New Roman" w:hAnsi="Times New Roman" w:eastAsia="宋体" w:cs="Times New Roman"/>
                <w:b w:val="0"/>
                <w:bCs w:val="0"/>
                <w:color w:val="auto"/>
                <w:sz w:val="21"/>
                <w:lang w:val="en-US" w:eastAsia="zh-CN"/>
              </w:rPr>
              <w:t>橡胶辊选用经过合股好的钢丝线通过缠绕机一层一层缠绕在橡胶辊的外面，然后再移至贴胶机上，将压延好的中层胶片直接包在编织的钢丝外面。一层编绕钢丝包履一层中层胶片，直到最后包覆一层外层胶制成半成品，钢丝的层数据客户需要，一般为三层钢丝两层中层胶片，据产品的不同用途及压力，适当增加钢丝层数及胶层数。</w:t>
            </w:r>
          </w:p>
          <w:p w14:paraId="088FAD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cs="Times New Roman"/>
                <w:b w:val="0"/>
                <w:bCs w:val="0"/>
                <w:color w:val="auto"/>
                <w:lang w:val="en-US" w:eastAsia="zh-CN"/>
              </w:rPr>
            </w:pPr>
            <w:r>
              <w:rPr>
                <w:rFonts w:hint="eastAsia" w:cs="Times New Roman"/>
                <w:b/>
                <w:bCs/>
                <w:color w:val="auto"/>
                <w:lang w:val="en-US" w:eastAsia="zh-CN"/>
              </w:rPr>
              <w:t>硫化：</w:t>
            </w:r>
            <w:r>
              <w:rPr>
                <w:rFonts w:hint="eastAsia" w:cs="Times New Roman"/>
                <w:b w:val="0"/>
                <w:bCs w:val="0"/>
                <w:color w:val="auto"/>
                <w:lang w:val="en-US" w:eastAsia="zh-CN"/>
              </w:rPr>
              <w:t>硫化的科学意义是“交联“或“架桥”，橡胶大分子在加热下与交联剂发生化学反应，交联成为立体网状高分子结构的过程。从物性上即是塑性橡胶转化为弹性橡胶或硬质橡胶的过程。具体操作是将包覆水包布的胶管采用带有轨道的小车直接送至硫化罐内，在密闭状态下通过电加热使罐内温度保持150-155</w:t>
            </w:r>
            <w:r>
              <w:rPr>
                <w:rFonts w:hint="default" w:ascii="Times New Roman" w:hAnsi="Times New Roman" w:cs="Times New Roman"/>
                <w:b w:val="0"/>
                <w:bCs w:val="0"/>
                <w:color w:val="auto"/>
                <w:lang w:val="en-US" w:eastAsia="zh-CN"/>
              </w:rPr>
              <w:t>℃</w:t>
            </w:r>
            <w:r>
              <w:rPr>
                <w:rFonts w:hint="eastAsia" w:cs="Times New Roman"/>
                <w:b w:val="0"/>
                <w:bCs w:val="0"/>
                <w:color w:val="auto"/>
                <w:lang w:val="en-US" w:eastAsia="zh-CN"/>
              </w:rPr>
              <w:t>，压力为0.4Mpa；硫化完成后，在硫化罐打开前，必须先通过硫化罐泄压阀放气，以减轻硫化罐压力。该过程产生硫化废气（G4）。</w:t>
            </w:r>
          </w:p>
          <w:p w14:paraId="1AD559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ascii="Times New Roman" w:hAnsi="Times New Roman" w:eastAsia="宋体" w:cs="Times New Roman"/>
                <w:b w:val="0"/>
                <w:bCs w:val="0"/>
                <w:color w:val="auto"/>
                <w:lang w:val="en-US" w:eastAsia="zh-CN"/>
              </w:rPr>
            </w:pPr>
            <w:r>
              <w:rPr>
                <w:rFonts w:hint="eastAsia" w:cs="Times New Roman"/>
                <w:b/>
                <w:bCs/>
                <w:color w:val="auto"/>
                <w:lang w:val="en-US" w:eastAsia="zh-CN"/>
              </w:rPr>
              <w:t>磨圆</w:t>
            </w:r>
            <w:r>
              <w:rPr>
                <w:rFonts w:hint="eastAsia" w:ascii="Times New Roman" w:hAnsi="Times New Roman" w:eastAsia="宋体" w:cs="Times New Roman"/>
                <w:b/>
                <w:bCs/>
                <w:color w:val="auto"/>
                <w:lang w:val="en-US" w:eastAsia="zh-CN"/>
              </w:rPr>
              <w:t>：</w:t>
            </w:r>
            <w:r>
              <w:rPr>
                <w:rFonts w:hint="eastAsia" w:ascii="Times New Roman" w:hAnsi="Times New Roman" w:eastAsia="宋体" w:cs="Times New Roman"/>
                <w:b w:val="0"/>
                <w:bCs w:val="0"/>
                <w:color w:val="auto"/>
                <w:lang w:val="en-US" w:eastAsia="zh-CN"/>
              </w:rPr>
              <w:t>将硫化后的胶辊经车床</w:t>
            </w:r>
            <w:r>
              <w:rPr>
                <w:rFonts w:hint="eastAsia" w:cs="Times New Roman"/>
                <w:b w:val="0"/>
                <w:bCs w:val="0"/>
                <w:color w:val="auto"/>
                <w:lang w:val="en-US" w:eastAsia="zh-CN"/>
              </w:rPr>
              <w:t>去除橡胶辊表面在生产过程中可能产生的毛刺、凸起、凹陷等缺陷，使橡胶辊尺寸均匀，加工完成后即为成品</w:t>
            </w:r>
            <w:r>
              <w:rPr>
                <w:rFonts w:hint="eastAsia" w:ascii="Times New Roman" w:hAnsi="Times New Roman" w:eastAsia="宋体" w:cs="Times New Roman"/>
                <w:b w:val="0"/>
                <w:bCs w:val="0"/>
                <w:color w:val="auto"/>
                <w:sz w:val="21"/>
                <w:lang w:val="en-US" w:eastAsia="zh-CN"/>
              </w:rPr>
              <w:t>。该过程中产生磨圆粉尘（G</w:t>
            </w:r>
            <w:r>
              <w:rPr>
                <w:rFonts w:hint="eastAsia" w:cs="Times New Roman"/>
                <w:b w:val="0"/>
                <w:bCs w:val="0"/>
                <w:color w:val="auto"/>
                <w:sz w:val="21"/>
                <w:lang w:val="en-US" w:eastAsia="zh-CN"/>
              </w:rPr>
              <w:t>5</w:t>
            </w:r>
            <w:r>
              <w:rPr>
                <w:rFonts w:hint="eastAsia" w:ascii="Times New Roman" w:hAnsi="Times New Roman" w:eastAsia="宋体" w:cs="Times New Roman"/>
                <w:b w:val="0"/>
                <w:bCs w:val="0"/>
                <w:color w:val="auto"/>
                <w:sz w:val="21"/>
                <w:lang w:val="en-US" w:eastAsia="zh-CN"/>
              </w:rPr>
              <w:t>）和边角料（S</w:t>
            </w:r>
            <w:r>
              <w:rPr>
                <w:rFonts w:hint="eastAsia" w:cs="Times New Roman"/>
                <w:b w:val="0"/>
                <w:bCs w:val="0"/>
                <w:color w:val="auto"/>
                <w:sz w:val="21"/>
                <w:lang w:val="en-US" w:eastAsia="zh-CN"/>
              </w:rPr>
              <w:t>7</w:t>
            </w:r>
            <w:r>
              <w:rPr>
                <w:rFonts w:hint="eastAsia" w:ascii="Times New Roman" w:hAnsi="Times New Roman" w:eastAsia="宋体" w:cs="Times New Roman"/>
                <w:b w:val="0"/>
                <w:bCs w:val="0"/>
                <w:color w:val="auto"/>
                <w:sz w:val="21"/>
                <w:lang w:val="en-US" w:eastAsia="zh-CN"/>
              </w:rPr>
              <w:t>）。</w:t>
            </w:r>
          </w:p>
          <w:p w14:paraId="360354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本项目地面清洁方式采用干式清洁，每日作业后，由人工采用吸尘器清扫地面。由此产生的吸收器收尘外售处置，由于产生量较少，本报告不做定量分析。</w:t>
            </w:r>
          </w:p>
          <w:p w14:paraId="1A740F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eastAsia" w:ascii="Times New Roman" w:hAnsi="Times New Roman" w:eastAsia="宋体" w:cs="Times New Roman"/>
                <w:b/>
                <w:color w:val="auto"/>
                <w:kern w:val="0"/>
                <w:sz w:val="21"/>
                <w:szCs w:val="21"/>
                <w:lang w:val="en-US" w:eastAsia="zh-CN"/>
              </w:rPr>
              <w:t>表2</w:t>
            </w:r>
            <w:r>
              <w:rPr>
                <w:rFonts w:hint="eastAsia" w:cs="Times New Roman"/>
                <w:b/>
                <w:color w:val="auto"/>
                <w:kern w:val="0"/>
                <w:sz w:val="21"/>
                <w:szCs w:val="21"/>
                <w:lang w:val="en-US" w:eastAsia="zh-CN"/>
              </w:rPr>
              <w:t>-5</w:t>
            </w:r>
            <w:r>
              <w:rPr>
                <w:rFonts w:hint="eastAsia" w:ascii="Times New Roman" w:hAnsi="Times New Roman" w:eastAsia="宋体" w:cs="Times New Roman"/>
                <w:b/>
                <w:color w:val="auto"/>
                <w:kern w:val="0"/>
                <w:sz w:val="21"/>
                <w:szCs w:val="21"/>
                <w:lang w:val="en-US" w:eastAsia="zh-CN"/>
              </w:rPr>
              <w:t xml:space="preserve">  </w:t>
            </w:r>
            <w:r>
              <w:rPr>
                <w:rFonts w:hint="eastAsia" w:ascii="Times New Roman" w:hAnsi="Times New Roman" w:eastAsia="宋体" w:cs="Times New Roman"/>
                <w:b/>
                <w:color w:val="auto"/>
                <w:kern w:val="0"/>
                <w:sz w:val="21"/>
                <w:szCs w:val="21"/>
              </w:rPr>
              <w:t>本项目主要产排污情况表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5"/>
              <w:gridCol w:w="892"/>
              <w:gridCol w:w="1288"/>
              <w:gridCol w:w="2799"/>
              <w:gridCol w:w="3377"/>
            </w:tblGrid>
            <w:tr w14:paraId="57A4F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noWrap w:val="0"/>
                  <w:vAlign w:val="center"/>
                </w:tcPr>
                <w:p w14:paraId="34C493B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类别</w:t>
                  </w:r>
                </w:p>
              </w:tc>
              <w:tc>
                <w:tcPr>
                  <w:tcW w:w="496" w:type="pct"/>
                  <w:noWrap w:val="0"/>
                  <w:vAlign w:val="center"/>
                </w:tcPr>
                <w:p w14:paraId="30FEAE5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eastAsia" w:ascii="Times New Roman" w:hAnsi="Times New Roman" w:eastAsia="仿宋" w:cs="Times New Roman"/>
                      <w:color w:val="auto"/>
                      <w:kern w:val="0"/>
                      <w:szCs w:val="21"/>
                      <w:lang w:eastAsia="zh-CN"/>
                    </w:rPr>
                    <w:t>编号</w:t>
                  </w:r>
                </w:p>
              </w:tc>
              <w:tc>
                <w:tcPr>
                  <w:tcW w:w="716" w:type="pct"/>
                  <w:noWrap w:val="0"/>
                  <w:vAlign w:val="center"/>
                </w:tcPr>
                <w:p w14:paraId="189860B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产生</w:t>
                  </w:r>
                  <w:r>
                    <w:rPr>
                      <w:rFonts w:hint="eastAsia" w:ascii="Times New Roman" w:hAnsi="Times New Roman" w:eastAsia="仿宋" w:cs="Times New Roman"/>
                      <w:color w:val="auto"/>
                      <w:kern w:val="0"/>
                      <w:szCs w:val="21"/>
                      <w:lang w:eastAsia="zh-CN"/>
                    </w:rPr>
                    <w:t>环节</w:t>
                  </w:r>
                </w:p>
              </w:tc>
              <w:tc>
                <w:tcPr>
                  <w:tcW w:w="1556" w:type="pct"/>
                  <w:noWrap w:val="0"/>
                  <w:vAlign w:val="center"/>
                </w:tcPr>
                <w:p w14:paraId="5E70A3B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污染物</w:t>
                  </w:r>
                </w:p>
              </w:tc>
              <w:tc>
                <w:tcPr>
                  <w:tcW w:w="1877" w:type="pct"/>
                  <w:noWrap w:val="0"/>
                  <w:vAlign w:val="center"/>
                </w:tcPr>
                <w:p w14:paraId="3A6FE43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eastAsia" w:ascii="Times New Roman" w:hAnsi="Times New Roman" w:eastAsia="仿宋" w:cs="Times New Roman"/>
                      <w:color w:val="auto"/>
                      <w:kern w:val="0"/>
                      <w:szCs w:val="21"/>
                      <w:lang w:eastAsia="zh-CN"/>
                    </w:rPr>
                    <w:t>拟</w:t>
                  </w:r>
                  <w:r>
                    <w:rPr>
                      <w:rFonts w:hint="default" w:ascii="Times New Roman" w:hAnsi="Times New Roman" w:eastAsia="仿宋" w:cs="Times New Roman"/>
                      <w:color w:val="auto"/>
                      <w:kern w:val="0"/>
                      <w:szCs w:val="21"/>
                      <w:lang w:eastAsia="zh-CN"/>
                    </w:rPr>
                    <w:t>采取的措施及去向</w:t>
                  </w:r>
                </w:p>
              </w:tc>
            </w:tr>
            <w:tr w14:paraId="11F68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noWrap w:val="0"/>
                  <w:vAlign w:val="center"/>
                </w:tcPr>
                <w:p w14:paraId="3D7ADAB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废水</w:t>
                  </w:r>
                </w:p>
              </w:tc>
              <w:tc>
                <w:tcPr>
                  <w:tcW w:w="496" w:type="pct"/>
                  <w:noWrap w:val="0"/>
                  <w:vAlign w:val="center"/>
                </w:tcPr>
                <w:p w14:paraId="17C5660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w:t>
                  </w:r>
                </w:p>
              </w:tc>
              <w:tc>
                <w:tcPr>
                  <w:tcW w:w="716" w:type="pct"/>
                  <w:noWrap w:val="0"/>
                  <w:vAlign w:val="center"/>
                </w:tcPr>
                <w:p w14:paraId="131BD3F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办公</w:t>
                  </w:r>
                  <w:r>
                    <w:rPr>
                      <w:rFonts w:hint="eastAsia" w:ascii="Times New Roman" w:hAnsi="Times New Roman" w:eastAsia="仿宋" w:cs="Times New Roman"/>
                      <w:color w:val="auto"/>
                      <w:kern w:val="0"/>
                      <w:szCs w:val="21"/>
                      <w:lang w:eastAsia="zh-CN"/>
                    </w:rPr>
                    <w:t>、</w:t>
                  </w:r>
                  <w:r>
                    <w:rPr>
                      <w:rFonts w:hint="default" w:ascii="Times New Roman" w:hAnsi="Times New Roman" w:eastAsia="仿宋" w:cs="Times New Roman"/>
                      <w:color w:val="auto"/>
                      <w:kern w:val="0"/>
                      <w:szCs w:val="21"/>
                      <w:lang w:eastAsia="zh-CN"/>
                    </w:rPr>
                    <w:t>生活</w:t>
                  </w:r>
                </w:p>
              </w:tc>
              <w:tc>
                <w:tcPr>
                  <w:tcW w:w="1556" w:type="pct"/>
                  <w:noWrap w:val="0"/>
                  <w:vAlign w:val="center"/>
                </w:tcPr>
                <w:p w14:paraId="0622E57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生活污水：</w:t>
                  </w:r>
                  <w:r>
                    <w:rPr>
                      <w:rFonts w:hint="eastAsia" w:ascii="Times New Roman" w:hAnsi="Times New Roman" w:eastAsia="仿宋" w:cs="Times New Roman"/>
                      <w:color w:val="auto"/>
                      <w:kern w:val="0"/>
                      <w:szCs w:val="21"/>
                      <w:lang w:val="en-US" w:eastAsia="zh-CN"/>
                    </w:rPr>
                    <w:t>pH值、</w:t>
                  </w:r>
                  <w:r>
                    <w:rPr>
                      <w:rFonts w:hint="default" w:ascii="Times New Roman" w:hAnsi="Times New Roman" w:eastAsia="仿宋" w:cs="Times New Roman"/>
                      <w:color w:val="auto"/>
                      <w:kern w:val="0"/>
                      <w:szCs w:val="21"/>
                      <w:lang w:eastAsia="zh-CN"/>
                    </w:rPr>
                    <w:t>COD、SS、NH</w:t>
                  </w:r>
                  <w:r>
                    <w:rPr>
                      <w:rFonts w:hint="default" w:ascii="Times New Roman" w:hAnsi="Times New Roman" w:eastAsia="仿宋" w:cs="Times New Roman"/>
                      <w:color w:val="auto"/>
                      <w:kern w:val="0"/>
                      <w:szCs w:val="21"/>
                      <w:vertAlign w:val="subscript"/>
                      <w:lang w:eastAsia="zh-CN"/>
                    </w:rPr>
                    <w:t>3</w:t>
                  </w:r>
                  <w:r>
                    <w:rPr>
                      <w:rFonts w:hint="default" w:ascii="Times New Roman" w:hAnsi="Times New Roman" w:eastAsia="仿宋" w:cs="Times New Roman"/>
                      <w:color w:val="auto"/>
                      <w:kern w:val="0"/>
                      <w:szCs w:val="21"/>
                      <w:lang w:eastAsia="zh-CN"/>
                    </w:rPr>
                    <w:t>-N、TP、TN</w:t>
                  </w:r>
                </w:p>
              </w:tc>
              <w:tc>
                <w:tcPr>
                  <w:tcW w:w="1877" w:type="pct"/>
                  <w:noWrap w:val="0"/>
                  <w:vAlign w:val="center"/>
                </w:tcPr>
                <w:p w14:paraId="2E1DA49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接管</w:t>
                  </w:r>
                  <w:r>
                    <w:rPr>
                      <w:rFonts w:hint="eastAsia" w:ascii="Times New Roman" w:hAnsi="Times New Roman" w:eastAsia="仿宋" w:cs="Times New Roman"/>
                      <w:color w:val="auto"/>
                      <w:kern w:val="0"/>
                      <w:szCs w:val="21"/>
                      <w:lang w:eastAsia="zh-CN"/>
                    </w:rPr>
                    <w:t>至</w:t>
                  </w:r>
                  <w:r>
                    <w:rPr>
                      <w:rFonts w:hint="eastAsia" w:ascii="Times New Roman" w:hAnsi="Times New Roman" w:eastAsia="仿宋" w:cs="Times New Roman"/>
                      <w:color w:val="auto"/>
                      <w:kern w:val="0"/>
                      <w:szCs w:val="21"/>
                      <w:lang w:val="en-US" w:eastAsia="zh-CN"/>
                    </w:rPr>
                    <w:t>金坛区朱林镇三星村李巷农村生活污水处理站</w:t>
                  </w:r>
                </w:p>
              </w:tc>
            </w:tr>
            <w:tr w14:paraId="5F892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restart"/>
                  <w:noWrap w:val="0"/>
                  <w:vAlign w:val="center"/>
                </w:tcPr>
                <w:p w14:paraId="40F5AD8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eastAsia" w:ascii="Times New Roman" w:hAnsi="Times New Roman" w:eastAsia="仿宋" w:cs="Times New Roman"/>
                      <w:color w:val="auto"/>
                      <w:kern w:val="0"/>
                      <w:szCs w:val="21"/>
                      <w:lang w:eastAsia="zh-CN"/>
                    </w:rPr>
                    <w:t>废气</w:t>
                  </w:r>
                </w:p>
              </w:tc>
              <w:tc>
                <w:tcPr>
                  <w:tcW w:w="496" w:type="pct"/>
                  <w:shd w:val="clear" w:color="auto" w:fill="auto"/>
                  <w:noWrap w:val="0"/>
                  <w:vAlign w:val="center"/>
                </w:tcPr>
                <w:p w14:paraId="6E586D7B">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G1</w:t>
                  </w:r>
                </w:p>
              </w:tc>
              <w:tc>
                <w:tcPr>
                  <w:tcW w:w="716" w:type="pct"/>
                  <w:noWrap w:val="0"/>
                  <w:vAlign w:val="center"/>
                </w:tcPr>
                <w:p w14:paraId="32DD65A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涂胶固化</w:t>
                  </w:r>
                </w:p>
              </w:tc>
              <w:tc>
                <w:tcPr>
                  <w:tcW w:w="1556" w:type="pct"/>
                  <w:noWrap w:val="0"/>
                  <w:vAlign w:val="center"/>
                </w:tcPr>
                <w:p w14:paraId="7A45992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涂胶废气：非甲烷总烃</w:t>
                  </w:r>
                </w:p>
              </w:tc>
              <w:tc>
                <w:tcPr>
                  <w:tcW w:w="1877" w:type="pct"/>
                  <w:noWrap w:val="0"/>
                  <w:vAlign w:val="center"/>
                </w:tcPr>
                <w:p w14:paraId="237248E4">
                  <w:pPr>
                    <w:keepNext w:val="0"/>
                    <w:keepLines w:val="0"/>
                    <w:widowControl/>
                    <w:suppressLineNumbers w:val="0"/>
                    <w:spacing w:before="0" w:beforeAutospacing="0" w:after="0" w:afterAutospacing="0" w:line="240" w:lineRule="auto"/>
                    <w:ind w:left="0" w:right="0"/>
                    <w:jc w:val="both"/>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涂胶废气经</w:t>
                  </w:r>
                  <w:r>
                    <w:rPr>
                      <w:rFonts w:hint="eastAsia" w:eastAsia="仿宋" w:cs="Times New Roman"/>
                      <w:color w:val="auto"/>
                      <w:kern w:val="0"/>
                      <w:szCs w:val="21"/>
                      <w:lang w:val="en-US" w:eastAsia="zh-CN"/>
                    </w:rPr>
                    <w:t>密闭</w:t>
                  </w:r>
                  <w:r>
                    <w:rPr>
                      <w:rFonts w:hint="eastAsia" w:ascii="Times New Roman" w:hAnsi="Times New Roman" w:eastAsia="仿宋" w:cs="Times New Roman"/>
                      <w:color w:val="auto"/>
                      <w:kern w:val="0"/>
                      <w:szCs w:val="21"/>
                      <w:lang w:val="en-US" w:eastAsia="zh-CN"/>
                    </w:rPr>
                    <w:t>收集后通过一套“脉冲除尘+水喷淋+除雾+两级活性炭吸附”装置（</w:t>
                  </w:r>
                  <w:r>
                    <w:rPr>
                      <w:rFonts w:hint="eastAsia" w:eastAsia="仿宋" w:cs="Times New Roman"/>
                      <w:color w:val="auto"/>
                      <w:kern w:val="0"/>
                      <w:szCs w:val="21"/>
                      <w:lang w:val="en-US" w:eastAsia="zh-CN"/>
                    </w:rPr>
                    <w:t>TA002</w:t>
                  </w:r>
                  <w:r>
                    <w:rPr>
                      <w:rFonts w:hint="eastAsia" w:ascii="Times New Roman" w:hAnsi="Times New Roman" w:eastAsia="仿宋" w:cs="Times New Roman"/>
                      <w:color w:val="auto"/>
                      <w:kern w:val="0"/>
                      <w:szCs w:val="21"/>
                      <w:lang w:val="en-US" w:eastAsia="zh-CN"/>
                    </w:rPr>
                    <w:t>）处理，尾气通过一根15m高排气筒（DA002）排放</w:t>
                  </w:r>
                </w:p>
              </w:tc>
            </w:tr>
            <w:tr w14:paraId="3B1DE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353" w:type="pct"/>
                  <w:vMerge w:val="continue"/>
                  <w:noWrap w:val="0"/>
                  <w:vAlign w:val="center"/>
                </w:tcPr>
                <w:p w14:paraId="716B93D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shd w:val="clear" w:color="auto" w:fill="auto"/>
                  <w:noWrap w:val="0"/>
                  <w:vAlign w:val="center"/>
                </w:tcPr>
                <w:p w14:paraId="69495C8E">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G2</w:t>
                  </w:r>
                </w:p>
              </w:tc>
              <w:tc>
                <w:tcPr>
                  <w:tcW w:w="716" w:type="pct"/>
                  <w:noWrap w:val="0"/>
                  <w:vAlign w:val="center"/>
                </w:tcPr>
                <w:p w14:paraId="4F62FF2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密炼</w:t>
                  </w:r>
                </w:p>
              </w:tc>
              <w:tc>
                <w:tcPr>
                  <w:tcW w:w="1556" w:type="pct"/>
                  <w:noWrap w:val="0"/>
                  <w:vAlign w:val="center"/>
                </w:tcPr>
                <w:p w14:paraId="563BD4A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密炼废气：颗粒物、硫化氢、二硫化碳、非甲烷总烃、臭气浓度</w:t>
                  </w:r>
                </w:p>
              </w:tc>
              <w:tc>
                <w:tcPr>
                  <w:tcW w:w="1877" w:type="pct"/>
                  <w:vMerge w:val="restart"/>
                  <w:noWrap w:val="0"/>
                  <w:vAlign w:val="center"/>
                </w:tcPr>
                <w:p w14:paraId="0BFE4146">
                  <w:pPr>
                    <w:keepNext w:val="0"/>
                    <w:keepLines w:val="0"/>
                    <w:widowControl/>
                    <w:suppressLineNumbers w:val="0"/>
                    <w:spacing w:before="0" w:beforeAutospacing="0" w:after="0" w:afterAutospacing="0" w:line="240" w:lineRule="auto"/>
                    <w:ind w:left="0" w:right="0"/>
                    <w:jc w:val="both"/>
                    <w:rPr>
                      <w:rFonts w:hint="eastAsia"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炼胶废气</w:t>
                  </w:r>
                  <w:r>
                    <w:rPr>
                      <w:rFonts w:hint="eastAsia" w:eastAsia="仿宋" w:cs="Times New Roman"/>
                      <w:color w:val="auto"/>
                      <w:kern w:val="0"/>
                      <w:szCs w:val="21"/>
                      <w:lang w:val="en-US" w:eastAsia="zh-CN"/>
                    </w:rPr>
                    <w:t>密闭</w:t>
                  </w:r>
                  <w:r>
                    <w:rPr>
                      <w:rFonts w:hint="eastAsia" w:ascii="Times New Roman" w:hAnsi="Times New Roman" w:eastAsia="仿宋" w:cs="Times New Roman"/>
                      <w:color w:val="auto"/>
                      <w:kern w:val="0"/>
                      <w:szCs w:val="21"/>
                      <w:lang w:val="en-US" w:eastAsia="zh-CN"/>
                    </w:rPr>
                    <w:t>收集</w:t>
                  </w:r>
                  <w:r>
                    <w:rPr>
                      <w:rFonts w:hint="eastAsia" w:eastAsia="仿宋" w:cs="Times New Roman"/>
                      <w:color w:val="auto"/>
                      <w:kern w:val="0"/>
                      <w:szCs w:val="21"/>
                      <w:lang w:val="en-US" w:eastAsia="zh-CN"/>
                    </w:rPr>
                    <w:t>后</w:t>
                  </w:r>
                  <w:r>
                    <w:rPr>
                      <w:rFonts w:hint="eastAsia" w:ascii="Times New Roman" w:hAnsi="Times New Roman" w:eastAsia="仿宋" w:cs="Times New Roman"/>
                      <w:color w:val="auto"/>
                      <w:kern w:val="0"/>
                      <w:szCs w:val="21"/>
                      <w:lang w:val="en-US" w:eastAsia="zh-CN"/>
                    </w:rPr>
                    <w:t>通过一套“脉冲除尘+水喷淋+除雾+两级活性炭吸附”装置（TA002）处理，尾气通过一根15m高排气筒（DA002）排放</w:t>
                  </w:r>
                </w:p>
              </w:tc>
            </w:tr>
            <w:tr w14:paraId="06E3A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353" w:type="pct"/>
                  <w:vMerge w:val="continue"/>
                  <w:noWrap w:val="0"/>
                  <w:vAlign w:val="center"/>
                </w:tcPr>
                <w:p w14:paraId="78B42362">
                  <w:pPr>
                    <w:keepNext w:val="0"/>
                    <w:keepLines w:val="0"/>
                    <w:widowControl/>
                    <w:suppressLineNumbers w:val="0"/>
                    <w:spacing w:before="0" w:beforeAutospacing="0" w:after="0" w:afterAutospacing="0" w:line="240" w:lineRule="auto"/>
                    <w:ind w:left="0" w:right="0"/>
                    <w:jc w:val="center"/>
                    <w:rPr>
                      <w:rFonts w:hint="default" w:cs="Times New Roman"/>
                      <w:color w:val="auto"/>
                    </w:rPr>
                  </w:pPr>
                </w:p>
              </w:tc>
              <w:tc>
                <w:tcPr>
                  <w:tcW w:w="496" w:type="pct"/>
                  <w:shd w:val="clear" w:color="auto" w:fill="auto"/>
                  <w:noWrap w:val="0"/>
                  <w:vAlign w:val="center"/>
                </w:tcPr>
                <w:p w14:paraId="53BC2581">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G3</w:t>
                  </w:r>
                </w:p>
              </w:tc>
              <w:tc>
                <w:tcPr>
                  <w:tcW w:w="716" w:type="pct"/>
                  <w:noWrap w:val="0"/>
                  <w:vAlign w:val="center"/>
                </w:tcPr>
                <w:p w14:paraId="0D09EFF6">
                  <w:pPr>
                    <w:keepNext w:val="0"/>
                    <w:keepLines w:val="0"/>
                    <w:widowControl/>
                    <w:suppressLineNumbers w:val="0"/>
                    <w:spacing w:before="0" w:beforeAutospacing="0" w:after="0" w:afterAutospacing="0" w:line="240" w:lineRule="auto"/>
                    <w:ind w:left="0" w:right="0"/>
                    <w:jc w:val="center"/>
                    <w:rPr>
                      <w:rFonts w:hint="eastAsia"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开炼</w:t>
                  </w:r>
                </w:p>
              </w:tc>
              <w:tc>
                <w:tcPr>
                  <w:tcW w:w="1556" w:type="pct"/>
                  <w:noWrap w:val="0"/>
                  <w:vAlign w:val="center"/>
                </w:tcPr>
                <w:p w14:paraId="61536015">
                  <w:pPr>
                    <w:keepNext w:val="0"/>
                    <w:keepLines w:val="0"/>
                    <w:widowControl/>
                    <w:suppressLineNumbers w:val="0"/>
                    <w:spacing w:before="0" w:beforeAutospacing="0" w:after="0" w:afterAutospacing="0" w:line="240" w:lineRule="auto"/>
                    <w:ind w:left="0" w:right="0"/>
                    <w:jc w:val="center"/>
                    <w:rPr>
                      <w:rFonts w:hint="eastAsia"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开炼废气：硫化氢、二硫化碳、非甲烷总烃、臭气浓度</w:t>
                  </w:r>
                </w:p>
              </w:tc>
              <w:tc>
                <w:tcPr>
                  <w:tcW w:w="1877" w:type="pct"/>
                  <w:vMerge w:val="continue"/>
                  <w:noWrap w:val="0"/>
                  <w:vAlign w:val="center"/>
                </w:tcPr>
                <w:p w14:paraId="088C12DD">
                  <w:pPr>
                    <w:keepNext w:val="0"/>
                    <w:keepLines w:val="0"/>
                    <w:widowControl/>
                    <w:suppressLineNumbers w:val="0"/>
                    <w:spacing w:before="0" w:beforeAutospacing="0" w:after="0" w:afterAutospacing="0" w:line="240" w:lineRule="auto"/>
                    <w:ind w:left="0" w:right="0"/>
                    <w:jc w:val="both"/>
                    <w:rPr>
                      <w:rFonts w:hint="eastAsia" w:eastAsia="仿宋" w:cs="Times New Roman"/>
                      <w:color w:val="auto"/>
                      <w:kern w:val="0"/>
                      <w:szCs w:val="21"/>
                      <w:lang w:val="en-US" w:eastAsia="zh-CN"/>
                    </w:rPr>
                  </w:pPr>
                </w:p>
              </w:tc>
            </w:tr>
            <w:tr w14:paraId="499C9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4FA3C0F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shd w:val="clear" w:color="auto" w:fill="auto"/>
                  <w:noWrap w:val="0"/>
                  <w:vAlign w:val="center"/>
                </w:tcPr>
                <w:p w14:paraId="6EA43C95">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G4</w:t>
                  </w:r>
                </w:p>
              </w:tc>
              <w:tc>
                <w:tcPr>
                  <w:tcW w:w="716" w:type="pct"/>
                  <w:noWrap w:val="0"/>
                  <w:vAlign w:val="center"/>
                </w:tcPr>
                <w:p w14:paraId="5E88521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硫化</w:t>
                  </w:r>
                </w:p>
              </w:tc>
              <w:tc>
                <w:tcPr>
                  <w:tcW w:w="1556" w:type="pct"/>
                  <w:noWrap w:val="0"/>
                  <w:vAlign w:val="center"/>
                </w:tcPr>
                <w:p w14:paraId="26A27AD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硫化废气：硫化氢、二硫化碳、非甲烷总烃、臭气浓度</w:t>
                  </w:r>
                </w:p>
              </w:tc>
              <w:tc>
                <w:tcPr>
                  <w:tcW w:w="1877" w:type="pct"/>
                  <w:noWrap w:val="0"/>
                  <w:vAlign w:val="center"/>
                </w:tcPr>
                <w:p w14:paraId="012EC78A">
                  <w:pPr>
                    <w:keepNext w:val="0"/>
                    <w:keepLines w:val="0"/>
                    <w:suppressLineNumbers w:val="0"/>
                    <w:spacing w:before="0" w:beforeAutospacing="0" w:after="0" w:afterAutospacing="0" w:line="240" w:lineRule="auto"/>
                    <w:ind w:left="0" w:right="0"/>
                    <w:jc w:val="both"/>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硫化废气经密闭</w:t>
                  </w:r>
                  <w:r>
                    <w:rPr>
                      <w:rFonts w:hint="eastAsia" w:ascii="Times New Roman" w:hAnsi="Times New Roman" w:eastAsia="仿宋" w:cs="Times New Roman"/>
                      <w:color w:val="auto"/>
                      <w:kern w:val="0"/>
                      <w:szCs w:val="21"/>
                      <w:lang w:val="en-US" w:eastAsia="zh-CN"/>
                    </w:rPr>
                    <w:t>收集后通过一套“脉冲除尘+水喷淋+除雾+两级活性炭吸附”装置（TA002）处理，尾气通过</w:t>
                  </w:r>
                  <w:r>
                    <w:rPr>
                      <w:rFonts w:hint="eastAsia" w:eastAsia="仿宋" w:cs="Times New Roman"/>
                      <w:color w:val="auto"/>
                      <w:kern w:val="0"/>
                      <w:szCs w:val="21"/>
                      <w:lang w:val="en-US" w:eastAsia="zh-CN"/>
                    </w:rPr>
                    <w:t>一</w:t>
                  </w:r>
                  <w:r>
                    <w:rPr>
                      <w:rFonts w:hint="eastAsia" w:ascii="Times New Roman" w:hAnsi="Times New Roman" w:eastAsia="仿宋" w:cs="Times New Roman"/>
                      <w:color w:val="auto"/>
                      <w:kern w:val="0"/>
                      <w:szCs w:val="21"/>
                      <w:lang w:val="en-US" w:eastAsia="zh-CN"/>
                    </w:rPr>
                    <w:t>根</w:t>
                  </w:r>
                  <w:r>
                    <w:rPr>
                      <w:rFonts w:hint="eastAsia" w:eastAsia="仿宋" w:cs="Times New Roman"/>
                      <w:color w:val="auto"/>
                      <w:kern w:val="0"/>
                      <w:szCs w:val="21"/>
                      <w:lang w:val="en-US" w:eastAsia="zh-CN"/>
                    </w:rPr>
                    <w:t>15m</w:t>
                  </w:r>
                  <w:r>
                    <w:rPr>
                      <w:rFonts w:hint="eastAsia" w:ascii="Times New Roman" w:hAnsi="Times New Roman" w:eastAsia="仿宋" w:cs="Times New Roman"/>
                      <w:color w:val="auto"/>
                      <w:kern w:val="0"/>
                      <w:szCs w:val="21"/>
                      <w:lang w:val="en-US" w:eastAsia="zh-CN"/>
                    </w:rPr>
                    <w:t>高排气筒</w:t>
                  </w:r>
                  <w:r>
                    <w:rPr>
                      <w:rFonts w:hint="eastAsia" w:eastAsia="仿宋" w:cs="Times New Roman"/>
                      <w:color w:val="auto"/>
                      <w:kern w:val="0"/>
                      <w:szCs w:val="21"/>
                      <w:lang w:val="en-US" w:eastAsia="zh-CN"/>
                    </w:rPr>
                    <w:t>（DA002）</w:t>
                  </w:r>
                  <w:r>
                    <w:rPr>
                      <w:rFonts w:hint="eastAsia" w:ascii="Times New Roman" w:hAnsi="Times New Roman" w:eastAsia="仿宋" w:cs="Times New Roman"/>
                      <w:color w:val="auto"/>
                      <w:kern w:val="0"/>
                      <w:szCs w:val="21"/>
                      <w:lang w:val="en-US" w:eastAsia="zh-CN"/>
                    </w:rPr>
                    <w:t>排放</w:t>
                  </w:r>
                </w:p>
              </w:tc>
            </w:tr>
            <w:tr w14:paraId="1C8D5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067D8BF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shd w:val="clear" w:color="auto" w:fill="auto"/>
                  <w:noWrap w:val="0"/>
                  <w:vAlign w:val="center"/>
                </w:tcPr>
                <w:p w14:paraId="6D9DACE0">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G5</w:t>
                  </w:r>
                </w:p>
              </w:tc>
              <w:tc>
                <w:tcPr>
                  <w:tcW w:w="716" w:type="pct"/>
                  <w:noWrap w:val="0"/>
                  <w:vAlign w:val="center"/>
                </w:tcPr>
                <w:p w14:paraId="258A3ED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磨圆</w:t>
                  </w:r>
                </w:p>
              </w:tc>
              <w:tc>
                <w:tcPr>
                  <w:tcW w:w="1556" w:type="pct"/>
                  <w:noWrap w:val="0"/>
                  <w:vAlign w:val="center"/>
                </w:tcPr>
                <w:p w14:paraId="76D6C6E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磨圆粉尘：颗粒物</w:t>
                  </w:r>
                </w:p>
              </w:tc>
              <w:tc>
                <w:tcPr>
                  <w:tcW w:w="1877" w:type="pct"/>
                  <w:noWrap w:val="0"/>
                  <w:vAlign w:val="center"/>
                </w:tcPr>
                <w:p w14:paraId="790FBB80">
                  <w:pPr>
                    <w:keepNext w:val="0"/>
                    <w:keepLines w:val="0"/>
                    <w:suppressLineNumbers w:val="0"/>
                    <w:spacing w:before="0" w:beforeAutospacing="0" w:after="0" w:afterAutospacing="0" w:line="240" w:lineRule="auto"/>
                    <w:ind w:left="0" w:right="0"/>
                    <w:jc w:val="both"/>
                    <w:rPr>
                      <w:rFonts w:hint="eastAsia" w:eastAsia="仿宋" w:cs="Times New Roman"/>
                      <w:color w:val="auto"/>
                      <w:kern w:val="0"/>
                      <w:szCs w:val="21"/>
                      <w:lang w:val="en-US" w:eastAsia="zh-CN"/>
                    </w:rPr>
                  </w:pPr>
                  <w:r>
                    <w:rPr>
                      <w:rFonts w:hint="eastAsia" w:ascii="Times New Roman" w:hAnsi="Times New Roman" w:eastAsia="仿宋" w:cs="Times New Roman"/>
                      <w:color w:val="auto"/>
                      <w:szCs w:val="21"/>
                      <w:lang w:val="en-US" w:eastAsia="zh-CN" w:bidi="en-US"/>
                    </w:rPr>
                    <w:t>磨圆粉尘经</w:t>
                  </w:r>
                  <w:r>
                    <w:rPr>
                      <w:rFonts w:hint="eastAsia" w:ascii="Times New Roman" w:hAnsi="Times New Roman" w:eastAsia="仿宋" w:cs="Times New Roman"/>
                      <w:color w:val="auto"/>
                      <w:kern w:val="0"/>
                      <w:szCs w:val="21"/>
                      <w:lang w:val="en-US" w:eastAsia="zh-CN"/>
                    </w:rPr>
                    <w:t>集气罩</w:t>
                  </w:r>
                  <w:r>
                    <w:rPr>
                      <w:rFonts w:hint="eastAsia" w:eastAsia="仿宋" w:cs="Times New Roman"/>
                      <w:color w:val="auto"/>
                      <w:kern w:val="0"/>
                      <w:szCs w:val="21"/>
                      <w:lang w:val="en-US" w:eastAsia="zh-CN"/>
                    </w:rPr>
                    <w:t>（设垂帘）</w:t>
                  </w:r>
                  <w:r>
                    <w:rPr>
                      <w:rFonts w:hint="eastAsia" w:ascii="Times New Roman" w:hAnsi="Times New Roman" w:eastAsia="仿宋" w:cs="Times New Roman"/>
                      <w:color w:val="auto"/>
                      <w:kern w:val="0"/>
                      <w:szCs w:val="21"/>
                      <w:lang w:val="en-US" w:eastAsia="zh-CN"/>
                    </w:rPr>
                    <w:t>收集后通过一套“袋式除尘”装置（TA001）处理，尾气通过一根15m高排气筒（DA001）排放</w:t>
                  </w:r>
                </w:p>
              </w:tc>
            </w:tr>
            <w:tr w14:paraId="0334A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noWrap w:val="0"/>
                  <w:vAlign w:val="center"/>
                </w:tcPr>
                <w:p w14:paraId="7898F30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噪声</w:t>
                  </w:r>
                </w:p>
              </w:tc>
              <w:tc>
                <w:tcPr>
                  <w:tcW w:w="496" w:type="pct"/>
                  <w:noWrap w:val="0"/>
                  <w:vAlign w:val="center"/>
                </w:tcPr>
                <w:p w14:paraId="30BB0F9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N</w:t>
                  </w:r>
                </w:p>
              </w:tc>
              <w:tc>
                <w:tcPr>
                  <w:tcW w:w="716" w:type="pct"/>
                  <w:noWrap w:val="0"/>
                  <w:vAlign w:val="center"/>
                </w:tcPr>
                <w:p w14:paraId="6707FA5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机械设备</w:t>
                  </w:r>
                </w:p>
              </w:tc>
              <w:tc>
                <w:tcPr>
                  <w:tcW w:w="1556" w:type="pct"/>
                  <w:noWrap w:val="0"/>
                  <w:vAlign w:val="center"/>
                </w:tcPr>
                <w:p w14:paraId="3E13F59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设备运转噪声</w:t>
                  </w:r>
                </w:p>
              </w:tc>
              <w:tc>
                <w:tcPr>
                  <w:tcW w:w="1877" w:type="pct"/>
                  <w:noWrap w:val="0"/>
                  <w:vAlign w:val="center"/>
                </w:tcPr>
                <w:p w14:paraId="233EC24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基础减震</w:t>
                  </w:r>
                  <w:r>
                    <w:rPr>
                      <w:rFonts w:hint="eastAsia" w:ascii="Times New Roman" w:hAnsi="Times New Roman" w:eastAsia="仿宋" w:cs="Times New Roman"/>
                      <w:color w:val="auto"/>
                      <w:kern w:val="0"/>
                      <w:szCs w:val="21"/>
                      <w:lang w:eastAsia="zh-CN"/>
                    </w:rPr>
                    <w:t>、</w:t>
                  </w:r>
                  <w:r>
                    <w:rPr>
                      <w:rFonts w:hint="default" w:ascii="Times New Roman" w:hAnsi="Times New Roman" w:eastAsia="仿宋" w:cs="Times New Roman"/>
                      <w:color w:val="auto"/>
                      <w:kern w:val="0"/>
                      <w:szCs w:val="21"/>
                      <w:lang w:eastAsia="zh-CN"/>
                    </w:rPr>
                    <w:t>厂房隔声、</w:t>
                  </w:r>
                  <w:r>
                    <w:rPr>
                      <w:rFonts w:hint="eastAsia" w:ascii="Times New Roman" w:hAnsi="Times New Roman" w:eastAsia="仿宋" w:cs="Times New Roman"/>
                      <w:color w:val="auto"/>
                      <w:kern w:val="0"/>
                      <w:szCs w:val="21"/>
                      <w:lang w:eastAsia="zh-CN"/>
                    </w:rPr>
                    <w:t>距离衰减</w:t>
                  </w:r>
                  <w:r>
                    <w:rPr>
                      <w:rFonts w:hint="default" w:ascii="Times New Roman" w:hAnsi="Times New Roman" w:eastAsia="仿宋" w:cs="Times New Roman"/>
                      <w:color w:val="auto"/>
                      <w:kern w:val="0"/>
                      <w:szCs w:val="21"/>
                      <w:lang w:eastAsia="zh-CN"/>
                    </w:rPr>
                    <w:t>等</w:t>
                  </w:r>
                </w:p>
              </w:tc>
            </w:tr>
            <w:tr w14:paraId="11FAD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restart"/>
                  <w:noWrap w:val="0"/>
                  <w:vAlign w:val="center"/>
                </w:tcPr>
                <w:p w14:paraId="309E2FB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固废</w:t>
                  </w:r>
                </w:p>
              </w:tc>
              <w:tc>
                <w:tcPr>
                  <w:tcW w:w="496" w:type="pct"/>
                  <w:noWrap w:val="0"/>
                  <w:vAlign w:val="center"/>
                </w:tcPr>
                <w:p w14:paraId="6070EA1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S1</w:t>
                  </w:r>
                </w:p>
              </w:tc>
              <w:tc>
                <w:tcPr>
                  <w:tcW w:w="716" w:type="pct"/>
                  <w:noWrap w:val="0"/>
                  <w:vAlign w:val="center"/>
                </w:tcPr>
                <w:p w14:paraId="58C52CC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下料</w:t>
                  </w:r>
                </w:p>
              </w:tc>
              <w:tc>
                <w:tcPr>
                  <w:tcW w:w="1556" w:type="pct"/>
                  <w:vMerge w:val="restart"/>
                  <w:noWrap w:val="0"/>
                  <w:vAlign w:val="center"/>
                </w:tcPr>
                <w:p w14:paraId="4794CD1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kern w:val="0"/>
                      <w:szCs w:val="21"/>
                      <w:lang w:eastAsia="zh-CN"/>
                    </w:rPr>
                  </w:pPr>
                  <w:r>
                    <w:rPr>
                      <w:rFonts w:hint="eastAsia" w:eastAsia="仿宋" w:cs="Times New Roman"/>
                      <w:color w:val="auto"/>
                      <w:kern w:val="0"/>
                      <w:szCs w:val="21"/>
                      <w:lang w:val="en-US" w:eastAsia="zh-CN"/>
                    </w:rPr>
                    <w:t>金属边角料</w:t>
                  </w:r>
                </w:p>
              </w:tc>
              <w:tc>
                <w:tcPr>
                  <w:tcW w:w="1877" w:type="pct"/>
                  <w:vMerge w:val="restart"/>
                  <w:noWrap w:val="0"/>
                  <w:vAlign w:val="center"/>
                </w:tcPr>
                <w:p w14:paraId="22E671E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eastAsia" w:ascii="Times New Roman" w:hAnsi="Times New Roman" w:eastAsia="仿宋" w:cs="Times New Roman"/>
                      <w:color w:val="auto"/>
                      <w:kern w:val="0"/>
                      <w:szCs w:val="21"/>
                      <w:lang w:val="en-US" w:eastAsia="zh-CN"/>
                    </w:rPr>
                    <w:t>外售综合利用</w:t>
                  </w:r>
                </w:p>
              </w:tc>
            </w:tr>
            <w:tr w14:paraId="3045D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2E95D40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noWrap w:val="0"/>
                  <w:vAlign w:val="center"/>
                </w:tcPr>
                <w:p w14:paraId="5C31E4A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S3</w:t>
                  </w:r>
                </w:p>
              </w:tc>
              <w:tc>
                <w:tcPr>
                  <w:tcW w:w="716" w:type="pct"/>
                  <w:noWrap w:val="0"/>
                  <w:vAlign w:val="center"/>
                </w:tcPr>
                <w:p w14:paraId="65A59B6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机加工</w:t>
                  </w:r>
                </w:p>
              </w:tc>
              <w:tc>
                <w:tcPr>
                  <w:tcW w:w="1556" w:type="pct"/>
                  <w:vMerge w:val="continue"/>
                  <w:noWrap w:val="0"/>
                  <w:vAlign w:val="center"/>
                </w:tcPr>
                <w:p w14:paraId="703A4CB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kern w:val="0"/>
                      <w:szCs w:val="21"/>
                      <w:lang w:eastAsia="zh-CN"/>
                    </w:rPr>
                  </w:pPr>
                </w:p>
              </w:tc>
              <w:tc>
                <w:tcPr>
                  <w:tcW w:w="1877" w:type="pct"/>
                  <w:vMerge w:val="continue"/>
                  <w:noWrap w:val="0"/>
                  <w:vAlign w:val="center"/>
                </w:tcPr>
                <w:p w14:paraId="017D789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r>
            <w:tr w14:paraId="7C1C0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0846331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noWrap w:val="0"/>
                  <w:vAlign w:val="center"/>
                </w:tcPr>
                <w:p w14:paraId="43C19737">
                  <w:pPr>
                    <w:keepNext w:val="0"/>
                    <w:keepLines w:val="0"/>
                    <w:widowControl/>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S2</w:t>
                  </w:r>
                </w:p>
              </w:tc>
              <w:tc>
                <w:tcPr>
                  <w:tcW w:w="716" w:type="pct"/>
                  <w:noWrap w:val="0"/>
                  <w:vAlign w:val="center"/>
                </w:tcPr>
                <w:p w14:paraId="7364EA64">
                  <w:pPr>
                    <w:keepNext w:val="0"/>
                    <w:keepLines w:val="0"/>
                    <w:widowControl/>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下料</w:t>
                  </w:r>
                </w:p>
              </w:tc>
              <w:tc>
                <w:tcPr>
                  <w:tcW w:w="1556" w:type="pct"/>
                  <w:vMerge w:val="restart"/>
                  <w:noWrap w:val="0"/>
                  <w:vAlign w:val="center"/>
                </w:tcPr>
                <w:p w14:paraId="4FB227A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kern w:val="0"/>
                      <w:szCs w:val="21"/>
                      <w:lang w:eastAsia="zh-CN"/>
                    </w:rPr>
                  </w:pPr>
                  <w:r>
                    <w:rPr>
                      <w:rFonts w:hint="eastAsia" w:eastAsia="仿宋" w:cs="Times New Roman"/>
                      <w:color w:val="auto"/>
                      <w:kern w:val="0"/>
                      <w:szCs w:val="21"/>
                      <w:lang w:val="en-US" w:eastAsia="zh-CN"/>
                    </w:rPr>
                    <w:t>废切削液</w:t>
                  </w:r>
                </w:p>
              </w:tc>
              <w:tc>
                <w:tcPr>
                  <w:tcW w:w="1877" w:type="pct"/>
                  <w:vMerge w:val="restart"/>
                  <w:noWrap w:val="0"/>
                  <w:vAlign w:val="center"/>
                </w:tcPr>
                <w:p w14:paraId="1F8B86C6">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eastAsia="zh-CN"/>
                    </w:rPr>
                    <w:t>委托有资质单位处置</w:t>
                  </w:r>
                </w:p>
              </w:tc>
            </w:tr>
            <w:tr w14:paraId="7DC70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495F323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shd w:val="clear" w:color="auto" w:fill="auto"/>
                  <w:noWrap w:val="0"/>
                  <w:vAlign w:val="center"/>
                </w:tcPr>
                <w:p w14:paraId="464A2FB6">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S4</w:t>
                  </w:r>
                </w:p>
              </w:tc>
              <w:tc>
                <w:tcPr>
                  <w:tcW w:w="716" w:type="pct"/>
                  <w:vMerge w:val="restart"/>
                  <w:noWrap w:val="0"/>
                  <w:vAlign w:val="center"/>
                </w:tcPr>
                <w:p w14:paraId="7E9C87C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拉毛</w:t>
                  </w:r>
                </w:p>
              </w:tc>
              <w:tc>
                <w:tcPr>
                  <w:tcW w:w="1556" w:type="pct"/>
                  <w:vMerge w:val="continue"/>
                  <w:noWrap w:val="0"/>
                  <w:vAlign w:val="center"/>
                </w:tcPr>
                <w:p w14:paraId="1595C13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kern w:val="0"/>
                      <w:szCs w:val="21"/>
                      <w:lang w:eastAsia="zh-CN"/>
                    </w:rPr>
                  </w:pPr>
                </w:p>
              </w:tc>
              <w:tc>
                <w:tcPr>
                  <w:tcW w:w="1877" w:type="pct"/>
                  <w:vMerge w:val="continue"/>
                  <w:shd w:val="clear" w:color="auto" w:fill="auto"/>
                  <w:noWrap w:val="0"/>
                  <w:vAlign w:val="center"/>
                </w:tcPr>
                <w:p w14:paraId="6E2B9636">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p>
              </w:tc>
            </w:tr>
            <w:tr w14:paraId="30B47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6025D5E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shd w:val="clear" w:color="auto" w:fill="auto"/>
                  <w:noWrap w:val="0"/>
                  <w:vAlign w:val="center"/>
                </w:tcPr>
                <w:p w14:paraId="5E430371">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S5</w:t>
                  </w:r>
                </w:p>
              </w:tc>
              <w:tc>
                <w:tcPr>
                  <w:tcW w:w="716" w:type="pct"/>
                  <w:vMerge w:val="continue"/>
                  <w:noWrap w:val="0"/>
                  <w:vAlign w:val="center"/>
                </w:tcPr>
                <w:p w14:paraId="33F282A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p>
              </w:tc>
              <w:tc>
                <w:tcPr>
                  <w:tcW w:w="1556" w:type="pct"/>
                  <w:shd w:val="clear" w:color="auto" w:fill="auto"/>
                  <w:noWrap w:val="0"/>
                  <w:vAlign w:val="center"/>
                </w:tcPr>
                <w:p w14:paraId="771254CC">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bCs/>
                      <w:color w:val="auto"/>
                      <w:kern w:val="0"/>
                      <w:sz w:val="21"/>
                      <w:szCs w:val="21"/>
                      <w:lang w:val="en-US" w:eastAsia="zh-CN" w:bidi="ar-SA"/>
                    </w:rPr>
                  </w:pPr>
                  <w:r>
                    <w:rPr>
                      <w:rFonts w:hint="eastAsia" w:eastAsia="仿宋" w:cs="Times New Roman"/>
                      <w:color w:val="auto"/>
                      <w:kern w:val="0"/>
                      <w:szCs w:val="21"/>
                      <w:lang w:val="en-US" w:eastAsia="zh-CN"/>
                    </w:rPr>
                    <w:t>金属边角料</w:t>
                  </w:r>
                </w:p>
              </w:tc>
              <w:tc>
                <w:tcPr>
                  <w:tcW w:w="1877" w:type="pct"/>
                  <w:noWrap w:val="0"/>
                  <w:vAlign w:val="center"/>
                </w:tcPr>
                <w:p w14:paraId="724C0A7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eastAsia" w:ascii="Times New Roman" w:hAnsi="Times New Roman" w:eastAsia="仿宋" w:cs="Times New Roman"/>
                      <w:color w:val="auto"/>
                      <w:kern w:val="0"/>
                      <w:szCs w:val="21"/>
                      <w:lang w:val="en-US" w:eastAsia="zh-CN"/>
                    </w:rPr>
                    <w:t>外售综合利用</w:t>
                  </w:r>
                </w:p>
              </w:tc>
            </w:tr>
            <w:tr w14:paraId="76753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138D024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noWrap w:val="0"/>
                  <w:vAlign w:val="center"/>
                </w:tcPr>
                <w:p w14:paraId="28C6135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S6</w:t>
                  </w:r>
                </w:p>
              </w:tc>
              <w:tc>
                <w:tcPr>
                  <w:tcW w:w="716" w:type="pct"/>
                  <w:vMerge w:val="continue"/>
                  <w:noWrap w:val="0"/>
                  <w:vAlign w:val="center"/>
                </w:tcPr>
                <w:p w14:paraId="66693B2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p>
              </w:tc>
              <w:tc>
                <w:tcPr>
                  <w:tcW w:w="1556" w:type="pct"/>
                  <w:noWrap w:val="0"/>
                  <w:vAlign w:val="center"/>
                </w:tcPr>
                <w:p w14:paraId="3AB9EA7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废砂纸</w:t>
                  </w:r>
                </w:p>
              </w:tc>
              <w:tc>
                <w:tcPr>
                  <w:tcW w:w="1877" w:type="pct"/>
                  <w:noWrap w:val="0"/>
                  <w:vAlign w:val="center"/>
                </w:tcPr>
                <w:p w14:paraId="12C24154">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外售综合利用</w:t>
                  </w:r>
                </w:p>
              </w:tc>
            </w:tr>
            <w:tr w14:paraId="030D5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3BFD23C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shd w:val="clear" w:color="auto" w:fill="auto"/>
                  <w:noWrap w:val="0"/>
                  <w:vAlign w:val="center"/>
                </w:tcPr>
                <w:p w14:paraId="4130BAE3">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S7</w:t>
                  </w:r>
                </w:p>
              </w:tc>
              <w:tc>
                <w:tcPr>
                  <w:tcW w:w="716" w:type="pct"/>
                  <w:shd w:val="clear" w:color="auto" w:fill="auto"/>
                  <w:noWrap w:val="0"/>
                  <w:vAlign w:val="center"/>
                </w:tcPr>
                <w:p w14:paraId="6C60218E">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涂胶</w:t>
                  </w:r>
                </w:p>
              </w:tc>
              <w:tc>
                <w:tcPr>
                  <w:tcW w:w="1556" w:type="pct"/>
                  <w:shd w:val="clear" w:color="auto" w:fill="auto"/>
                  <w:noWrap w:val="0"/>
                  <w:vAlign w:val="center"/>
                </w:tcPr>
                <w:p w14:paraId="313D8AFC">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含</w:t>
                  </w:r>
                  <w:r>
                    <w:rPr>
                      <w:rFonts w:hint="eastAsia" w:eastAsia="仿宋" w:cs="Times New Roman"/>
                      <w:color w:val="auto"/>
                      <w:kern w:val="0"/>
                      <w:szCs w:val="21"/>
                      <w:lang w:val="en-US" w:eastAsia="zh-CN"/>
                    </w:rPr>
                    <w:t>胶</w:t>
                  </w:r>
                  <w:r>
                    <w:rPr>
                      <w:rFonts w:hint="eastAsia" w:ascii="Times New Roman" w:hAnsi="Times New Roman" w:eastAsia="仿宋" w:cs="Times New Roman"/>
                      <w:color w:val="auto"/>
                      <w:kern w:val="0"/>
                      <w:szCs w:val="21"/>
                      <w:lang w:val="en-US" w:eastAsia="zh-CN"/>
                    </w:rPr>
                    <w:t>劳保用品</w:t>
                  </w:r>
                </w:p>
              </w:tc>
              <w:tc>
                <w:tcPr>
                  <w:tcW w:w="1877" w:type="pct"/>
                  <w:shd w:val="clear" w:color="auto" w:fill="auto"/>
                  <w:noWrap w:val="0"/>
                  <w:vAlign w:val="center"/>
                </w:tcPr>
                <w:p w14:paraId="26C898CE">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eastAsia="zh-CN"/>
                    </w:rPr>
                    <w:t>委托有资质单位处置</w:t>
                  </w:r>
                </w:p>
              </w:tc>
            </w:tr>
            <w:tr w14:paraId="36A24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12C301F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shd w:val="clear" w:color="auto" w:fill="auto"/>
                  <w:noWrap w:val="0"/>
                  <w:vAlign w:val="center"/>
                </w:tcPr>
                <w:p w14:paraId="492503FE">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S8</w:t>
                  </w:r>
                </w:p>
              </w:tc>
              <w:tc>
                <w:tcPr>
                  <w:tcW w:w="716" w:type="pct"/>
                  <w:shd w:val="clear" w:color="auto" w:fill="auto"/>
                  <w:noWrap w:val="0"/>
                  <w:vAlign w:val="center"/>
                </w:tcPr>
                <w:p w14:paraId="506C5161">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磨圆</w:t>
                  </w:r>
                </w:p>
              </w:tc>
              <w:tc>
                <w:tcPr>
                  <w:tcW w:w="1556" w:type="pct"/>
                  <w:shd w:val="clear" w:color="auto" w:fill="auto"/>
                  <w:noWrap w:val="0"/>
                  <w:vAlign w:val="center"/>
                </w:tcPr>
                <w:p w14:paraId="552DC563">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橡胶边角料</w:t>
                  </w:r>
                </w:p>
              </w:tc>
              <w:tc>
                <w:tcPr>
                  <w:tcW w:w="1877" w:type="pct"/>
                  <w:shd w:val="clear" w:color="auto" w:fill="auto"/>
                  <w:noWrap w:val="0"/>
                  <w:vAlign w:val="center"/>
                </w:tcPr>
                <w:p w14:paraId="79E48FC8">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外售综合利用</w:t>
                  </w:r>
                </w:p>
              </w:tc>
            </w:tr>
            <w:tr w14:paraId="39428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1E826F9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noWrap w:val="0"/>
                  <w:vAlign w:val="center"/>
                </w:tcPr>
                <w:p w14:paraId="17FC97B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w:t>
                  </w:r>
                </w:p>
              </w:tc>
              <w:tc>
                <w:tcPr>
                  <w:tcW w:w="716" w:type="pct"/>
                  <w:vMerge w:val="restart"/>
                  <w:noWrap w:val="0"/>
                  <w:vAlign w:val="center"/>
                </w:tcPr>
                <w:p w14:paraId="5387679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eastAsia" w:ascii="Times New Roman" w:hAnsi="Times New Roman" w:eastAsia="仿宋" w:cs="Times New Roman"/>
                      <w:color w:val="auto"/>
                      <w:kern w:val="0"/>
                      <w:szCs w:val="21"/>
                      <w:lang w:eastAsia="zh-CN"/>
                    </w:rPr>
                    <w:t>废气处理</w:t>
                  </w:r>
                </w:p>
              </w:tc>
              <w:tc>
                <w:tcPr>
                  <w:tcW w:w="1556" w:type="pct"/>
                  <w:noWrap w:val="0"/>
                  <w:vAlign w:val="center"/>
                </w:tcPr>
                <w:p w14:paraId="4EE9958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收集粉尘</w:t>
                  </w:r>
                </w:p>
              </w:tc>
              <w:tc>
                <w:tcPr>
                  <w:tcW w:w="1877" w:type="pct"/>
                  <w:vMerge w:val="restart"/>
                  <w:noWrap w:val="0"/>
                  <w:vAlign w:val="center"/>
                </w:tcPr>
                <w:p w14:paraId="3540D9B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外售综合利用</w:t>
                  </w:r>
                </w:p>
              </w:tc>
            </w:tr>
            <w:tr w14:paraId="7EE60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4EC06D0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noWrap w:val="0"/>
                  <w:vAlign w:val="center"/>
                </w:tcPr>
                <w:p w14:paraId="6ACDB20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w:t>
                  </w:r>
                </w:p>
              </w:tc>
              <w:tc>
                <w:tcPr>
                  <w:tcW w:w="716" w:type="pct"/>
                  <w:vMerge w:val="continue"/>
                  <w:noWrap w:val="0"/>
                  <w:vAlign w:val="center"/>
                </w:tcPr>
                <w:p w14:paraId="19B4D19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1556" w:type="pct"/>
                  <w:noWrap w:val="0"/>
                  <w:vAlign w:val="center"/>
                </w:tcPr>
                <w:p w14:paraId="31A086C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废布袋</w:t>
                  </w:r>
                </w:p>
              </w:tc>
              <w:tc>
                <w:tcPr>
                  <w:tcW w:w="1877" w:type="pct"/>
                  <w:vMerge w:val="continue"/>
                  <w:noWrap w:val="0"/>
                  <w:vAlign w:val="center"/>
                </w:tcPr>
                <w:p w14:paraId="1B46976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r>
            <w:tr w14:paraId="0C888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67C0823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shd w:val="clear" w:color="auto" w:fill="auto"/>
                  <w:noWrap w:val="0"/>
                  <w:vAlign w:val="center"/>
                </w:tcPr>
                <w:p w14:paraId="0ED827FA">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eastAsia="zh-CN"/>
                    </w:rPr>
                    <w:t>/</w:t>
                  </w:r>
                </w:p>
              </w:tc>
              <w:tc>
                <w:tcPr>
                  <w:tcW w:w="716" w:type="pct"/>
                  <w:vMerge w:val="continue"/>
                  <w:shd w:val="clear" w:color="auto" w:fill="auto"/>
                  <w:noWrap w:val="0"/>
                  <w:vAlign w:val="center"/>
                </w:tcPr>
                <w:p w14:paraId="528D90AD">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p>
              </w:tc>
              <w:tc>
                <w:tcPr>
                  <w:tcW w:w="1556" w:type="pct"/>
                  <w:shd w:val="clear" w:color="auto" w:fill="auto"/>
                  <w:noWrap w:val="0"/>
                  <w:vAlign w:val="center"/>
                </w:tcPr>
                <w:p w14:paraId="06A5652A">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喷淋废液</w:t>
                  </w:r>
                </w:p>
              </w:tc>
              <w:tc>
                <w:tcPr>
                  <w:tcW w:w="1877" w:type="pct"/>
                  <w:vMerge w:val="restart"/>
                  <w:noWrap w:val="0"/>
                  <w:vAlign w:val="center"/>
                </w:tcPr>
                <w:p w14:paraId="41827A58">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eastAsia="zh-CN"/>
                    </w:rPr>
                  </w:pPr>
                  <w:r>
                    <w:rPr>
                      <w:rFonts w:hint="eastAsia" w:ascii="Times New Roman" w:hAnsi="Times New Roman" w:eastAsia="仿宋" w:cs="Times New Roman"/>
                      <w:color w:val="auto"/>
                      <w:kern w:val="0"/>
                      <w:szCs w:val="21"/>
                      <w:lang w:eastAsia="zh-CN"/>
                    </w:rPr>
                    <w:t>委托有资质单位处置</w:t>
                  </w:r>
                </w:p>
              </w:tc>
            </w:tr>
            <w:tr w14:paraId="0909D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1E94C6A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noWrap w:val="0"/>
                  <w:vAlign w:val="center"/>
                </w:tcPr>
                <w:p w14:paraId="547B5DA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w:t>
                  </w:r>
                </w:p>
              </w:tc>
              <w:tc>
                <w:tcPr>
                  <w:tcW w:w="716" w:type="pct"/>
                  <w:vMerge w:val="continue"/>
                  <w:noWrap w:val="0"/>
                  <w:vAlign w:val="center"/>
                </w:tcPr>
                <w:p w14:paraId="316E48A0">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eastAsia="zh-CN"/>
                    </w:rPr>
                  </w:pPr>
                </w:p>
              </w:tc>
              <w:tc>
                <w:tcPr>
                  <w:tcW w:w="1556" w:type="pct"/>
                  <w:noWrap w:val="0"/>
                  <w:vAlign w:val="center"/>
                </w:tcPr>
                <w:p w14:paraId="1494F140">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eastAsia="zh-CN"/>
                    </w:rPr>
                    <w:t>废活性炭</w:t>
                  </w:r>
                </w:p>
              </w:tc>
              <w:tc>
                <w:tcPr>
                  <w:tcW w:w="1877" w:type="pct"/>
                  <w:vMerge w:val="continue"/>
                  <w:noWrap w:val="0"/>
                  <w:vAlign w:val="center"/>
                </w:tcPr>
                <w:p w14:paraId="52450E31">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p>
              </w:tc>
            </w:tr>
            <w:tr w14:paraId="7A47F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3497060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noWrap w:val="0"/>
                  <w:vAlign w:val="center"/>
                </w:tcPr>
                <w:p w14:paraId="5100882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w:t>
                  </w:r>
                </w:p>
              </w:tc>
              <w:tc>
                <w:tcPr>
                  <w:tcW w:w="716" w:type="pct"/>
                  <w:vMerge w:val="restart"/>
                  <w:noWrap w:val="0"/>
                  <w:vAlign w:val="center"/>
                </w:tcPr>
                <w:p w14:paraId="22BFBAE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原料包装</w:t>
                  </w:r>
                </w:p>
              </w:tc>
              <w:tc>
                <w:tcPr>
                  <w:tcW w:w="1556" w:type="pct"/>
                  <w:noWrap w:val="0"/>
                  <w:vAlign w:val="center"/>
                </w:tcPr>
                <w:p w14:paraId="66D0DA7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废包装桶</w:t>
                  </w:r>
                </w:p>
              </w:tc>
              <w:tc>
                <w:tcPr>
                  <w:tcW w:w="1877" w:type="pct"/>
                  <w:vMerge w:val="continue"/>
                  <w:noWrap w:val="0"/>
                  <w:vAlign w:val="center"/>
                </w:tcPr>
                <w:p w14:paraId="71C88461">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eastAsia="zh-CN"/>
                    </w:rPr>
                  </w:pPr>
                </w:p>
              </w:tc>
            </w:tr>
            <w:tr w14:paraId="5C660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6A5CA89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noWrap w:val="0"/>
                  <w:vAlign w:val="center"/>
                </w:tcPr>
                <w:p w14:paraId="1104F9F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w:t>
                  </w:r>
                </w:p>
              </w:tc>
              <w:tc>
                <w:tcPr>
                  <w:tcW w:w="716" w:type="pct"/>
                  <w:vMerge w:val="continue"/>
                  <w:noWrap w:val="0"/>
                  <w:vAlign w:val="center"/>
                </w:tcPr>
                <w:p w14:paraId="248B63E8">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p>
              </w:tc>
              <w:tc>
                <w:tcPr>
                  <w:tcW w:w="1556" w:type="pct"/>
                  <w:noWrap w:val="0"/>
                  <w:vAlign w:val="center"/>
                </w:tcPr>
                <w:p w14:paraId="6649AC9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废包装材料</w:t>
                  </w:r>
                </w:p>
              </w:tc>
              <w:tc>
                <w:tcPr>
                  <w:tcW w:w="1877" w:type="pct"/>
                  <w:noWrap w:val="0"/>
                  <w:vAlign w:val="center"/>
                </w:tcPr>
                <w:p w14:paraId="41C4C680">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eastAsia="zh-CN"/>
                    </w:rPr>
                  </w:pPr>
                  <w:r>
                    <w:rPr>
                      <w:rFonts w:hint="eastAsia" w:ascii="Times New Roman" w:hAnsi="Times New Roman" w:eastAsia="仿宋" w:cs="Times New Roman"/>
                      <w:color w:val="auto"/>
                      <w:kern w:val="0"/>
                      <w:szCs w:val="21"/>
                      <w:lang w:val="en-US" w:eastAsia="zh-CN"/>
                    </w:rPr>
                    <w:t>外售综合利用</w:t>
                  </w:r>
                </w:p>
              </w:tc>
            </w:tr>
            <w:tr w14:paraId="4D574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3" w:type="pct"/>
                  <w:vMerge w:val="continue"/>
                  <w:noWrap w:val="0"/>
                  <w:vAlign w:val="center"/>
                </w:tcPr>
                <w:p w14:paraId="0E9A1F3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p>
              </w:tc>
              <w:tc>
                <w:tcPr>
                  <w:tcW w:w="496" w:type="pct"/>
                  <w:noWrap w:val="0"/>
                  <w:vAlign w:val="center"/>
                </w:tcPr>
                <w:p w14:paraId="3E81747E">
                  <w:pPr>
                    <w:keepNext w:val="0"/>
                    <w:keepLines w:val="0"/>
                    <w:widowControl/>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w:t>
                  </w:r>
                </w:p>
              </w:tc>
              <w:tc>
                <w:tcPr>
                  <w:tcW w:w="716" w:type="pct"/>
                  <w:noWrap w:val="0"/>
                  <w:vAlign w:val="center"/>
                </w:tcPr>
                <w:p w14:paraId="5D69B83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eastAsia="zh-CN"/>
                    </w:rPr>
                    <w:t>生活</w:t>
                  </w:r>
                </w:p>
              </w:tc>
              <w:tc>
                <w:tcPr>
                  <w:tcW w:w="1556" w:type="pct"/>
                  <w:noWrap w:val="0"/>
                  <w:vAlign w:val="center"/>
                </w:tcPr>
                <w:p w14:paraId="160CB19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eastAsia="zh-CN"/>
                    </w:rPr>
                    <w:t>生活垃圾</w:t>
                  </w:r>
                </w:p>
              </w:tc>
              <w:tc>
                <w:tcPr>
                  <w:tcW w:w="1877" w:type="pct"/>
                  <w:noWrap w:val="0"/>
                  <w:vAlign w:val="center"/>
                </w:tcPr>
                <w:p w14:paraId="23AC994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eastAsia" w:ascii="Times New Roman" w:hAnsi="Times New Roman" w:eastAsia="仿宋" w:cs="Times New Roman"/>
                      <w:color w:val="auto"/>
                      <w:kern w:val="0"/>
                      <w:szCs w:val="21"/>
                      <w:lang w:eastAsia="zh-CN"/>
                    </w:rPr>
                    <w:t>环卫部门统一清运</w:t>
                  </w:r>
                </w:p>
              </w:tc>
            </w:tr>
          </w:tbl>
          <w:p w14:paraId="66834C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cs="Times New Roman"/>
                <w:color w:val="auto"/>
                <w:sz w:val="21"/>
                <w:lang w:val="en-US" w:eastAsia="zh-CN"/>
              </w:rPr>
            </w:pPr>
          </w:p>
        </w:tc>
      </w:tr>
      <w:tr w14:paraId="51EE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trPr>
        <w:tc>
          <w:tcPr>
            <w:tcW w:w="436" w:type="dxa"/>
            <w:noWrap w:val="0"/>
            <w:vAlign w:val="center"/>
          </w:tcPr>
          <w:p w14:paraId="1496F016">
            <w:pPr>
              <w:pStyle w:val="22"/>
              <w:keepNext w:val="0"/>
              <w:keepLines w:val="0"/>
              <w:suppressLineNumbers w:val="0"/>
              <w:ind w:left="0" w:right="0"/>
              <w:jc w:val="center"/>
              <w:rPr>
                <w:rFonts w:hint="default" w:ascii="Times New Roman" w:hAnsi="Times New Roman" w:eastAsia="黑体" w:cs="Times New Roman"/>
                <w:snapToGrid w:val="0"/>
                <w:color w:val="auto"/>
                <w:kern w:val="0"/>
                <w:sz w:val="36"/>
                <w:szCs w:val="36"/>
                <w:vertAlign w:val="baseline"/>
                <w:lang w:val="en-US" w:eastAsia="zh-CN" w:bidi="ar-SA"/>
              </w:rPr>
            </w:pPr>
            <w:r>
              <w:rPr>
                <w:rFonts w:hint="default" w:ascii="Times New Roman" w:hAnsi="Times New Roman" w:cs="Times New Roman"/>
                <w:b w:val="0"/>
                <w:bCs/>
                <w:color w:val="auto"/>
                <w:kern w:val="2"/>
                <w:sz w:val="21"/>
                <w:szCs w:val="21"/>
              </w:rPr>
              <w:t>与项目有关的原有环境污染问题</w:t>
            </w:r>
          </w:p>
        </w:tc>
        <w:tc>
          <w:tcPr>
            <w:tcW w:w="9212" w:type="dxa"/>
            <w:noWrap w:val="0"/>
            <w:vAlign w:val="top"/>
          </w:tcPr>
          <w:p w14:paraId="4275F849">
            <w:pPr>
              <w:pStyle w:val="2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常州金坛金岗机械制造有限公司成立于2005年06月27日，注册地址为</w:t>
            </w:r>
            <w:r>
              <w:rPr>
                <w:rFonts w:hint="default" w:ascii="Helvetica" w:hAnsi="Helvetica" w:eastAsia="Helvetica" w:cs="Helvetica"/>
                <w:i w:val="0"/>
                <w:iCs w:val="0"/>
                <w:caps w:val="0"/>
                <w:color w:val="auto"/>
                <w:spacing w:val="0"/>
                <w:sz w:val="21"/>
                <w:szCs w:val="21"/>
                <w:shd w:val="clear" w:color="auto" w:fill="FFFFFF"/>
              </w:rPr>
              <w:t>常州市金坛区西岗镇工业集中区</w:t>
            </w:r>
            <w:r>
              <w:rPr>
                <w:rFonts w:hint="eastAsia" w:ascii="Times New Roman" w:hAnsi="Times New Roman" w:eastAsia="宋体" w:cs="Times New Roman"/>
                <w:b w:val="0"/>
                <w:bCs w:val="0"/>
                <w:color w:val="auto"/>
                <w:kern w:val="2"/>
                <w:sz w:val="21"/>
                <w:szCs w:val="24"/>
                <w:lang w:val="en-US" w:eastAsia="zh-CN" w:bidi="ar-SA"/>
              </w:rPr>
              <w:t>，经营范围</w:t>
            </w:r>
            <w:r>
              <w:rPr>
                <w:rFonts w:hint="default" w:ascii="Helvetica" w:hAnsi="Helvetica" w:eastAsia="Helvetica" w:cs="Helvetica"/>
                <w:i w:val="0"/>
                <w:iCs w:val="0"/>
                <w:caps w:val="0"/>
                <w:color w:val="auto"/>
                <w:spacing w:val="0"/>
                <w:sz w:val="21"/>
                <w:szCs w:val="21"/>
                <w:shd w:val="clear" w:color="auto" w:fill="FFFFFF"/>
              </w:rPr>
              <w:t>机械零部件、铸铁件、机械工装模具、夹具的制造、加工与销售（依法须经批准的项目，经相关部门批准后方可开展经营活动）。</w:t>
            </w:r>
          </w:p>
          <w:p w14:paraId="1032FE53">
            <w:pPr>
              <w:pStyle w:val="2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常州金坛金岗机械制造有限公司于2024年重建厂房，相关厂房规划情况详见附件。</w:t>
            </w:r>
          </w:p>
          <w:p w14:paraId="6D936178">
            <w:pPr>
              <w:pStyle w:val="2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本项目为新建项目，租用常州金坛金岗机械制造有限公司的现有空置标准厂房，经现场勘查，无遗留环境污染问题。</w:t>
            </w:r>
          </w:p>
          <w:p w14:paraId="32A083F2">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28DC351D">
            <w:pPr>
              <w:pStyle w:val="25"/>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101BAC28">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52B8E968">
            <w:pPr>
              <w:pStyle w:val="25"/>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71A315E3">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2AABF2BC">
            <w:pPr>
              <w:pStyle w:val="25"/>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412E9AA6">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57BF0746">
            <w:pPr>
              <w:pStyle w:val="25"/>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6895EAE4">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2F7CCE3F">
            <w:pPr>
              <w:pStyle w:val="25"/>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4D9D7124">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12622689">
            <w:pPr>
              <w:pStyle w:val="25"/>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1CBB05D8">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4E46E475">
            <w:pPr>
              <w:pStyle w:val="25"/>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24CDFB90">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06747483">
            <w:pPr>
              <w:pStyle w:val="25"/>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2F0963F4">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643BBF49">
            <w:pPr>
              <w:pStyle w:val="8"/>
              <w:keepNext w:val="0"/>
              <w:keepLines w:val="0"/>
              <w:suppressLineNumbers w:val="0"/>
              <w:spacing w:beforeAutospacing="0" w:afterAutospacing="0"/>
              <w:ind w:left="0"/>
              <w:rPr>
                <w:rFonts w:hint="eastAsia" w:ascii="Times New Roman" w:hAnsi="Times New Roman" w:eastAsia="宋体" w:cs="Times New Roman"/>
                <w:b w:val="0"/>
                <w:bCs w:val="0"/>
                <w:color w:val="auto"/>
                <w:lang w:val="en-US" w:eastAsia="zh-CN"/>
              </w:rPr>
            </w:pPr>
          </w:p>
          <w:p w14:paraId="125A9EE2">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p>
          <w:p w14:paraId="2E6B9030">
            <w:pPr>
              <w:pStyle w:val="25"/>
              <w:keepNext w:val="0"/>
              <w:keepLines w:val="0"/>
              <w:suppressLineNumbers w:val="0"/>
              <w:spacing w:before="0" w:beforeAutospacing="0" w:after="0" w:afterAutospacing="0"/>
              <w:ind w:left="0" w:right="0"/>
              <w:rPr>
                <w:rFonts w:hint="default" w:ascii="仿宋_GB2312" w:hAnsi="Courier New" w:eastAsia="仿宋_GB2312" w:cs="仿宋_GB2312"/>
                <w:color w:val="auto"/>
                <w:kern w:val="2"/>
                <w:sz w:val="24"/>
                <w:szCs w:val="24"/>
                <w:lang w:val="en-US" w:eastAsia="zh-CN" w:bidi="ar-SA"/>
              </w:rPr>
            </w:pPr>
          </w:p>
        </w:tc>
      </w:tr>
    </w:tbl>
    <w:p w14:paraId="7ECFAEB6">
      <w:pPr>
        <w:pStyle w:val="22"/>
        <w:jc w:val="center"/>
        <w:rPr>
          <w:rFonts w:hint="default" w:ascii="Times New Roman" w:hAnsi="Times New Roman" w:eastAsia="黑体" w:cs="Times New Roman"/>
          <w:snapToGrid w:val="0"/>
          <w:color w:val="auto"/>
          <w:sz w:val="36"/>
          <w:szCs w:val="36"/>
        </w:rPr>
        <w:sectPr>
          <w:pgSz w:w="11906" w:h="16838"/>
          <w:pgMar w:top="1134" w:right="1400" w:bottom="1134" w:left="1088"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p w14:paraId="390B0598">
      <w:pPr>
        <w:pStyle w:val="22"/>
        <w:keepNext w:val="0"/>
        <w:keepLines w:val="0"/>
        <w:pageBreakBefore w:val="0"/>
        <w:widowControl/>
        <w:kinsoku/>
        <w:wordWrap/>
        <w:overflowPunct/>
        <w:topLinePunct w:val="0"/>
        <w:autoSpaceDE/>
        <w:autoSpaceDN/>
        <w:bidi w:val="0"/>
        <w:adjustRightInd/>
        <w:snapToGrid/>
        <w:spacing w:beforeLines="50" w:beforeAutospacing="0" w:afterLines="50" w:afterAutospacing="0"/>
        <w:jc w:val="center"/>
        <w:textAlignment w:val="auto"/>
        <w:outlineLvl w:val="0"/>
        <w:rPr>
          <w:rFonts w:hint="default" w:ascii="Times New Roman" w:hAnsi="Times New Roman" w:eastAsia="黑体" w:cs="Times New Roman"/>
          <w:snapToGrid w:val="0"/>
          <w:color w:val="auto"/>
          <w:sz w:val="30"/>
          <w:szCs w:val="30"/>
        </w:rPr>
      </w:pPr>
      <w:bookmarkStart w:id="5" w:name="_Toc1576"/>
      <w:bookmarkStart w:id="6" w:name="_Toc16798"/>
      <w:r>
        <w:rPr>
          <w:rFonts w:hint="default" w:ascii="Times New Roman" w:hAnsi="Times New Roman" w:eastAsia="黑体" w:cs="Times New Roman"/>
          <w:snapToGrid w:val="0"/>
          <w:color w:val="auto"/>
          <w:sz w:val="30"/>
          <w:szCs w:val="30"/>
        </w:rPr>
        <w:t>三、区域环境质量现状、环境保护目标及评价标准</w:t>
      </w:r>
      <w:bookmarkEnd w:id="5"/>
      <w:bookmarkEnd w:id="6"/>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9134"/>
      </w:tblGrid>
      <w:tr w14:paraId="5D6A3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458" w:type="dxa"/>
            <w:noWrap w:val="0"/>
            <w:vAlign w:val="center"/>
          </w:tcPr>
          <w:p w14:paraId="78063C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区域</w:t>
            </w:r>
          </w:p>
          <w:p w14:paraId="27D165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环境</w:t>
            </w:r>
          </w:p>
          <w:p w14:paraId="080780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质量</w:t>
            </w:r>
          </w:p>
          <w:p w14:paraId="6892E6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b w:val="0"/>
                <w:bCs w:val="0"/>
                <w:color w:val="auto"/>
                <w:kern w:val="0"/>
                <w:sz w:val="21"/>
                <w:szCs w:val="21"/>
              </w:rPr>
              <w:t>现状</w:t>
            </w:r>
          </w:p>
        </w:tc>
        <w:tc>
          <w:tcPr>
            <w:tcW w:w="9134" w:type="dxa"/>
            <w:noWrap w:val="0"/>
            <w:vAlign w:val="center"/>
          </w:tcPr>
          <w:p w14:paraId="735854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1、环境空气质量现状</w:t>
            </w:r>
          </w:p>
          <w:p w14:paraId="1F3F4C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（1）区域达标判定</w:t>
            </w:r>
          </w:p>
          <w:p w14:paraId="426EB2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根据《环境影响评价技术导则 大气环境》（HJ2.2-2018），项目所在区域达标情况判定优先采用国家或地方生态环境主管部门公开发布的环境质量报告或环境质量报告书中的数据或结论。</w:t>
            </w:r>
          </w:p>
          <w:p w14:paraId="2746F7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根据《常州市环境空气质量功能区划分规定》（常政办发</w:t>
            </w:r>
            <w:r>
              <w:rPr>
                <w:rFonts w:hint="eastAsia" w:cs="Times New Roman"/>
                <w:b w:val="0"/>
                <w:bCs w:val="0"/>
                <w:color w:val="auto"/>
                <w:lang w:val="en-US" w:eastAsia="zh-CN"/>
              </w:rPr>
              <w:t>〔</w:t>
            </w:r>
            <w:r>
              <w:rPr>
                <w:rFonts w:hint="default" w:ascii="Times New Roman" w:hAnsi="Times New Roman" w:eastAsia="宋体" w:cs="Times New Roman"/>
                <w:b w:val="0"/>
                <w:bCs w:val="0"/>
                <w:color w:val="auto"/>
                <w:lang w:val="en-US" w:eastAsia="zh-CN"/>
              </w:rPr>
              <w:t>2017</w:t>
            </w:r>
            <w:r>
              <w:rPr>
                <w:rFonts w:hint="eastAsia" w:cs="Times New Roman"/>
                <w:b w:val="0"/>
                <w:bCs w:val="0"/>
                <w:color w:val="auto"/>
                <w:lang w:val="en-US" w:eastAsia="zh-CN"/>
              </w:rPr>
              <w:t>〕</w:t>
            </w:r>
            <w:r>
              <w:rPr>
                <w:rFonts w:hint="default" w:ascii="Times New Roman" w:hAnsi="Times New Roman" w:eastAsia="宋体" w:cs="Times New Roman"/>
                <w:b w:val="0"/>
                <w:bCs w:val="0"/>
                <w:color w:val="auto"/>
                <w:lang w:val="en-US" w:eastAsia="zh-CN"/>
              </w:rPr>
              <w:t>160号），项目所在地环境空气质量功能为二类区。本污染物执行《环境空气质量标准》（GB3095-2012）二级标准。根据《202</w:t>
            </w:r>
            <w:r>
              <w:rPr>
                <w:rFonts w:hint="eastAsia" w:cs="Times New Roman"/>
                <w:b w:val="0"/>
                <w:bCs w:val="0"/>
                <w:color w:val="auto"/>
                <w:lang w:val="en-US" w:eastAsia="zh-CN"/>
              </w:rPr>
              <w:t>3</w:t>
            </w:r>
            <w:r>
              <w:rPr>
                <w:rFonts w:hint="eastAsia" w:ascii="Times New Roman" w:hAnsi="Times New Roman" w:eastAsia="宋体" w:cs="Times New Roman"/>
                <w:b w:val="0"/>
                <w:bCs w:val="0"/>
                <w:color w:val="auto"/>
                <w:lang w:val="en-US" w:eastAsia="zh-CN"/>
              </w:rPr>
              <w:t>年</w:t>
            </w:r>
            <w:r>
              <w:rPr>
                <w:rFonts w:hint="default" w:ascii="Times New Roman" w:hAnsi="Times New Roman" w:eastAsia="宋体" w:cs="Times New Roman"/>
                <w:b w:val="0"/>
                <w:bCs w:val="0"/>
                <w:color w:val="auto"/>
                <w:lang w:val="en-US" w:eastAsia="zh-CN"/>
              </w:rPr>
              <w:t>常州市生态环境</w:t>
            </w:r>
            <w:r>
              <w:rPr>
                <w:rFonts w:hint="eastAsia" w:cs="Times New Roman"/>
                <w:b w:val="0"/>
                <w:bCs w:val="0"/>
                <w:color w:val="auto"/>
                <w:lang w:val="en-US" w:eastAsia="zh-CN"/>
              </w:rPr>
              <w:t>状况公告</w:t>
            </w:r>
            <w:r>
              <w:rPr>
                <w:rFonts w:hint="default" w:ascii="Times New Roman" w:hAnsi="Times New Roman" w:eastAsia="宋体" w:cs="Times New Roman"/>
                <w:b w:val="0"/>
                <w:bCs w:val="0"/>
                <w:color w:val="auto"/>
                <w:lang w:val="en-US" w:eastAsia="zh-CN"/>
              </w:rPr>
              <w:t>》，项目所在区域常州市</w:t>
            </w:r>
            <w:r>
              <w:rPr>
                <w:rFonts w:hint="default" w:ascii="Times New Roman" w:hAnsi="Times New Roman" w:eastAsia="宋体" w:cs="Times New Roman"/>
                <w:color w:val="auto"/>
              </w:rPr>
              <w:t>大气基本污染物环境质量现状</w:t>
            </w:r>
            <w:r>
              <w:rPr>
                <w:rFonts w:hint="default" w:ascii="Times New Roman" w:hAnsi="Times New Roman" w:eastAsia="宋体" w:cs="Times New Roman"/>
                <w:b w:val="0"/>
                <w:bCs w:val="0"/>
                <w:color w:val="auto"/>
                <w:lang w:val="en-US" w:eastAsia="zh-CN"/>
              </w:rPr>
              <w:t>见下表：</w:t>
            </w:r>
          </w:p>
          <w:p w14:paraId="6048F54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表3-1  大气基本污染物环境质量现状</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9"/>
              <w:gridCol w:w="3107"/>
              <w:gridCol w:w="2030"/>
              <w:gridCol w:w="1185"/>
              <w:gridCol w:w="855"/>
              <w:gridCol w:w="790"/>
            </w:tblGrid>
            <w:tr w14:paraId="66FD7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tcBorders>
                    <w:tl2br w:val="nil"/>
                    <w:tr2bl w:val="nil"/>
                  </w:tcBorders>
                  <w:noWrap w:val="0"/>
                  <w:vAlign w:val="center"/>
                </w:tcPr>
                <w:p w14:paraId="66389A17">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污染物</w:t>
                  </w:r>
                </w:p>
              </w:tc>
              <w:tc>
                <w:tcPr>
                  <w:tcW w:w="3107" w:type="dxa"/>
                  <w:tcBorders>
                    <w:tl2br w:val="nil"/>
                    <w:tr2bl w:val="nil"/>
                  </w:tcBorders>
                  <w:noWrap w:val="0"/>
                  <w:vAlign w:val="center"/>
                </w:tcPr>
                <w:p w14:paraId="4DFE8618">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年评价指标</w:t>
                  </w:r>
                </w:p>
              </w:tc>
              <w:tc>
                <w:tcPr>
                  <w:tcW w:w="2030" w:type="dxa"/>
                  <w:tcBorders>
                    <w:tl2br w:val="nil"/>
                    <w:tr2bl w:val="nil"/>
                  </w:tcBorders>
                  <w:noWrap w:val="0"/>
                  <w:vAlign w:val="center"/>
                </w:tcPr>
                <w:p w14:paraId="3A6B0DDF">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现状浓度（μg/m</w:t>
                  </w:r>
                  <w:r>
                    <w:rPr>
                      <w:rFonts w:hint="default" w:ascii="Times New Roman" w:hAnsi="Times New Roman" w:eastAsia="仿宋" w:cs="Times New Roman"/>
                      <w:b w:val="0"/>
                      <w:bCs/>
                      <w:color w:val="auto"/>
                      <w:sz w:val="21"/>
                      <w:szCs w:val="21"/>
                      <w:vertAlign w:val="superscript"/>
                    </w:rPr>
                    <w:t>3</w:t>
                  </w:r>
                  <w:r>
                    <w:rPr>
                      <w:rFonts w:hint="default" w:ascii="Times New Roman" w:hAnsi="Times New Roman" w:eastAsia="仿宋" w:cs="Times New Roman"/>
                      <w:b w:val="0"/>
                      <w:bCs/>
                      <w:color w:val="auto"/>
                      <w:sz w:val="21"/>
                      <w:szCs w:val="21"/>
                    </w:rPr>
                    <w:t>）</w:t>
                  </w:r>
                </w:p>
              </w:tc>
              <w:tc>
                <w:tcPr>
                  <w:tcW w:w="1185" w:type="dxa"/>
                  <w:tcBorders>
                    <w:tl2br w:val="nil"/>
                    <w:tr2bl w:val="nil"/>
                  </w:tcBorders>
                  <w:noWrap w:val="0"/>
                  <w:vAlign w:val="center"/>
                </w:tcPr>
                <w:p w14:paraId="4FBE7C7F">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标准值</w:t>
                  </w:r>
                </w:p>
                <w:p w14:paraId="73008A3D">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（μg/m</w:t>
                  </w:r>
                  <w:r>
                    <w:rPr>
                      <w:rFonts w:hint="default" w:ascii="Times New Roman" w:hAnsi="Times New Roman" w:eastAsia="仿宋" w:cs="Times New Roman"/>
                      <w:b w:val="0"/>
                      <w:bCs/>
                      <w:color w:val="auto"/>
                      <w:sz w:val="21"/>
                      <w:szCs w:val="21"/>
                      <w:vertAlign w:val="superscript"/>
                    </w:rPr>
                    <w:t>3</w:t>
                  </w:r>
                  <w:r>
                    <w:rPr>
                      <w:rFonts w:hint="default" w:ascii="Times New Roman" w:hAnsi="Times New Roman" w:eastAsia="仿宋" w:cs="Times New Roman"/>
                      <w:b w:val="0"/>
                      <w:bCs/>
                      <w:color w:val="auto"/>
                      <w:sz w:val="21"/>
                      <w:szCs w:val="21"/>
                    </w:rPr>
                    <w:t>）</w:t>
                  </w:r>
                </w:p>
              </w:tc>
              <w:tc>
                <w:tcPr>
                  <w:tcW w:w="855" w:type="dxa"/>
                  <w:tcBorders>
                    <w:tl2br w:val="nil"/>
                    <w:tr2bl w:val="nil"/>
                  </w:tcBorders>
                  <w:noWrap w:val="0"/>
                  <w:vAlign w:val="center"/>
                </w:tcPr>
                <w:p w14:paraId="78B72268">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eastAsia" w:eastAsia="仿宋" w:cs="Times New Roman"/>
                      <w:b w:val="0"/>
                      <w:bCs/>
                      <w:color w:val="auto"/>
                      <w:sz w:val="21"/>
                      <w:szCs w:val="21"/>
                      <w:lang w:val="en-US" w:eastAsia="zh-CN"/>
                    </w:rPr>
                    <w:t>达</w:t>
                  </w:r>
                  <w:r>
                    <w:rPr>
                      <w:rFonts w:hint="default" w:ascii="Times New Roman" w:hAnsi="Times New Roman" w:eastAsia="仿宋" w:cs="Times New Roman"/>
                      <w:b w:val="0"/>
                      <w:bCs/>
                      <w:color w:val="auto"/>
                      <w:sz w:val="21"/>
                      <w:szCs w:val="21"/>
                    </w:rPr>
                    <w:t>标率</w:t>
                  </w:r>
                  <w:r>
                    <w:rPr>
                      <w:rFonts w:hint="eastAsia" w:eastAsia="仿宋" w:cs="Times New Roman"/>
                      <w:b w:val="0"/>
                      <w:bCs/>
                      <w:color w:val="auto"/>
                      <w:sz w:val="21"/>
                      <w:szCs w:val="21"/>
                      <w:lang w:eastAsia="zh-CN"/>
                    </w:rPr>
                    <w:t>（</w:t>
                  </w:r>
                  <w:r>
                    <w:rPr>
                      <w:rFonts w:hint="default" w:ascii="Times New Roman" w:hAnsi="Times New Roman" w:eastAsia="仿宋" w:cs="Times New Roman"/>
                      <w:b w:val="0"/>
                      <w:bCs/>
                      <w:color w:val="auto"/>
                      <w:sz w:val="21"/>
                      <w:szCs w:val="21"/>
                    </w:rPr>
                    <w:t>%</w:t>
                  </w:r>
                  <w:r>
                    <w:rPr>
                      <w:rFonts w:hint="eastAsia" w:eastAsia="仿宋" w:cs="Times New Roman"/>
                      <w:b w:val="0"/>
                      <w:bCs/>
                      <w:color w:val="auto"/>
                      <w:sz w:val="21"/>
                      <w:szCs w:val="21"/>
                      <w:lang w:eastAsia="zh-CN"/>
                    </w:rPr>
                    <w:t>）</w:t>
                  </w:r>
                </w:p>
              </w:tc>
              <w:tc>
                <w:tcPr>
                  <w:tcW w:w="790" w:type="dxa"/>
                  <w:tcBorders>
                    <w:tl2br w:val="nil"/>
                    <w:tr2bl w:val="nil"/>
                  </w:tcBorders>
                  <w:noWrap w:val="0"/>
                  <w:vAlign w:val="center"/>
                </w:tcPr>
                <w:p w14:paraId="726732E7">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达标情况</w:t>
                  </w:r>
                </w:p>
              </w:tc>
            </w:tr>
            <w:tr w14:paraId="4D112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Merge w:val="restart"/>
                  <w:tcBorders>
                    <w:tl2br w:val="nil"/>
                    <w:tr2bl w:val="nil"/>
                  </w:tcBorders>
                  <w:noWrap w:val="0"/>
                  <w:vAlign w:val="center"/>
                </w:tcPr>
                <w:p w14:paraId="421E9FC4">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SO</w:t>
                  </w:r>
                  <w:r>
                    <w:rPr>
                      <w:rFonts w:hint="default" w:ascii="Times New Roman" w:hAnsi="Times New Roman" w:eastAsia="仿宋" w:cs="Times New Roman"/>
                      <w:b w:val="0"/>
                      <w:bCs/>
                      <w:color w:val="auto"/>
                      <w:sz w:val="21"/>
                      <w:szCs w:val="21"/>
                      <w:vertAlign w:val="subscript"/>
                    </w:rPr>
                    <w:t>2</w:t>
                  </w:r>
                </w:p>
              </w:tc>
              <w:tc>
                <w:tcPr>
                  <w:tcW w:w="3107" w:type="dxa"/>
                  <w:tcBorders>
                    <w:tl2br w:val="nil"/>
                    <w:tr2bl w:val="nil"/>
                  </w:tcBorders>
                  <w:noWrap w:val="0"/>
                  <w:vAlign w:val="center"/>
                </w:tcPr>
                <w:p w14:paraId="5A1D124B">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年平均质量浓度</w:t>
                  </w:r>
                </w:p>
              </w:tc>
              <w:tc>
                <w:tcPr>
                  <w:tcW w:w="2030" w:type="dxa"/>
                  <w:tcBorders>
                    <w:tl2br w:val="nil"/>
                    <w:tr2bl w:val="nil"/>
                  </w:tcBorders>
                  <w:noWrap w:val="0"/>
                  <w:vAlign w:val="center"/>
                </w:tcPr>
                <w:p w14:paraId="1C852237">
                  <w:pPr>
                    <w:pStyle w:val="55"/>
                    <w:keepNext w:val="0"/>
                    <w:keepLines w:val="0"/>
                    <w:suppressLineNumbers w:val="0"/>
                    <w:spacing w:before="0" w:beforeAutospacing="0" w:after="0" w:afterAutospacing="0"/>
                    <w:ind w:left="0" w:right="0"/>
                    <w:rPr>
                      <w:rFonts w:hint="eastAsia" w:ascii="Times New Roman" w:hAnsi="Times New Roman" w:eastAsia="仿宋" w:cs="Times New Roman"/>
                      <w:b w:val="0"/>
                      <w:bCs/>
                      <w:color w:val="auto"/>
                      <w:sz w:val="21"/>
                      <w:szCs w:val="21"/>
                      <w:lang w:eastAsia="zh-CN"/>
                    </w:rPr>
                  </w:pPr>
                  <w:r>
                    <w:rPr>
                      <w:rFonts w:hint="eastAsia" w:eastAsia="仿宋" w:cs="Times New Roman"/>
                      <w:b w:val="0"/>
                      <w:bCs/>
                      <w:color w:val="auto"/>
                      <w:sz w:val="21"/>
                      <w:szCs w:val="21"/>
                      <w:lang w:val="en-US" w:eastAsia="zh-CN"/>
                    </w:rPr>
                    <w:t>8</w:t>
                  </w:r>
                </w:p>
              </w:tc>
              <w:tc>
                <w:tcPr>
                  <w:tcW w:w="1185" w:type="dxa"/>
                  <w:tcBorders>
                    <w:tl2br w:val="nil"/>
                    <w:tr2bl w:val="nil"/>
                  </w:tcBorders>
                  <w:noWrap w:val="0"/>
                  <w:vAlign w:val="center"/>
                </w:tcPr>
                <w:p w14:paraId="0CED827A">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60</w:t>
                  </w:r>
                </w:p>
              </w:tc>
              <w:tc>
                <w:tcPr>
                  <w:tcW w:w="855" w:type="dxa"/>
                  <w:tcBorders>
                    <w:tl2br w:val="nil"/>
                    <w:tr2bl w:val="nil"/>
                  </w:tcBorders>
                  <w:noWrap w:val="0"/>
                  <w:vAlign w:val="center"/>
                </w:tcPr>
                <w:p w14:paraId="72E7C9E4">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100</w:t>
                  </w:r>
                </w:p>
              </w:tc>
              <w:tc>
                <w:tcPr>
                  <w:tcW w:w="790" w:type="dxa"/>
                  <w:vMerge w:val="restart"/>
                  <w:tcBorders>
                    <w:tl2br w:val="nil"/>
                    <w:tr2bl w:val="nil"/>
                  </w:tcBorders>
                  <w:noWrap w:val="0"/>
                  <w:vAlign w:val="center"/>
                </w:tcPr>
                <w:p w14:paraId="5CC97D68">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达标</w:t>
                  </w:r>
                </w:p>
              </w:tc>
            </w:tr>
            <w:tr w14:paraId="74263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Merge w:val="continue"/>
                  <w:tcBorders>
                    <w:tl2br w:val="nil"/>
                    <w:tr2bl w:val="nil"/>
                  </w:tcBorders>
                  <w:noWrap w:val="0"/>
                  <w:vAlign w:val="center"/>
                </w:tcPr>
                <w:p w14:paraId="139E67B4">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p>
              </w:tc>
              <w:tc>
                <w:tcPr>
                  <w:tcW w:w="3107" w:type="dxa"/>
                  <w:tcBorders>
                    <w:tl2br w:val="nil"/>
                    <w:tr2bl w:val="nil"/>
                  </w:tcBorders>
                  <w:noWrap w:val="0"/>
                  <w:vAlign w:val="center"/>
                </w:tcPr>
                <w:p w14:paraId="532F4870">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日平均质量浓度</w:t>
                  </w:r>
                </w:p>
              </w:tc>
              <w:tc>
                <w:tcPr>
                  <w:tcW w:w="2030" w:type="dxa"/>
                  <w:tcBorders>
                    <w:tl2br w:val="nil"/>
                    <w:tr2bl w:val="nil"/>
                  </w:tcBorders>
                  <w:noWrap w:val="0"/>
                  <w:vAlign w:val="center"/>
                </w:tcPr>
                <w:p w14:paraId="586BEA48">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4~17</w:t>
                  </w:r>
                </w:p>
              </w:tc>
              <w:tc>
                <w:tcPr>
                  <w:tcW w:w="1185" w:type="dxa"/>
                  <w:tcBorders>
                    <w:tl2br w:val="nil"/>
                    <w:tr2bl w:val="nil"/>
                  </w:tcBorders>
                  <w:noWrap w:val="0"/>
                  <w:vAlign w:val="center"/>
                </w:tcPr>
                <w:p w14:paraId="1FA05F9B">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150</w:t>
                  </w:r>
                </w:p>
              </w:tc>
              <w:tc>
                <w:tcPr>
                  <w:tcW w:w="855" w:type="dxa"/>
                  <w:tcBorders>
                    <w:tl2br w:val="nil"/>
                    <w:tr2bl w:val="nil"/>
                  </w:tcBorders>
                  <w:noWrap w:val="0"/>
                  <w:vAlign w:val="center"/>
                </w:tcPr>
                <w:p w14:paraId="7B794F7D">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100</w:t>
                  </w:r>
                </w:p>
              </w:tc>
              <w:tc>
                <w:tcPr>
                  <w:tcW w:w="790" w:type="dxa"/>
                  <w:vMerge w:val="continue"/>
                  <w:tcBorders>
                    <w:tl2br w:val="nil"/>
                    <w:tr2bl w:val="nil"/>
                  </w:tcBorders>
                  <w:noWrap w:val="0"/>
                  <w:vAlign w:val="center"/>
                </w:tcPr>
                <w:p w14:paraId="654F663E">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p>
              </w:tc>
            </w:tr>
            <w:tr w14:paraId="53A372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Merge w:val="restart"/>
                  <w:tcBorders>
                    <w:tl2br w:val="nil"/>
                    <w:tr2bl w:val="nil"/>
                  </w:tcBorders>
                  <w:noWrap w:val="0"/>
                  <w:vAlign w:val="center"/>
                </w:tcPr>
                <w:p w14:paraId="5274BD39">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NO</w:t>
                  </w:r>
                  <w:r>
                    <w:rPr>
                      <w:rFonts w:hint="default" w:ascii="Times New Roman" w:hAnsi="Times New Roman" w:eastAsia="仿宋" w:cs="Times New Roman"/>
                      <w:b w:val="0"/>
                      <w:bCs/>
                      <w:color w:val="auto"/>
                      <w:sz w:val="21"/>
                      <w:szCs w:val="21"/>
                      <w:vertAlign w:val="subscript"/>
                    </w:rPr>
                    <w:t>2</w:t>
                  </w:r>
                </w:p>
              </w:tc>
              <w:tc>
                <w:tcPr>
                  <w:tcW w:w="3107" w:type="dxa"/>
                  <w:tcBorders>
                    <w:tl2br w:val="nil"/>
                    <w:tr2bl w:val="nil"/>
                  </w:tcBorders>
                  <w:noWrap w:val="0"/>
                  <w:vAlign w:val="center"/>
                </w:tcPr>
                <w:p w14:paraId="4C740F4B">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年平均质量浓度</w:t>
                  </w:r>
                </w:p>
              </w:tc>
              <w:tc>
                <w:tcPr>
                  <w:tcW w:w="2030" w:type="dxa"/>
                  <w:tcBorders>
                    <w:tl2br w:val="nil"/>
                    <w:tr2bl w:val="nil"/>
                  </w:tcBorders>
                  <w:noWrap w:val="0"/>
                  <w:vAlign w:val="center"/>
                </w:tcPr>
                <w:p w14:paraId="333F80F4">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30</w:t>
                  </w:r>
                </w:p>
              </w:tc>
              <w:tc>
                <w:tcPr>
                  <w:tcW w:w="1185" w:type="dxa"/>
                  <w:tcBorders>
                    <w:tl2br w:val="nil"/>
                    <w:tr2bl w:val="nil"/>
                  </w:tcBorders>
                  <w:noWrap w:val="0"/>
                  <w:vAlign w:val="center"/>
                </w:tcPr>
                <w:p w14:paraId="064A950F">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40</w:t>
                  </w:r>
                </w:p>
              </w:tc>
              <w:tc>
                <w:tcPr>
                  <w:tcW w:w="855" w:type="dxa"/>
                  <w:tcBorders>
                    <w:tl2br w:val="nil"/>
                    <w:tr2bl w:val="nil"/>
                  </w:tcBorders>
                  <w:noWrap w:val="0"/>
                  <w:vAlign w:val="center"/>
                </w:tcPr>
                <w:p w14:paraId="3E1ED407">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100</w:t>
                  </w:r>
                </w:p>
              </w:tc>
              <w:tc>
                <w:tcPr>
                  <w:tcW w:w="790" w:type="dxa"/>
                  <w:vMerge w:val="restart"/>
                  <w:tcBorders>
                    <w:tl2br w:val="nil"/>
                    <w:tr2bl w:val="nil"/>
                  </w:tcBorders>
                  <w:noWrap w:val="0"/>
                  <w:vAlign w:val="center"/>
                </w:tcPr>
                <w:p w14:paraId="4147045A">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达标</w:t>
                  </w:r>
                </w:p>
              </w:tc>
            </w:tr>
            <w:tr w14:paraId="117D3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Merge w:val="continue"/>
                  <w:tcBorders>
                    <w:tl2br w:val="nil"/>
                    <w:tr2bl w:val="nil"/>
                  </w:tcBorders>
                  <w:noWrap w:val="0"/>
                  <w:vAlign w:val="center"/>
                </w:tcPr>
                <w:p w14:paraId="31BEBE09">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p>
              </w:tc>
              <w:tc>
                <w:tcPr>
                  <w:tcW w:w="3107" w:type="dxa"/>
                  <w:tcBorders>
                    <w:tl2br w:val="nil"/>
                    <w:tr2bl w:val="nil"/>
                  </w:tcBorders>
                  <w:noWrap w:val="0"/>
                  <w:vAlign w:val="center"/>
                </w:tcPr>
                <w:p w14:paraId="17FFA997">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日平均质量浓度</w:t>
                  </w:r>
                </w:p>
              </w:tc>
              <w:tc>
                <w:tcPr>
                  <w:tcW w:w="2030" w:type="dxa"/>
                  <w:tcBorders>
                    <w:tl2br w:val="nil"/>
                    <w:tr2bl w:val="nil"/>
                  </w:tcBorders>
                  <w:noWrap w:val="0"/>
                  <w:vAlign w:val="center"/>
                </w:tcPr>
                <w:p w14:paraId="70A40679">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6~106</w:t>
                  </w:r>
                </w:p>
              </w:tc>
              <w:tc>
                <w:tcPr>
                  <w:tcW w:w="1185" w:type="dxa"/>
                  <w:tcBorders>
                    <w:tl2br w:val="nil"/>
                    <w:tr2bl w:val="nil"/>
                  </w:tcBorders>
                  <w:noWrap w:val="0"/>
                  <w:vAlign w:val="center"/>
                </w:tcPr>
                <w:p w14:paraId="4B0E4D02">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80</w:t>
                  </w:r>
                </w:p>
              </w:tc>
              <w:tc>
                <w:tcPr>
                  <w:tcW w:w="855" w:type="dxa"/>
                  <w:tcBorders>
                    <w:tl2br w:val="nil"/>
                    <w:tr2bl w:val="nil"/>
                  </w:tcBorders>
                  <w:noWrap w:val="0"/>
                  <w:vAlign w:val="center"/>
                </w:tcPr>
                <w:p w14:paraId="67732177">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98.1</w:t>
                  </w:r>
                </w:p>
              </w:tc>
              <w:tc>
                <w:tcPr>
                  <w:tcW w:w="790" w:type="dxa"/>
                  <w:vMerge w:val="continue"/>
                  <w:tcBorders>
                    <w:tl2br w:val="nil"/>
                    <w:tr2bl w:val="nil"/>
                  </w:tcBorders>
                  <w:noWrap w:val="0"/>
                  <w:tcMar>
                    <w:top w:w="0" w:type="dxa"/>
                    <w:left w:w="57" w:type="dxa"/>
                    <w:bottom w:w="0" w:type="dxa"/>
                    <w:right w:w="57" w:type="dxa"/>
                  </w:tcMar>
                  <w:vAlign w:val="center"/>
                </w:tcPr>
                <w:p w14:paraId="102D3CCB">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p>
              </w:tc>
            </w:tr>
            <w:tr w14:paraId="11438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Merge w:val="restart"/>
                  <w:tcBorders>
                    <w:tl2br w:val="nil"/>
                    <w:tr2bl w:val="nil"/>
                  </w:tcBorders>
                  <w:noWrap w:val="0"/>
                  <w:vAlign w:val="center"/>
                </w:tcPr>
                <w:p w14:paraId="0FB84043">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PM</w:t>
                  </w:r>
                  <w:r>
                    <w:rPr>
                      <w:rFonts w:hint="default" w:ascii="Times New Roman" w:hAnsi="Times New Roman" w:eastAsia="仿宋" w:cs="Times New Roman"/>
                      <w:b w:val="0"/>
                      <w:bCs/>
                      <w:color w:val="auto"/>
                      <w:sz w:val="21"/>
                      <w:szCs w:val="21"/>
                      <w:vertAlign w:val="subscript"/>
                    </w:rPr>
                    <w:t>10</w:t>
                  </w:r>
                </w:p>
              </w:tc>
              <w:tc>
                <w:tcPr>
                  <w:tcW w:w="3107" w:type="dxa"/>
                  <w:tcBorders>
                    <w:tl2br w:val="nil"/>
                    <w:tr2bl w:val="nil"/>
                  </w:tcBorders>
                  <w:noWrap w:val="0"/>
                  <w:vAlign w:val="center"/>
                </w:tcPr>
                <w:p w14:paraId="13EBE6FF">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年平均质量浓度</w:t>
                  </w:r>
                </w:p>
              </w:tc>
              <w:tc>
                <w:tcPr>
                  <w:tcW w:w="2030" w:type="dxa"/>
                  <w:tcBorders>
                    <w:tl2br w:val="nil"/>
                    <w:tr2bl w:val="nil"/>
                  </w:tcBorders>
                  <w:noWrap w:val="0"/>
                  <w:vAlign w:val="center"/>
                </w:tcPr>
                <w:p w14:paraId="6E9D3C1B">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5</w:t>
                  </w:r>
                  <w:r>
                    <w:rPr>
                      <w:rFonts w:hint="eastAsia" w:eastAsia="仿宋" w:cs="Times New Roman"/>
                      <w:b w:val="0"/>
                      <w:bCs/>
                      <w:color w:val="auto"/>
                      <w:sz w:val="21"/>
                      <w:szCs w:val="21"/>
                      <w:lang w:val="en-US" w:eastAsia="zh-CN"/>
                    </w:rPr>
                    <w:t>7</w:t>
                  </w:r>
                </w:p>
              </w:tc>
              <w:tc>
                <w:tcPr>
                  <w:tcW w:w="1185" w:type="dxa"/>
                  <w:tcBorders>
                    <w:tl2br w:val="nil"/>
                    <w:tr2bl w:val="nil"/>
                  </w:tcBorders>
                  <w:noWrap w:val="0"/>
                  <w:vAlign w:val="center"/>
                </w:tcPr>
                <w:p w14:paraId="629F9C31">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70</w:t>
                  </w:r>
                </w:p>
              </w:tc>
              <w:tc>
                <w:tcPr>
                  <w:tcW w:w="855" w:type="dxa"/>
                  <w:tcBorders>
                    <w:tl2br w:val="nil"/>
                    <w:tr2bl w:val="nil"/>
                  </w:tcBorders>
                  <w:noWrap w:val="0"/>
                  <w:vAlign w:val="center"/>
                </w:tcPr>
                <w:p w14:paraId="40BBA1C4">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100</w:t>
                  </w:r>
                </w:p>
              </w:tc>
              <w:tc>
                <w:tcPr>
                  <w:tcW w:w="790" w:type="dxa"/>
                  <w:vMerge w:val="restart"/>
                  <w:tcBorders>
                    <w:tl2br w:val="nil"/>
                    <w:tr2bl w:val="nil"/>
                  </w:tcBorders>
                  <w:noWrap w:val="0"/>
                  <w:tcMar>
                    <w:top w:w="0" w:type="dxa"/>
                    <w:left w:w="57" w:type="dxa"/>
                    <w:bottom w:w="0" w:type="dxa"/>
                    <w:right w:w="57" w:type="dxa"/>
                  </w:tcMar>
                  <w:vAlign w:val="center"/>
                </w:tcPr>
                <w:p w14:paraId="47BFBAA3">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达标</w:t>
                  </w:r>
                </w:p>
              </w:tc>
            </w:tr>
            <w:tr w14:paraId="3AE90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Merge w:val="continue"/>
                  <w:tcBorders>
                    <w:tl2br w:val="nil"/>
                    <w:tr2bl w:val="nil"/>
                  </w:tcBorders>
                  <w:noWrap w:val="0"/>
                  <w:vAlign w:val="center"/>
                </w:tcPr>
                <w:p w14:paraId="1C4D6141">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p>
              </w:tc>
              <w:tc>
                <w:tcPr>
                  <w:tcW w:w="3107" w:type="dxa"/>
                  <w:tcBorders>
                    <w:tl2br w:val="nil"/>
                    <w:tr2bl w:val="nil"/>
                  </w:tcBorders>
                  <w:noWrap w:val="0"/>
                  <w:vAlign w:val="center"/>
                </w:tcPr>
                <w:p w14:paraId="40EA1DB8">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日平均质量浓度</w:t>
                  </w:r>
                </w:p>
              </w:tc>
              <w:tc>
                <w:tcPr>
                  <w:tcW w:w="2030" w:type="dxa"/>
                  <w:tcBorders>
                    <w:tl2br w:val="nil"/>
                    <w:tr2bl w:val="nil"/>
                  </w:tcBorders>
                  <w:noWrap w:val="0"/>
                  <w:vAlign w:val="center"/>
                </w:tcPr>
                <w:p w14:paraId="1E9E30F9">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12~188</w:t>
                  </w:r>
                </w:p>
              </w:tc>
              <w:tc>
                <w:tcPr>
                  <w:tcW w:w="1185" w:type="dxa"/>
                  <w:tcBorders>
                    <w:tl2br w:val="nil"/>
                    <w:tr2bl w:val="nil"/>
                  </w:tcBorders>
                  <w:noWrap w:val="0"/>
                  <w:vAlign w:val="center"/>
                </w:tcPr>
                <w:p w14:paraId="488F30AF">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150</w:t>
                  </w:r>
                </w:p>
              </w:tc>
              <w:tc>
                <w:tcPr>
                  <w:tcW w:w="855" w:type="dxa"/>
                  <w:tcBorders>
                    <w:tl2br w:val="nil"/>
                    <w:tr2bl w:val="nil"/>
                  </w:tcBorders>
                  <w:noWrap w:val="0"/>
                  <w:vAlign w:val="center"/>
                </w:tcPr>
                <w:p w14:paraId="49703C65">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98.8</w:t>
                  </w:r>
                </w:p>
              </w:tc>
              <w:tc>
                <w:tcPr>
                  <w:tcW w:w="790" w:type="dxa"/>
                  <w:vMerge w:val="continue"/>
                  <w:tcBorders>
                    <w:tl2br w:val="nil"/>
                    <w:tr2bl w:val="nil"/>
                  </w:tcBorders>
                  <w:noWrap w:val="0"/>
                  <w:tcMar>
                    <w:top w:w="0" w:type="dxa"/>
                    <w:left w:w="57" w:type="dxa"/>
                    <w:bottom w:w="0" w:type="dxa"/>
                    <w:right w:w="57" w:type="dxa"/>
                  </w:tcMar>
                  <w:vAlign w:val="center"/>
                </w:tcPr>
                <w:p w14:paraId="73A68246">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p>
              </w:tc>
            </w:tr>
            <w:tr w14:paraId="2787D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Merge w:val="restart"/>
                  <w:tcBorders>
                    <w:tl2br w:val="nil"/>
                    <w:tr2bl w:val="nil"/>
                  </w:tcBorders>
                  <w:noWrap w:val="0"/>
                  <w:vAlign w:val="center"/>
                </w:tcPr>
                <w:p w14:paraId="2C609C42">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PM</w:t>
                  </w:r>
                  <w:r>
                    <w:rPr>
                      <w:rFonts w:hint="default" w:ascii="Times New Roman" w:hAnsi="Times New Roman" w:eastAsia="仿宋" w:cs="Times New Roman"/>
                      <w:b w:val="0"/>
                      <w:bCs/>
                      <w:color w:val="auto"/>
                      <w:sz w:val="21"/>
                      <w:szCs w:val="21"/>
                      <w:vertAlign w:val="subscript"/>
                    </w:rPr>
                    <w:t>2.5</w:t>
                  </w:r>
                </w:p>
              </w:tc>
              <w:tc>
                <w:tcPr>
                  <w:tcW w:w="3107" w:type="dxa"/>
                  <w:tcBorders>
                    <w:tl2br w:val="nil"/>
                    <w:tr2bl w:val="nil"/>
                  </w:tcBorders>
                  <w:noWrap w:val="0"/>
                  <w:vAlign w:val="center"/>
                </w:tcPr>
                <w:p w14:paraId="4A6BA27F">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年平均质量浓度</w:t>
                  </w:r>
                </w:p>
              </w:tc>
              <w:tc>
                <w:tcPr>
                  <w:tcW w:w="2030" w:type="dxa"/>
                  <w:tcBorders>
                    <w:tl2br w:val="nil"/>
                    <w:tr2bl w:val="nil"/>
                  </w:tcBorders>
                  <w:noWrap w:val="0"/>
                  <w:vAlign w:val="center"/>
                </w:tcPr>
                <w:p w14:paraId="4AA7BA53">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34</w:t>
                  </w:r>
                </w:p>
              </w:tc>
              <w:tc>
                <w:tcPr>
                  <w:tcW w:w="1185" w:type="dxa"/>
                  <w:tcBorders>
                    <w:tl2br w:val="nil"/>
                    <w:tr2bl w:val="nil"/>
                  </w:tcBorders>
                  <w:noWrap w:val="0"/>
                  <w:vAlign w:val="center"/>
                </w:tcPr>
                <w:p w14:paraId="60102909">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35</w:t>
                  </w:r>
                </w:p>
              </w:tc>
              <w:tc>
                <w:tcPr>
                  <w:tcW w:w="855" w:type="dxa"/>
                  <w:tcBorders>
                    <w:tl2br w:val="nil"/>
                    <w:tr2bl w:val="nil"/>
                  </w:tcBorders>
                  <w:noWrap w:val="0"/>
                  <w:vAlign w:val="center"/>
                </w:tcPr>
                <w:p w14:paraId="4E9256FA">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100</w:t>
                  </w:r>
                </w:p>
              </w:tc>
              <w:tc>
                <w:tcPr>
                  <w:tcW w:w="790" w:type="dxa"/>
                  <w:vMerge w:val="restart"/>
                  <w:tcBorders>
                    <w:tl2br w:val="nil"/>
                    <w:tr2bl w:val="nil"/>
                  </w:tcBorders>
                  <w:noWrap w:val="0"/>
                  <w:tcMar>
                    <w:top w:w="0" w:type="dxa"/>
                    <w:left w:w="57" w:type="dxa"/>
                    <w:bottom w:w="0" w:type="dxa"/>
                    <w:right w:w="57" w:type="dxa"/>
                  </w:tcMar>
                  <w:vAlign w:val="center"/>
                </w:tcPr>
                <w:p w14:paraId="2B379565">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eastAsia" w:eastAsia="仿宋" w:cs="Times New Roman"/>
                      <w:b w:val="0"/>
                      <w:bCs/>
                      <w:color w:val="auto"/>
                      <w:sz w:val="21"/>
                      <w:szCs w:val="21"/>
                      <w:lang w:val="en-US" w:eastAsia="zh-CN"/>
                    </w:rPr>
                    <w:t>未</w:t>
                  </w:r>
                  <w:r>
                    <w:rPr>
                      <w:rFonts w:hint="default" w:ascii="Times New Roman" w:hAnsi="Times New Roman" w:eastAsia="仿宋" w:cs="Times New Roman"/>
                      <w:b w:val="0"/>
                      <w:bCs/>
                      <w:color w:val="auto"/>
                      <w:sz w:val="21"/>
                      <w:szCs w:val="21"/>
                    </w:rPr>
                    <w:t>达标</w:t>
                  </w:r>
                </w:p>
              </w:tc>
            </w:tr>
            <w:tr w14:paraId="55000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Merge w:val="continue"/>
                  <w:tcBorders>
                    <w:tl2br w:val="nil"/>
                    <w:tr2bl w:val="nil"/>
                  </w:tcBorders>
                  <w:noWrap w:val="0"/>
                  <w:vAlign w:val="center"/>
                </w:tcPr>
                <w:p w14:paraId="663B1590">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p>
              </w:tc>
              <w:tc>
                <w:tcPr>
                  <w:tcW w:w="3107" w:type="dxa"/>
                  <w:tcBorders>
                    <w:tl2br w:val="nil"/>
                    <w:tr2bl w:val="nil"/>
                  </w:tcBorders>
                  <w:noWrap w:val="0"/>
                  <w:vAlign w:val="center"/>
                </w:tcPr>
                <w:p w14:paraId="1DC1D4DB">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日平均质量浓度</w:t>
                  </w:r>
                </w:p>
              </w:tc>
              <w:tc>
                <w:tcPr>
                  <w:tcW w:w="2030" w:type="dxa"/>
                  <w:tcBorders>
                    <w:tl2br w:val="nil"/>
                    <w:tr2bl w:val="nil"/>
                  </w:tcBorders>
                  <w:noWrap w:val="0"/>
                  <w:vAlign w:val="center"/>
                </w:tcPr>
                <w:p w14:paraId="0762435C">
                  <w:pPr>
                    <w:pStyle w:val="55"/>
                    <w:keepNext w:val="0"/>
                    <w:keepLines w:val="0"/>
                    <w:suppressLineNumbers w:val="0"/>
                    <w:spacing w:before="0" w:beforeAutospacing="0" w:after="0" w:afterAutospacing="0"/>
                    <w:ind w:left="0" w:right="0" w:firstLine="0" w:firstLineChars="0"/>
                    <w:rPr>
                      <w:rFonts w:hint="default" w:ascii="Times New Roman" w:hAnsi="Times New Roman" w:eastAsia="仿宋" w:cs="Times New Roman"/>
                      <w:b w:val="0"/>
                      <w:bCs/>
                      <w:color w:val="auto"/>
                      <w:kern w:val="0"/>
                      <w:sz w:val="21"/>
                      <w:szCs w:val="21"/>
                      <w:lang w:val="en-US" w:eastAsia="zh-CN" w:bidi="ar-SA"/>
                    </w:rPr>
                  </w:pPr>
                  <w:r>
                    <w:rPr>
                      <w:rFonts w:hint="eastAsia" w:eastAsia="仿宋" w:cs="Times New Roman"/>
                      <w:b w:val="0"/>
                      <w:bCs/>
                      <w:color w:val="auto"/>
                      <w:sz w:val="21"/>
                      <w:szCs w:val="21"/>
                      <w:lang w:val="en-US" w:eastAsia="zh-CN"/>
                    </w:rPr>
                    <w:t>6~151</w:t>
                  </w:r>
                </w:p>
              </w:tc>
              <w:tc>
                <w:tcPr>
                  <w:tcW w:w="1185" w:type="dxa"/>
                  <w:tcBorders>
                    <w:tl2br w:val="nil"/>
                    <w:tr2bl w:val="nil"/>
                  </w:tcBorders>
                  <w:noWrap w:val="0"/>
                  <w:vAlign w:val="center"/>
                </w:tcPr>
                <w:p w14:paraId="14DC022D">
                  <w:pPr>
                    <w:pStyle w:val="55"/>
                    <w:keepNext w:val="0"/>
                    <w:keepLines w:val="0"/>
                    <w:suppressLineNumbers w:val="0"/>
                    <w:spacing w:before="0" w:beforeAutospacing="0" w:after="0" w:afterAutospacing="0"/>
                    <w:ind w:left="0" w:right="0" w:firstLine="0" w:firstLineChars="0"/>
                    <w:rPr>
                      <w:rFonts w:hint="default" w:ascii="Times New Roman" w:hAnsi="Times New Roman" w:eastAsia="仿宋" w:cs="Times New Roman"/>
                      <w:b w:val="0"/>
                      <w:bCs/>
                      <w:color w:val="auto"/>
                      <w:kern w:val="0"/>
                      <w:sz w:val="21"/>
                      <w:szCs w:val="21"/>
                      <w:lang w:val="en-US" w:eastAsia="zh-CN" w:bidi="ar-SA"/>
                    </w:rPr>
                  </w:pPr>
                  <w:r>
                    <w:rPr>
                      <w:rFonts w:hint="eastAsia" w:eastAsia="仿宋" w:cs="Times New Roman"/>
                      <w:b w:val="0"/>
                      <w:bCs/>
                      <w:color w:val="auto"/>
                      <w:kern w:val="0"/>
                      <w:sz w:val="21"/>
                      <w:szCs w:val="21"/>
                      <w:lang w:val="en-US" w:eastAsia="zh-CN" w:bidi="ar-SA"/>
                    </w:rPr>
                    <w:t>75</w:t>
                  </w:r>
                </w:p>
              </w:tc>
              <w:tc>
                <w:tcPr>
                  <w:tcW w:w="855" w:type="dxa"/>
                  <w:tcBorders>
                    <w:tl2br w:val="nil"/>
                    <w:tr2bl w:val="nil"/>
                  </w:tcBorders>
                  <w:noWrap w:val="0"/>
                  <w:vAlign w:val="center"/>
                </w:tcPr>
                <w:p w14:paraId="2626A198">
                  <w:pPr>
                    <w:pStyle w:val="55"/>
                    <w:keepNext w:val="0"/>
                    <w:keepLines w:val="0"/>
                    <w:suppressLineNumbers w:val="0"/>
                    <w:spacing w:before="0" w:beforeAutospacing="0" w:after="0" w:afterAutospacing="0"/>
                    <w:ind w:left="0" w:right="0" w:firstLine="0" w:firstLineChars="0"/>
                    <w:rPr>
                      <w:rFonts w:hint="default" w:ascii="Times New Roman" w:hAnsi="Times New Roman" w:eastAsia="仿宋" w:cs="Times New Roman"/>
                      <w:b w:val="0"/>
                      <w:bCs/>
                      <w:color w:val="auto"/>
                      <w:kern w:val="0"/>
                      <w:sz w:val="21"/>
                      <w:szCs w:val="21"/>
                      <w:lang w:val="en-US" w:eastAsia="zh-CN" w:bidi="ar-SA"/>
                    </w:rPr>
                  </w:pPr>
                  <w:r>
                    <w:rPr>
                      <w:rFonts w:hint="eastAsia" w:eastAsia="仿宋" w:cs="Times New Roman"/>
                      <w:b w:val="0"/>
                      <w:bCs/>
                      <w:color w:val="auto"/>
                      <w:sz w:val="21"/>
                      <w:szCs w:val="21"/>
                      <w:lang w:val="en-US" w:eastAsia="zh-CN"/>
                    </w:rPr>
                    <w:t>93.6</w:t>
                  </w:r>
                </w:p>
              </w:tc>
              <w:tc>
                <w:tcPr>
                  <w:tcW w:w="790" w:type="dxa"/>
                  <w:vMerge w:val="continue"/>
                  <w:tcBorders>
                    <w:tl2br w:val="nil"/>
                    <w:tr2bl w:val="nil"/>
                  </w:tcBorders>
                  <w:noWrap w:val="0"/>
                  <w:tcMar>
                    <w:top w:w="0" w:type="dxa"/>
                    <w:left w:w="57" w:type="dxa"/>
                    <w:bottom w:w="0" w:type="dxa"/>
                    <w:right w:w="57" w:type="dxa"/>
                  </w:tcMar>
                  <w:vAlign w:val="center"/>
                </w:tcPr>
                <w:p w14:paraId="6741F0FD">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p>
              </w:tc>
            </w:tr>
            <w:tr w14:paraId="6A6E3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Merge w:val="restart"/>
                  <w:tcBorders>
                    <w:tl2br w:val="nil"/>
                    <w:tr2bl w:val="nil"/>
                  </w:tcBorders>
                  <w:noWrap w:val="0"/>
                  <w:vAlign w:val="center"/>
                </w:tcPr>
                <w:p w14:paraId="0C431910">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O</w:t>
                  </w:r>
                  <w:r>
                    <w:rPr>
                      <w:rFonts w:hint="default" w:ascii="Times New Roman" w:hAnsi="Times New Roman" w:eastAsia="仿宋" w:cs="Times New Roman"/>
                      <w:b w:val="0"/>
                      <w:bCs/>
                      <w:color w:val="auto"/>
                      <w:sz w:val="21"/>
                      <w:szCs w:val="21"/>
                      <w:vertAlign w:val="subscript"/>
                    </w:rPr>
                    <w:t>3</w:t>
                  </w:r>
                </w:p>
              </w:tc>
              <w:tc>
                <w:tcPr>
                  <w:tcW w:w="3107" w:type="dxa"/>
                  <w:tcBorders>
                    <w:tl2br w:val="nil"/>
                    <w:tr2bl w:val="nil"/>
                  </w:tcBorders>
                  <w:noWrap w:val="0"/>
                  <w:vAlign w:val="center"/>
                </w:tcPr>
                <w:p w14:paraId="32A09A0A">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年平均质量浓度</w:t>
                  </w:r>
                </w:p>
              </w:tc>
              <w:tc>
                <w:tcPr>
                  <w:tcW w:w="2030" w:type="dxa"/>
                  <w:tcBorders>
                    <w:tl2br w:val="nil"/>
                    <w:tr2bl w:val="nil"/>
                  </w:tcBorders>
                  <w:noWrap w:val="0"/>
                  <w:vAlign w:val="center"/>
                </w:tcPr>
                <w:p w14:paraId="5A2F5697">
                  <w:pPr>
                    <w:pStyle w:val="55"/>
                    <w:keepNext w:val="0"/>
                    <w:keepLines w:val="0"/>
                    <w:suppressLineNumbers w:val="0"/>
                    <w:spacing w:before="0" w:beforeAutospacing="0" w:after="0" w:afterAutospacing="0"/>
                    <w:ind w:left="0" w:right="0"/>
                    <w:rPr>
                      <w:rFonts w:hint="default"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w:t>
                  </w:r>
                </w:p>
              </w:tc>
              <w:tc>
                <w:tcPr>
                  <w:tcW w:w="1185" w:type="dxa"/>
                  <w:tcBorders>
                    <w:tl2br w:val="nil"/>
                    <w:tr2bl w:val="nil"/>
                  </w:tcBorders>
                  <w:noWrap w:val="0"/>
                  <w:vAlign w:val="center"/>
                </w:tcPr>
                <w:p w14:paraId="6F00395F">
                  <w:pPr>
                    <w:pStyle w:val="55"/>
                    <w:keepNext w:val="0"/>
                    <w:keepLines w:val="0"/>
                    <w:suppressLineNumbers w:val="0"/>
                    <w:spacing w:before="0" w:beforeAutospacing="0" w:after="0" w:afterAutospacing="0"/>
                    <w:ind w:left="0" w:right="0"/>
                    <w:rPr>
                      <w:rFonts w:hint="eastAsia"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w:t>
                  </w:r>
                </w:p>
              </w:tc>
              <w:tc>
                <w:tcPr>
                  <w:tcW w:w="855" w:type="dxa"/>
                  <w:tcBorders>
                    <w:tl2br w:val="nil"/>
                    <w:tr2bl w:val="nil"/>
                  </w:tcBorders>
                  <w:noWrap w:val="0"/>
                  <w:vAlign w:val="center"/>
                </w:tcPr>
                <w:p w14:paraId="50997D64">
                  <w:pPr>
                    <w:pStyle w:val="55"/>
                    <w:keepNext w:val="0"/>
                    <w:keepLines w:val="0"/>
                    <w:suppressLineNumbers w:val="0"/>
                    <w:spacing w:before="0" w:beforeAutospacing="0" w:after="0" w:afterAutospacing="0"/>
                    <w:ind w:left="0" w:right="0"/>
                    <w:rPr>
                      <w:rFonts w:hint="eastAsia"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w:t>
                  </w:r>
                </w:p>
              </w:tc>
              <w:tc>
                <w:tcPr>
                  <w:tcW w:w="790" w:type="dxa"/>
                  <w:vMerge w:val="restart"/>
                  <w:tcBorders>
                    <w:tl2br w:val="nil"/>
                    <w:tr2bl w:val="nil"/>
                  </w:tcBorders>
                  <w:noWrap w:val="0"/>
                  <w:tcMar>
                    <w:top w:w="0" w:type="dxa"/>
                    <w:left w:w="57" w:type="dxa"/>
                    <w:bottom w:w="0" w:type="dxa"/>
                    <w:right w:w="57" w:type="dxa"/>
                  </w:tcMar>
                  <w:vAlign w:val="center"/>
                </w:tcPr>
                <w:p w14:paraId="4947C0F4">
                  <w:pPr>
                    <w:pStyle w:val="55"/>
                    <w:keepNext w:val="0"/>
                    <w:keepLines w:val="0"/>
                    <w:suppressLineNumbers w:val="0"/>
                    <w:spacing w:before="0" w:beforeAutospacing="0" w:after="0" w:afterAutospacing="0"/>
                    <w:ind w:left="0" w:right="0"/>
                    <w:rPr>
                      <w:rFonts w:hint="eastAsia"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未达标</w:t>
                  </w:r>
                </w:p>
              </w:tc>
            </w:tr>
            <w:tr w14:paraId="3C788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Merge w:val="continue"/>
                  <w:tcBorders>
                    <w:tl2br w:val="nil"/>
                    <w:tr2bl w:val="nil"/>
                  </w:tcBorders>
                  <w:noWrap w:val="0"/>
                  <w:vAlign w:val="center"/>
                </w:tcPr>
                <w:p w14:paraId="7BAF368B">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p>
              </w:tc>
              <w:tc>
                <w:tcPr>
                  <w:tcW w:w="3107" w:type="dxa"/>
                  <w:tcBorders>
                    <w:tl2br w:val="nil"/>
                    <w:tr2bl w:val="nil"/>
                  </w:tcBorders>
                  <w:noWrap w:val="0"/>
                  <w:tcMar>
                    <w:top w:w="0" w:type="dxa"/>
                    <w:left w:w="57" w:type="dxa"/>
                    <w:bottom w:w="0" w:type="dxa"/>
                    <w:right w:w="57" w:type="dxa"/>
                  </w:tcMar>
                  <w:vAlign w:val="center"/>
                </w:tcPr>
                <w:p w14:paraId="59A88799">
                  <w:pPr>
                    <w:pStyle w:val="55"/>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百分位数日最大8h平均质量浓度</w:t>
                  </w:r>
                </w:p>
              </w:tc>
              <w:tc>
                <w:tcPr>
                  <w:tcW w:w="2030" w:type="dxa"/>
                  <w:tcBorders>
                    <w:tl2br w:val="nil"/>
                    <w:tr2bl w:val="nil"/>
                  </w:tcBorders>
                  <w:noWrap w:val="0"/>
                  <w:vAlign w:val="center"/>
                </w:tcPr>
                <w:p w14:paraId="26FDF965">
                  <w:pPr>
                    <w:pStyle w:val="55"/>
                    <w:keepNext w:val="0"/>
                    <w:keepLines w:val="0"/>
                    <w:suppressLineNumbers w:val="0"/>
                    <w:spacing w:before="0" w:beforeAutospacing="0" w:after="0" w:afterAutospacing="0"/>
                    <w:ind w:left="0" w:right="0"/>
                    <w:rPr>
                      <w:rFonts w:hint="eastAsia" w:ascii="Times New Roman" w:hAnsi="Times New Roman" w:eastAsia="仿宋" w:cs="Times New Roman"/>
                      <w:b w:val="0"/>
                      <w:bCs/>
                      <w:color w:val="auto"/>
                      <w:sz w:val="21"/>
                      <w:szCs w:val="21"/>
                      <w:lang w:eastAsia="zh-CN"/>
                    </w:rPr>
                  </w:pPr>
                  <w:r>
                    <w:rPr>
                      <w:rFonts w:hint="eastAsia" w:eastAsia="仿宋" w:cs="Times New Roman"/>
                      <w:b w:val="0"/>
                      <w:bCs/>
                      <w:color w:val="auto"/>
                      <w:sz w:val="21"/>
                      <w:szCs w:val="21"/>
                      <w:lang w:val="en-US" w:eastAsia="zh-CN"/>
                    </w:rPr>
                    <w:t>174（第90百分位）</w:t>
                  </w:r>
                </w:p>
              </w:tc>
              <w:tc>
                <w:tcPr>
                  <w:tcW w:w="1185" w:type="dxa"/>
                  <w:tcBorders>
                    <w:tl2br w:val="nil"/>
                    <w:tr2bl w:val="nil"/>
                  </w:tcBorders>
                  <w:noWrap w:val="0"/>
                  <w:vAlign w:val="center"/>
                </w:tcPr>
                <w:p w14:paraId="428FE9BF">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160</w:t>
                  </w:r>
                </w:p>
              </w:tc>
              <w:tc>
                <w:tcPr>
                  <w:tcW w:w="855" w:type="dxa"/>
                  <w:tcBorders>
                    <w:tl2br w:val="nil"/>
                    <w:tr2bl w:val="nil"/>
                  </w:tcBorders>
                  <w:noWrap w:val="0"/>
                  <w:vAlign w:val="center"/>
                </w:tcPr>
                <w:p w14:paraId="3341F9E0">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85.5</w:t>
                  </w:r>
                </w:p>
              </w:tc>
              <w:tc>
                <w:tcPr>
                  <w:tcW w:w="790" w:type="dxa"/>
                  <w:vMerge w:val="continue"/>
                  <w:tcBorders>
                    <w:tl2br w:val="nil"/>
                    <w:tr2bl w:val="nil"/>
                  </w:tcBorders>
                  <w:noWrap w:val="0"/>
                  <w:tcMar>
                    <w:top w:w="0" w:type="dxa"/>
                    <w:left w:w="57" w:type="dxa"/>
                    <w:bottom w:w="0" w:type="dxa"/>
                    <w:right w:w="57" w:type="dxa"/>
                  </w:tcMar>
                  <w:vAlign w:val="center"/>
                </w:tcPr>
                <w:p w14:paraId="10FA960D">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p>
              </w:tc>
            </w:tr>
            <w:tr w14:paraId="4C26B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Merge w:val="restart"/>
                  <w:tcBorders>
                    <w:tl2br w:val="nil"/>
                    <w:tr2bl w:val="nil"/>
                  </w:tcBorders>
                  <w:noWrap w:val="0"/>
                  <w:vAlign w:val="center"/>
                </w:tcPr>
                <w:p w14:paraId="2F7DC95F">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CO</w:t>
                  </w:r>
                </w:p>
              </w:tc>
              <w:tc>
                <w:tcPr>
                  <w:tcW w:w="3107" w:type="dxa"/>
                  <w:tcBorders>
                    <w:tl2br w:val="nil"/>
                    <w:tr2bl w:val="nil"/>
                  </w:tcBorders>
                  <w:noWrap w:val="0"/>
                  <w:tcMar>
                    <w:top w:w="0" w:type="dxa"/>
                    <w:left w:w="57" w:type="dxa"/>
                    <w:bottom w:w="0" w:type="dxa"/>
                    <w:right w:w="57" w:type="dxa"/>
                  </w:tcMar>
                  <w:vAlign w:val="center"/>
                </w:tcPr>
                <w:p w14:paraId="5D5E5C2E">
                  <w:pPr>
                    <w:pStyle w:val="55"/>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年平均质量浓度</w:t>
                  </w:r>
                </w:p>
              </w:tc>
              <w:tc>
                <w:tcPr>
                  <w:tcW w:w="2030" w:type="dxa"/>
                  <w:tcBorders>
                    <w:tl2br w:val="nil"/>
                    <w:tr2bl w:val="nil"/>
                  </w:tcBorders>
                  <w:noWrap w:val="0"/>
                  <w:vAlign w:val="center"/>
                </w:tcPr>
                <w:p w14:paraId="3ECECEDF">
                  <w:pPr>
                    <w:pStyle w:val="55"/>
                    <w:keepNext w:val="0"/>
                    <w:keepLines w:val="0"/>
                    <w:suppressLineNumbers w:val="0"/>
                    <w:spacing w:before="0" w:beforeAutospacing="0" w:after="0" w:afterAutospacing="0"/>
                    <w:ind w:left="0" w:right="0"/>
                    <w:rPr>
                      <w:rFonts w:hint="eastAsia"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w:t>
                  </w:r>
                </w:p>
              </w:tc>
              <w:tc>
                <w:tcPr>
                  <w:tcW w:w="1185" w:type="dxa"/>
                  <w:tcBorders>
                    <w:tl2br w:val="nil"/>
                    <w:tr2bl w:val="nil"/>
                  </w:tcBorders>
                  <w:noWrap w:val="0"/>
                  <w:vAlign w:val="center"/>
                </w:tcPr>
                <w:p w14:paraId="3FE92DC4">
                  <w:pPr>
                    <w:pStyle w:val="55"/>
                    <w:keepNext w:val="0"/>
                    <w:keepLines w:val="0"/>
                    <w:suppressLineNumbers w:val="0"/>
                    <w:spacing w:before="0" w:beforeAutospacing="0" w:after="0" w:afterAutospacing="0"/>
                    <w:ind w:left="0" w:right="0"/>
                    <w:rPr>
                      <w:rFonts w:hint="eastAsia"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w:t>
                  </w:r>
                </w:p>
              </w:tc>
              <w:tc>
                <w:tcPr>
                  <w:tcW w:w="855" w:type="dxa"/>
                  <w:tcBorders>
                    <w:tl2br w:val="nil"/>
                    <w:tr2bl w:val="nil"/>
                  </w:tcBorders>
                  <w:noWrap w:val="0"/>
                  <w:vAlign w:val="center"/>
                </w:tcPr>
                <w:p w14:paraId="65DD9227">
                  <w:pPr>
                    <w:pStyle w:val="55"/>
                    <w:keepNext w:val="0"/>
                    <w:keepLines w:val="0"/>
                    <w:suppressLineNumbers w:val="0"/>
                    <w:spacing w:before="0" w:beforeAutospacing="0" w:after="0" w:afterAutospacing="0"/>
                    <w:ind w:left="0" w:right="0"/>
                    <w:rPr>
                      <w:rFonts w:hint="eastAsia"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w:t>
                  </w:r>
                </w:p>
              </w:tc>
              <w:tc>
                <w:tcPr>
                  <w:tcW w:w="790" w:type="dxa"/>
                  <w:vMerge w:val="restart"/>
                  <w:tcBorders>
                    <w:tl2br w:val="nil"/>
                    <w:tr2bl w:val="nil"/>
                  </w:tcBorders>
                  <w:noWrap w:val="0"/>
                  <w:tcMar>
                    <w:top w:w="0" w:type="dxa"/>
                    <w:left w:w="57" w:type="dxa"/>
                    <w:bottom w:w="0" w:type="dxa"/>
                    <w:right w:w="57" w:type="dxa"/>
                  </w:tcMar>
                  <w:vAlign w:val="center"/>
                </w:tcPr>
                <w:p w14:paraId="2923F1C2">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达标</w:t>
                  </w:r>
                </w:p>
              </w:tc>
            </w:tr>
            <w:tr w14:paraId="0A37D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Merge w:val="continue"/>
                  <w:tcBorders>
                    <w:tl2br w:val="nil"/>
                    <w:tr2bl w:val="nil"/>
                  </w:tcBorders>
                  <w:noWrap w:val="0"/>
                  <w:vAlign w:val="center"/>
                </w:tcPr>
                <w:p w14:paraId="6268C7FA">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p>
              </w:tc>
              <w:tc>
                <w:tcPr>
                  <w:tcW w:w="3107" w:type="dxa"/>
                  <w:tcBorders>
                    <w:tl2br w:val="nil"/>
                    <w:tr2bl w:val="nil"/>
                  </w:tcBorders>
                  <w:noWrap w:val="0"/>
                  <w:vAlign w:val="center"/>
                </w:tcPr>
                <w:p w14:paraId="1A32C573">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百分位数日平均质量浓度</w:t>
                  </w:r>
                </w:p>
              </w:tc>
              <w:tc>
                <w:tcPr>
                  <w:tcW w:w="2030" w:type="dxa"/>
                  <w:tcBorders>
                    <w:tl2br w:val="nil"/>
                    <w:tr2bl w:val="nil"/>
                  </w:tcBorders>
                  <w:noWrap w:val="0"/>
                  <w:vAlign w:val="center"/>
                </w:tcPr>
                <w:p w14:paraId="1091B8F3">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1</w:t>
                  </w:r>
                  <w:r>
                    <w:rPr>
                      <w:rFonts w:hint="eastAsia" w:eastAsia="仿宋" w:cs="Times New Roman"/>
                      <w:b w:val="0"/>
                      <w:bCs/>
                      <w:color w:val="auto"/>
                      <w:sz w:val="21"/>
                      <w:szCs w:val="21"/>
                      <w:lang w:val="en-US" w:eastAsia="zh-CN"/>
                    </w:rPr>
                    <w:t>1</w:t>
                  </w:r>
                  <w:r>
                    <w:rPr>
                      <w:rFonts w:hint="default" w:ascii="Times New Roman" w:hAnsi="Times New Roman" w:eastAsia="仿宋" w:cs="Times New Roman"/>
                      <w:b w:val="0"/>
                      <w:bCs/>
                      <w:color w:val="auto"/>
                      <w:sz w:val="21"/>
                      <w:szCs w:val="21"/>
                    </w:rPr>
                    <w:t>00（第95百分位）</w:t>
                  </w:r>
                </w:p>
              </w:tc>
              <w:tc>
                <w:tcPr>
                  <w:tcW w:w="1185" w:type="dxa"/>
                  <w:tcBorders>
                    <w:tl2br w:val="nil"/>
                    <w:tr2bl w:val="nil"/>
                  </w:tcBorders>
                  <w:noWrap w:val="0"/>
                  <w:vAlign w:val="center"/>
                </w:tcPr>
                <w:p w14:paraId="36E518BC">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4000</w:t>
                  </w:r>
                </w:p>
              </w:tc>
              <w:tc>
                <w:tcPr>
                  <w:tcW w:w="855" w:type="dxa"/>
                  <w:tcBorders>
                    <w:tl2br w:val="nil"/>
                    <w:tr2bl w:val="nil"/>
                  </w:tcBorders>
                  <w:noWrap w:val="0"/>
                  <w:vAlign w:val="center"/>
                </w:tcPr>
                <w:p w14:paraId="7D1EE8D1">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100</w:t>
                  </w:r>
                </w:p>
              </w:tc>
              <w:tc>
                <w:tcPr>
                  <w:tcW w:w="790" w:type="dxa"/>
                  <w:vMerge w:val="continue"/>
                  <w:tcBorders>
                    <w:tl2br w:val="nil"/>
                    <w:tr2bl w:val="nil"/>
                  </w:tcBorders>
                  <w:noWrap w:val="0"/>
                  <w:vAlign w:val="center"/>
                </w:tcPr>
                <w:p w14:paraId="1E258A39">
                  <w:pPr>
                    <w:pStyle w:val="55"/>
                    <w:keepNext w:val="0"/>
                    <w:keepLines w:val="0"/>
                    <w:suppressLineNumbers w:val="0"/>
                    <w:spacing w:before="0" w:beforeAutospacing="0" w:after="0" w:afterAutospacing="0"/>
                    <w:ind w:left="0" w:right="0"/>
                    <w:rPr>
                      <w:rFonts w:hint="default" w:ascii="Times New Roman" w:hAnsi="Times New Roman" w:eastAsia="仿宋" w:cs="Times New Roman"/>
                      <w:b w:val="0"/>
                      <w:bCs/>
                      <w:color w:val="auto"/>
                      <w:sz w:val="21"/>
                      <w:szCs w:val="21"/>
                    </w:rPr>
                  </w:pPr>
                </w:p>
              </w:tc>
            </w:tr>
          </w:tbl>
          <w:p w14:paraId="1DCA68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cs="Times New Roman"/>
                <w:color w:val="auto"/>
                <w:lang w:val="zh-CN"/>
              </w:rPr>
              <w:t>由上表可知，</w:t>
            </w:r>
            <w:r>
              <w:rPr>
                <w:rFonts w:hint="default" w:ascii="Times New Roman" w:hAnsi="Times New Roman" w:cs="Times New Roman"/>
                <w:color w:val="auto"/>
              </w:rPr>
              <w:t>202</w:t>
            </w:r>
            <w:r>
              <w:rPr>
                <w:rFonts w:hint="eastAsia" w:cs="Times New Roman"/>
                <w:color w:val="auto"/>
                <w:lang w:val="en-US" w:eastAsia="zh-CN"/>
              </w:rPr>
              <w:t>3</w:t>
            </w:r>
            <w:r>
              <w:rPr>
                <w:rFonts w:hint="default" w:ascii="Times New Roman" w:hAnsi="Times New Roman" w:cs="Times New Roman"/>
                <w:color w:val="auto"/>
                <w:lang w:val="zh-CN"/>
              </w:rPr>
              <w:t>年常州市环境空气中</w:t>
            </w:r>
            <w:r>
              <w:rPr>
                <w:rFonts w:hint="eastAsia" w:ascii="Times New Roman" w:hAnsi="Times New Roman" w:cs="Times New Roman"/>
                <w:color w:val="auto"/>
                <w:lang w:val="en-US" w:eastAsia="zh-CN"/>
              </w:rPr>
              <w:t>细</w:t>
            </w:r>
            <w:r>
              <w:rPr>
                <w:rFonts w:hint="default" w:ascii="Times New Roman" w:hAnsi="Times New Roman" w:cs="Times New Roman"/>
                <w:color w:val="auto"/>
                <w:lang w:val="zh-CN"/>
              </w:rPr>
              <w:t>颗粒物（PM</w:t>
            </w:r>
            <w:r>
              <w:rPr>
                <w:rFonts w:hint="eastAsia" w:ascii="Times New Roman" w:hAnsi="Times New Roman" w:cs="Times New Roman"/>
                <w:color w:val="auto"/>
                <w:vertAlign w:val="subscript"/>
                <w:lang w:val="en-US" w:eastAsia="zh-CN"/>
              </w:rPr>
              <w:t>2.5</w:t>
            </w:r>
            <w:r>
              <w:rPr>
                <w:rFonts w:hint="default" w:ascii="Times New Roman" w:hAnsi="Times New Roman" w:cs="Times New Roman"/>
                <w:color w:val="auto"/>
                <w:lang w:val="zh-CN"/>
              </w:rPr>
              <w:t>）</w:t>
            </w:r>
            <w:r>
              <w:rPr>
                <w:rFonts w:hint="default" w:cs="Times New Roman"/>
                <w:color w:val="auto"/>
                <w:lang w:val="zh-CN"/>
              </w:rPr>
              <w:t>第9</w:t>
            </w:r>
            <w:r>
              <w:rPr>
                <w:rFonts w:hint="eastAsia" w:cs="Times New Roman"/>
                <w:color w:val="auto"/>
                <w:lang w:val="en-US" w:eastAsia="zh-CN"/>
              </w:rPr>
              <w:t>5</w:t>
            </w:r>
            <w:r>
              <w:rPr>
                <w:rFonts w:hint="default" w:cs="Times New Roman"/>
                <w:color w:val="auto"/>
                <w:lang w:val="zh-CN"/>
              </w:rPr>
              <w:t>百分位数</w:t>
            </w:r>
            <w:r>
              <w:rPr>
                <w:rFonts w:hint="default" w:ascii="Times New Roman" w:hAnsi="Times New Roman" w:cs="Times New Roman"/>
                <w:color w:val="auto"/>
                <w:lang w:val="zh-CN"/>
              </w:rPr>
              <w:t>24</w:t>
            </w:r>
            <w:r>
              <w:rPr>
                <w:rFonts w:hint="eastAsia" w:cs="Times New Roman"/>
                <w:color w:val="auto"/>
                <w:lang w:val="en-US" w:eastAsia="zh-CN"/>
              </w:rPr>
              <w:t>h</w:t>
            </w:r>
            <w:r>
              <w:rPr>
                <w:rFonts w:hint="default" w:ascii="Times New Roman" w:hAnsi="Times New Roman" w:cs="Times New Roman"/>
                <w:color w:val="auto"/>
                <w:lang w:val="zh-CN"/>
              </w:rPr>
              <w:t>平均</w:t>
            </w:r>
            <w:r>
              <w:rPr>
                <w:rFonts w:hint="eastAsia" w:cs="Times New Roman"/>
                <w:color w:val="auto"/>
                <w:lang w:val="en-US" w:eastAsia="zh-CN"/>
              </w:rPr>
              <w:t>质量浓度、</w:t>
            </w:r>
            <w:r>
              <w:rPr>
                <w:rFonts w:hint="default" w:ascii="Times New Roman" w:hAnsi="Times New Roman" w:cs="Times New Roman"/>
                <w:color w:val="auto"/>
                <w:lang w:val="zh-CN"/>
              </w:rPr>
              <w:t>臭氧</w:t>
            </w:r>
            <w:r>
              <w:rPr>
                <w:rFonts w:hint="eastAsia" w:cs="Times New Roman"/>
                <w:color w:val="auto"/>
                <w:lang w:val="zh-CN"/>
              </w:rPr>
              <w:t>（</w:t>
            </w:r>
            <w:r>
              <w:rPr>
                <w:rFonts w:hint="eastAsia" w:cs="Times New Roman"/>
                <w:color w:val="auto"/>
                <w:lang w:val="en-US" w:eastAsia="zh-CN"/>
              </w:rPr>
              <w:t>O</w:t>
            </w:r>
            <w:r>
              <w:rPr>
                <w:rFonts w:hint="eastAsia" w:cs="Times New Roman"/>
                <w:color w:val="auto"/>
                <w:vertAlign w:val="subscript"/>
                <w:lang w:val="en-US" w:eastAsia="zh-CN"/>
              </w:rPr>
              <w:t>3</w:t>
            </w:r>
            <w:r>
              <w:rPr>
                <w:rFonts w:hint="eastAsia" w:cs="Times New Roman"/>
                <w:color w:val="auto"/>
                <w:lang w:val="zh-CN"/>
              </w:rPr>
              <w:t>）</w:t>
            </w:r>
            <w:r>
              <w:rPr>
                <w:rFonts w:hint="default" w:cs="Times New Roman"/>
                <w:color w:val="auto"/>
                <w:lang w:val="zh-CN"/>
              </w:rPr>
              <w:t>第90百分位数日最大8小时滑动平均质量浓度</w:t>
            </w:r>
            <w:r>
              <w:rPr>
                <w:rFonts w:hint="eastAsia" w:cs="Times New Roman"/>
                <w:color w:val="auto"/>
                <w:lang w:val="en-US" w:eastAsia="zh-CN"/>
              </w:rPr>
              <w:t>超过《环境空气质量标准》（GB3095-2012）中二级标准限值。</w:t>
            </w:r>
            <w:r>
              <w:rPr>
                <w:rFonts w:hint="eastAsia" w:cs="Times New Roman"/>
                <w:b w:val="0"/>
                <w:bCs w:val="0"/>
                <w:color w:val="auto"/>
                <w:lang w:val="en-US" w:eastAsia="zh-CN"/>
              </w:rPr>
              <w:t>参考</w:t>
            </w:r>
            <w:r>
              <w:rPr>
                <w:rFonts w:hint="default" w:ascii="Times New Roman" w:hAnsi="Times New Roman" w:eastAsia="宋体" w:cs="Times New Roman"/>
                <w:b w:val="0"/>
                <w:bCs w:val="0"/>
                <w:color w:val="auto"/>
                <w:lang w:val="en-US" w:eastAsia="zh-CN"/>
              </w:rPr>
              <w:t>《环境影响评价技术导则 大气环境》（HJ2.2-2018）</w:t>
            </w:r>
            <w:r>
              <w:rPr>
                <w:rFonts w:hint="eastAsia" w:cs="Times New Roman"/>
                <w:b w:val="0"/>
                <w:bCs w:val="0"/>
                <w:color w:val="auto"/>
                <w:lang w:val="en-US" w:eastAsia="zh-CN"/>
              </w:rPr>
              <w:t>中“区域达标判断”的相关规定，</w:t>
            </w:r>
            <w:r>
              <w:rPr>
                <w:rFonts w:hint="default" w:ascii="Times New Roman" w:hAnsi="Times New Roman" w:cs="Times New Roman"/>
                <w:color w:val="auto"/>
                <w:lang w:val="zh-CN"/>
              </w:rPr>
              <w:t>常州市判定为</w:t>
            </w:r>
            <w:r>
              <w:rPr>
                <w:rFonts w:hint="eastAsia" w:cs="Times New Roman"/>
                <w:color w:val="auto"/>
                <w:lang w:val="en-US" w:eastAsia="zh-CN"/>
              </w:rPr>
              <w:t>城市环境质量</w:t>
            </w:r>
            <w:r>
              <w:rPr>
                <w:rFonts w:hint="default" w:ascii="Times New Roman" w:hAnsi="Times New Roman" w:cs="Times New Roman"/>
                <w:color w:val="auto"/>
                <w:lang w:val="en-US" w:eastAsia="zh-CN"/>
              </w:rPr>
              <w:t>不</w:t>
            </w:r>
            <w:r>
              <w:rPr>
                <w:rFonts w:hint="default" w:ascii="Times New Roman" w:hAnsi="Times New Roman" w:cs="Times New Roman"/>
                <w:color w:val="auto"/>
                <w:lang w:val="zh-CN"/>
              </w:rPr>
              <w:t>达标区。</w:t>
            </w:r>
          </w:p>
          <w:p w14:paraId="3ABF54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（2）其他大气污染物环境质量现状评价</w:t>
            </w:r>
          </w:p>
          <w:p w14:paraId="5DE30C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lang w:val="en-US" w:eastAsia="zh-CN"/>
              </w:rPr>
            </w:pPr>
            <w:r>
              <w:rPr>
                <w:rFonts w:hint="default" w:cs="Times New Roman"/>
                <w:color w:val="auto"/>
              </w:rPr>
              <w:t>为了解项目</w:t>
            </w:r>
            <w:r>
              <w:rPr>
                <w:rFonts w:hint="eastAsia" w:cs="Times New Roman"/>
                <w:color w:val="auto"/>
                <w:lang w:val="en-US" w:eastAsia="zh-CN"/>
              </w:rPr>
              <w:t>所在地</w:t>
            </w:r>
            <w:r>
              <w:rPr>
                <w:rFonts w:hint="default" w:cs="Times New Roman"/>
                <w:color w:val="auto"/>
              </w:rPr>
              <w:t>附近大气其他污染物环境质量现状，本项目</w:t>
            </w:r>
            <w:r>
              <w:rPr>
                <w:rFonts w:hint="eastAsia" w:cs="Times New Roman"/>
                <w:color w:val="auto"/>
                <w:lang w:val="en-US" w:eastAsia="zh-CN"/>
              </w:rPr>
              <w:t>委托江苏云居检测技术有限公司对于项目所在地非甲烷总烃、硫化氢及二硫化碳进行现状监测</w:t>
            </w:r>
            <w:r>
              <w:rPr>
                <w:rFonts w:hint="default" w:cs="Times New Roman"/>
                <w:color w:val="auto"/>
              </w:rPr>
              <w:t>，监测报告编号：</w:t>
            </w:r>
            <w:r>
              <w:rPr>
                <w:rFonts w:hint="eastAsia" w:cs="Times New Roman"/>
                <w:color w:val="auto"/>
                <w:lang w:val="en-US" w:eastAsia="zh-CN"/>
              </w:rPr>
              <w:t>YJ</w:t>
            </w:r>
            <w:r>
              <w:rPr>
                <w:rFonts w:hint="default" w:cs="Times New Roman"/>
                <w:color w:val="auto"/>
              </w:rPr>
              <w:t>H2</w:t>
            </w:r>
            <w:r>
              <w:rPr>
                <w:rFonts w:hint="eastAsia" w:cs="Times New Roman"/>
                <w:color w:val="auto"/>
                <w:lang w:val="en-US" w:eastAsia="zh-CN"/>
              </w:rPr>
              <w:t>5021402</w:t>
            </w:r>
            <w:r>
              <w:rPr>
                <w:rFonts w:hint="eastAsia" w:ascii="Times New Roman" w:hAnsi="Times New Roman" w:eastAsia="宋体" w:cs="Times New Roman"/>
                <w:b w:val="0"/>
                <w:bCs w:val="0"/>
                <w:color w:val="auto"/>
                <w:lang w:val="en-US" w:eastAsia="zh-CN"/>
              </w:rPr>
              <w:t>。</w:t>
            </w:r>
          </w:p>
          <w:p w14:paraId="2A28A6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监测数据统计详见下表：</w:t>
            </w:r>
          </w:p>
          <w:p w14:paraId="40F30F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表3-2  其他污染物环境质量现状（监测结果）表</w:t>
            </w:r>
          </w:p>
          <w:tbl>
            <w:tblPr>
              <w:tblStyle w:val="27"/>
              <w:tblW w:w="89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350"/>
              <w:gridCol w:w="1034"/>
              <w:gridCol w:w="1091"/>
              <w:gridCol w:w="1513"/>
              <w:gridCol w:w="1309"/>
              <w:gridCol w:w="960"/>
              <w:gridCol w:w="785"/>
            </w:tblGrid>
            <w:tr w14:paraId="70922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vMerge w:val="restart"/>
                  <w:noWrap w:val="0"/>
                  <w:vAlign w:val="center"/>
                </w:tcPr>
                <w:p w14:paraId="02C572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监测点位</w:t>
                  </w:r>
                </w:p>
              </w:tc>
              <w:tc>
                <w:tcPr>
                  <w:tcW w:w="1350" w:type="dxa"/>
                  <w:vMerge w:val="restart"/>
                  <w:noWrap w:val="0"/>
                  <w:vAlign w:val="center"/>
                </w:tcPr>
                <w:p w14:paraId="2C9D14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污染物</w:t>
                  </w:r>
                </w:p>
              </w:tc>
              <w:tc>
                <w:tcPr>
                  <w:tcW w:w="1034" w:type="dxa"/>
                  <w:vMerge w:val="restart"/>
                  <w:noWrap w:val="0"/>
                  <w:vAlign w:val="center"/>
                </w:tcPr>
                <w:p w14:paraId="7709C78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平均时间</w:t>
                  </w:r>
                </w:p>
              </w:tc>
              <w:tc>
                <w:tcPr>
                  <w:tcW w:w="1091" w:type="dxa"/>
                  <w:vMerge w:val="restart"/>
                  <w:noWrap w:val="0"/>
                  <w:vAlign w:val="center"/>
                </w:tcPr>
                <w:p w14:paraId="7E4DBF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评价标准</w:t>
                  </w:r>
                </w:p>
                <w:p w14:paraId="0A6E3C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1513" w:type="dxa"/>
                  <w:vMerge w:val="restart"/>
                  <w:noWrap w:val="0"/>
                  <w:vAlign w:val="center"/>
                </w:tcPr>
                <w:p w14:paraId="423548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监测浓度范围</w:t>
                  </w:r>
                </w:p>
                <w:p w14:paraId="213219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r>
                    <w:rPr>
                      <w:rFonts w:hint="default" w:ascii="Times New Roman" w:hAnsi="Times New Roman" w:eastAsia="仿宋" w:cs="Times New Roman"/>
                      <w:color w:val="auto"/>
                      <w:szCs w:val="21"/>
                      <w:lang w:val="en-US" w:eastAsia="zh-CN"/>
                    </w:rPr>
                    <w:t>mg</w:t>
                  </w:r>
                  <w:r>
                    <w:rPr>
                      <w:rFonts w:hint="default" w:ascii="Times New Roman" w:hAnsi="Times New Roman" w:eastAsia="仿宋" w:cs="Times New Roman"/>
                      <w:color w:val="auto"/>
                      <w:szCs w:val="21"/>
                    </w:rPr>
                    <w:t>/m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1309" w:type="dxa"/>
                  <w:vMerge w:val="restart"/>
                  <w:noWrap w:val="0"/>
                  <w:vAlign w:val="center"/>
                </w:tcPr>
                <w:p w14:paraId="1C670D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最大浓度占标率（%）</w:t>
                  </w:r>
                </w:p>
              </w:tc>
              <w:tc>
                <w:tcPr>
                  <w:tcW w:w="960" w:type="dxa"/>
                  <w:vMerge w:val="restart"/>
                  <w:noWrap w:val="0"/>
                  <w:vAlign w:val="center"/>
                </w:tcPr>
                <w:p w14:paraId="1E0D9F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超标率（%）</w:t>
                  </w:r>
                </w:p>
              </w:tc>
              <w:tc>
                <w:tcPr>
                  <w:tcW w:w="785" w:type="dxa"/>
                  <w:vMerge w:val="restart"/>
                  <w:noWrap w:val="0"/>
                  <w:vAlign w:val="center"/>
                </w:tcPr>
                <w:p w14:paraId="0D7C88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p w14:paraId="7820CF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情况</w:t>
                  </w:r>
                </w:p>
              </w:tc>
            </w:tr>
            <w:tr w14:paraId="692EC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vMerge w:val="continue"/>
                  <w:noWrap w:val="0"/>
                  <w:vAlign w:val="center"/>
                </w:tcPr>
                <w:p w14:paraId="5912D9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p>
              </w:tc>
              <w:tc>
                <w:tcPr>
                  <w:tcW w:w="1350" w:type="dxa"/>
                  <w:vMerge w:val="continue"/>
                  <w:noWrap w:val="0"/>
                  <w:vAlign w:val="center"/>
                </w:tcPr>
                <w:p w14:paraId="51AE28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p>
              </w:tc>
              <w:tc>
                <w:tcPr>
                  <w:tcW w:w="1034" w:type="dxa"/>
                  <w:vMerge w:val="continue"/>
                  <w:noWrap w:val="0"/>
                  <w:vAlign w:val="center"/>
                </w:tcPr>
                <w:p w14:paraId="6A489D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p>
              </w:tc>
              <w:tc>
                <w:tcPr>
                  <w:tcW w:w="1091" w:type="dxa"/>
                  <w:vMerge w:val="continue"/>
                  <w:noWrap w:val="0"/>
                  <w:vAlign w:val="center"/>
                </w:tcPr>
                <w:p w14:paraId="7DE990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p>
              </w:tc>
              <w:tc>
                <w:tcPr>
                  <w:tcW w:w="1513" w:type="dxa"/>
                  <w:vMerge w:val="continue"/>
                  <w:noWrap w:val="0"/>
                  <w:vAlign w:val="center"/>
                </w:tcPr>
                <w:p w14:paraId="4402DF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p>
              </w:tc>
              <w:tc>
                <w:tcPr>
                  <w:tcW w:w="1309" w:type="dxa"/>
                  <w:vMerge w:val="continue"/>
                  <w:noWrap w:val="0"/>
                  <w:vAlign w:val="center"/>
                </w:tcPr>
                <w:p w14:paraId="272294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p>
              </w:tc>
              <w:tc>
                <w:tcPr>
                  <w:tcW w:w="960" w:type="dxa"/>
                  <w:vMerge w:val="continue"/>
                  <w:noWrap w:val="0"/>
                  <w:vAlign w:val="center"/>
                </w:tcPr>
                <w:p w14:paraId="194FF5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p>
              </w:tc>
              <w:tc>
                <w:tcPr>
                  <w:tcW w:w="785" w:type="dxa"/>
                  <w:vMerge w:val="continue"/>
                  <w:noWrap w:val="0"/>
                  <w:vAlign w:val="center"/>
                </w:tcPr>
                <w:p w14:paraId="766A27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p>
              </w:tc>
            </w:tr>
            <w:tr w14:paraId="5CC9D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8" w:type="dxa"/>
                  <w:vMerge w:val="restart"/>
                  <w:noWrap w:val="0"/>
                  <w:vAlign w:val="center"/>
                </w:tcPr>
                <w:p w14:paraId="54D1497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项目所在地</w:t>
                  </w:r>
                </w:p>
              </w:tc>
              <w:tc>
                <w:tcPr>
                  <w:tcW w:w="1350" w:type="dxa"/>
                  <w:noWrap w:val="0"/>
                  <w:vAlign w:val="center"/>
                </w:tcPr>
                <w:p w14:paraId="0F0872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非甲烷总烃</w:t>
                  </w:r>
                </w:p>
              </w:tc>
              <w:tc>
                <w:tcPr>
                  <w:tcW w:w="1034" w:type="dxa"/>
                  <w:noWrap w:val="0"/>
                  <w:vAlign w:val="center"/>
                </w:tcPr>
                <w:p w14:paraId="32AF907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一次值</w:t>
                  </w:r>
                </w:p>
              </w:tc>
              <w:tc>
                <w:tcPr>
                  <w:tcW w:w="1091" w:type="dxa"/>
                  <w:noWrap w:val="0"/>
                  <w:vAlign w:val="center"/>
                </w:tcPr>
                <w:p w14:paraId="2181FC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w:t>
                  </w:r>
                </w:p>
              </w:tc>
              <w:tc>
                <w:tcPr>
                  <w:tcW w:w="1513" w:type="dxa"/>
                  <w:noWrap w:val="0"/>
                  <w:vAlign w:val="center"/>
                </w:tcPr>
                <w:p w14:paraId="15C363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w:t>
                  </w:r>
                  <w:r>
                    <w:rPr>
                      <w:rFonts w:hint="eastAsia" w:eastAsia="仿宋" w:cs="Times New Roman"/>
                      <w:color w:val="auto"/>
                      <w:kern w:val="2"/>
                      <w:sz w:val="21"/>
                      <w:szCs w:val="21"/>
                      <w:lang w:val="en-US" w:eastAsia="zh-CN" w:bidi="ar-SA"/>
                    </w:rPr>
                    <w:t>46</w:t>
                  </w:r>
                  <w:r>
                    <w:rPr>
                      <w:rFonts w:hint="eastAsia" w:ascii="Times New Roman" w:hAnsi="Times New Roman" w:eastAsia="仿宋" w:cs="Times New Roman"/>
                      <w:color w:val="auto"/>
                      <w:kern w:val="2"/>
                      <w:sz w:val="21"/>
                      <w:szCs w:val="21"/>
                      <w:lang w:val="en-US" w:eastAsia="zh-CN" w:bidi="ar-SA"/>
                    </w:rPr>
                    <w:t>~</w:t>
                  </w:r>
                  <w:r>
                    <w:rPr>
                      <w:rFonts w:hint="eastAsia" w:eastAsia="仿宋" w:cs="Times New Roman"/>
                      <w:color w:val="auto"/>
                      <w:kern w:val="2"/>
                      <w:sz w:val="21"/>
                      <w:szCs w:val="21"/>
                      <w:lang w:val="en-US" w:eastAsia="zh-CN" w:bidi="ar-SA"/>
                    </w:rPr>
                    <w:t>0.82</w:t>
                  </w:r>
                </w:p>
              </w:tc>
              <w:tc>
                <w:tcPr>
                  <w:tcW w:w="1309" w:type="dxa"/>
                  <w:noWrap w:val="0"/>
                  <w:vAlign w:val="center"/>
                </w:tcPr>
                <w:p w14:paraId="3FA5AB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23~41</w:t>
                  </w:r>
                </w:p>
              </w:tc>
              <w:tc>
                <w:tcPr>
                  <w:tcW w:w="960" w:type="dxa"/>
                  <w:noWrap w:val="0"/>
                  <w:vAlign w:val="center"/>
                </w:tcPr>
                <w:p w14:paraId="3D4819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w:t>
                  </w:r>
                </w:p>
              </w:tc>
              <w:tc>
                <w:tcPr>
                  <w:tcW w:w="785" w:type="dxa"/>
                  <w:noWrap w:val="0"/>
                  <w:vAlign w:val="center"/>
                </w:tcPr>
                <w:p w14:paraId="580A61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达标</w:t>
                  </w:r>
                </w:p>
              </w:tc>
            </w:tr>
            <w:tr w14:paraId="18F8E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8" w:type="dxa"/>
                  <w:vMerge w:val="continue"/>
                  <w:noWrap w:val="0"/>
                  <w:vAlign w:val="center"/>
                </w:tcPr>
                <w:p w14:paraId="07DE45D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p>
              </w:tc>
              <w:tc>
                <w:tcPr>
                  <w:tcW w:w="1350" w:type="dxa"/>
                  <w:noWrap w:val="0"/>
                  <w:vAlign w:val="center"/>
                </w:tcPr>
                <w:p w14:paraId="2AA8F9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硫化氢</w:t>
                  </w:r>
                </w:p>
              </w:tc>
              <w:tc>
                <w:tcPr>
                  <w:tcW w:w="1034" w:type="dxa"/>
                  <w:noWrap w:val="0"/>
                  <w:vAlign w:val="center"/>
                </w:tcPr>
                <w:p w14:paraId="5154C0D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小时值</w:t>
                  </w:r>
                </w:p>
              </w:tc>
              <w:tc>
                <w:tcPr>
                  <w:tcW w:w="1091" w:type="dxa"/>
                  <w:noWrap w:val="0"/>
                  <w:vAlign w:val="center"/>
                </w:tcPr>
                <w:p w14:paraId="2E9FDD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w:t>
                  </w:r>
                  <w:r>
                    <w:rPr>
                      <w:rFonts w:hint="eastAsia" w:eastAsia="仿宋" w:cs="Times New Roman"/>
                      <w:color w:val="auto"/>
                      <w:kern w:val="2"/>
                      <w:sz w:val="21"/>
                      <w:szCs w:val="21"/>
                      <w:lang w:val="en-US" w:eastAsia="zh-CN" w:bidi="ar-SA"/>
                    </w:rPr>
                    <w:t>01</w:t>
                  </w:r>
                </w:p>
              </w:tc>
              <w:tc>
                <w:tcPr>
                  <w:tcW w:w="1513" w:type="dxa"/>
                  <w:noWrap w:val="0"/>
                  <w:vAlign w:val="center"/>
                </w:tcPr>
                <w:p w14:paraId="78E9B3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ND</w:t>
                  </w:r>
                </w:p>
              </w:tc>
              <w:tc>
                <w:tcPr>
                  <w:tcW w:w="1309" w:type="dxa"/>
                  <w:noWrap w:val="0"/>
                  <w:vAlign w:val="center"/>
                </w:tcPr>
                <w:p w14:paraId="0CDDD9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w:t>
                  </w:r>
                </w:p>
              </w:tc>
              <w:tc>
                <w:tcPr>
                  <w:tcW w:w="960" w:type="dxa"/>
                  <w:noWrap w:val="0"/>
                  <w:vAlign w:val="center"/>
                </w:tcPr>
                <w:p w14:paraId="717526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w:t>
                  </w:r>
                </w:p>
              </w:tc>
              <w:tc>
                <w:tcPr>
                  <w:tcW w:w="785" w:type="dxa"/>
                  <w:noWrap w:val="0"/>
                  <w:vAlign w:val="center"/>
                </w:tcPr>
                <w:p w14:paraId="60A9EF0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达标</w:t>
                  </w:r>
                </w:p>
              </w:tc>
            </w:tr>
            <w:tr w14:paraId="71E6C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8" w:type="dxa"/>
                  <w:vMerge w:val="continue"/>
                  <w:noWrap w:val="0"/>
                  <w:vAlign w:val="center"/>
                </w:tcPr>
                <w:p w14:paraId="247EA0E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p>
              </w:tc>
              <w:tc>
                <w:tcPr>
                  <w:tcW w:w="1350" w:type="dxa"/>
                  <w:noWrap w:val="0"/>
                  <w:vAlign w:val="center"/>
                </w:tcPr>
                <w:p w14:paraId="2AE98EF1">
                  <w:pPr>
                    <w:keepNext w:val="0"/>
                    <w:keepLines w:val="0"/>
                    <w:suppressLineNumbers w:val="0"/>
                    <w:adjustRightInd w:val="0"/>
                    <w:snapToGrid w:val="0"/>
                    <w:spacing w:before="0" w:beforeAutospacing="0" w:after="0" w:afterAutospacing="0"/>
                    <w:ind w:left="0" w:right="0"/>
                    <w:jc w:val="center"/>
                    <w:rPr>
                      <w:rFonts w:hint="eastAsia"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二硫化碳</w:t>
                  </w:r>
                </w:p>
              </w:tc>
              <w:tc>
                <w:tcPr>
                  <w:tcW w:w="1034" w:type="dxa"/>
                  <w:shd w:val="clear" w:color="auto" w:fill="auto"/>
                  <w:noWrap w:val="0"/>
                  <w:vAlign w:val="center"/>
                </w:tcPr>
                <w:p w14:paraId="1F6553E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小时值</w:t>
                  </w:r>
                </w:p>
              </w:tc>
              <w:tc>
                <w:tcPr>
                  <w:tcW w:w="1091" w:type="dxa"/>
                  <w:shd w:val="clear" w:color="auto" w:fill="auto"/>
                  <w:noWrap w:val="0"/>
                  <w:vAlign w:val="center"/>
                </w:tcPr>
                <w:p w14:paraId="71452F5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w:t>
                  </w:r>
                  <w:r>
                    <w:rPr>
                      <w:rFonts w:hint="eastAsia" w:eastAsia="仿宋" w:cs="Times New Roman"/>
                      <w:color w:val="auto"/>
                      <w:kern w:val="2"/>
                      <w:sz w:val="21"/>
                      <w:szCs w:val="21"/>
                      <w:lang w:val="en-US" w:eastAsia="zh-CN" w:bidi="ar-SA"/>
                    </w:rPr>
                    <w:t>04</w:t>
                  </w:r>
                </w:p>
              </w:tc>
              <w:tc>
                <w:tcPr>
                  <w:tcW w:w="1513" w:type="dxa"/>
                  <w:shd w:val="clear" w:color="auto" w:fill="auto"/>
                  <w:noWrap w:val="0"/>
                  <w:vAlign w:val="center"/>
                </w:tcPr>
                <w:p w14:paraId="28AE78D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ND</w:t>
                  </w:r>
                </w:p>
              </w:tc>
              <w:tc>
                <w:tcPr>
                  <w:tcW w:w="1309" w:type="dxa"/>
                  <w:shd w:val="clear" w:color="auto" w:fill="auto"/>
                  <w:noWrap w:val="0"/>
                  <w:vAlign w:val="center"/>
                </w:tcPr>
                <w:p w14:paraId="03C3948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w:t>
                  </w:r>
                </w:p>
              </w:tc>
              <w:tc>
                <w:tcPr>
                  <w:tcW w:w="960" w:type="dxa"/>
                  <w:shd w:val="clear" w:color="auto" w:fill="auto"/>
                  <w:noWrap w:val="0"/>
                  <w:vAlign w:val="center"/>
                </w:tcPr>
                <w:p w14:paraId="783540E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w:t>
                  </w:r>
                </w:p>
              </w:tc>
              <w:tc>
                <w:tcPr>
                  <w:tcW w:w="785" w:type="dxa"/>
                  <w:shd w:val="clear" w:color="auto" w:fill="auto"/>
                  <w:noWrap w:val="0"/>
                  <w:vAlign w:val="center"/>
                </w:tcPr>
                <w:p w14:paraId="1769A12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达标</w:t>
                  </w:r>
                </w:p>
              </w:tc>
            </w:tr>
          </w:tbl>
          <w:p w14:paraId="4CE399A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cs="Times New Roman"/>
                <w:b w:val="0"/>
                <w:bCs w:val="0"/>
                <w:color w:val="auto"/>
                <w:lang w:val="en-US" w:eastAsia="zh-CN"/>
              </w:rPr>
            </w:pPr>
            <w:r>
              <w:rPr>
                <w:rFonts w:hint="default" w:ascii="Times New Roman" w:hAnsi="Times New Roman" w:eastAsia="宋体" w:cs="Times New Roman"/>
                <w:b w:val="0"/>
                <w:bCs w:val="0"/>
                <w:color w:val="auto"/>
                <w:lang w:val="en-US" w:eastAsia="zh-CN"/>
              </w:rPr>
              <w:t>由上表可知，项目所在区域</w:t>
            </w:r>
            <w:r>
              <w:rPr>
                <w:rFonts w:hint="eastAsia" w:cs="Times New Roman"/>
                <w:b w:val="0"/>
                <w:bCs w:val="0"/>
                <w:color w:val="auto"/>
                <w:lang w:val="en-US" w:eastAsia="zh-CN"/>
              </w:rPr>
              <w:t>非甲烷总烃</w:t>
            </w:r>
            <w:r>
              <w:rPr>
                <w:rFonts w:hint="default" w:ascii="Times New Roman" w:hAnsi="Times New Roman" w:eastAsia="宋体" w:cs="Times New Roman"/>
                <w:b w:val="0"/>
                <w:bCs w:val="0"/>
                <w:color w:val="auto"/>
                <w:lang w:val="en-US" w:eastAsia="zh-CN"/>
              </w:rPr>
              <w:t>环境质量现状满足《大气污染物综合排放标准详解》中标准</w:t>
            </w:r>
            <w:r>
              <w:rPr>
                <w:rFonts w:hint="eastAsia" w:ascii="Times New Roman" w:hAnsi="Times New Roman" w:eastAsia="宋体" w:cs="Times New Roman"/>
                <w:b w:val="0"/>
                <w:bCs w:val="0"/>
                <w:color w:val="auto"/>
                <w:lang w:val="en-US" w:eastAsia="zh-CN"/>
              </w:rPr>
              <w:t>，</w:t>
            </w:r>
            <w:r>
              <w:rPr>
                <w:rFonts w:hint="eastAsia" w:cs="Times New Roman"/>
                <w:b w:val="0"/>
                <w:bCs w:val="0"/>
                <w:color w:val="auto"/>
                <w:lang w:val="en-US" w:eastAsia="zh-CN"/>
              </w:rPr>
              <w:t>硫化氢、二硫化碳</w:t>
            </w:r>
            <w:r>
              <w:rPr>
                <w:rFonts w:hint="default" w:ascii="Times New Roman" w:hAnsi="Times New Roman" w:eastAsia="宋体" w:cs="Times New Roman"/>
                <w:b w:val="0"/>
                <w:bCs w:val="0"/>
                <w:color w:val="auto"/>
                <w:lang w:val="en-US" w:eastAsia="zh-CN"/>
              </w:rPr>
              <w:t>环境质量现状满足《环境影响评价技术导则 大气环境》（HJ2.2-2018）附录D中标准</w:t>
            </w:r>
            <w:r>
              <w:rPr>
                <w:rFonts w:hint="eastAsia" w:cs="Times New Roman"/>
                <w:b w:val="0"/>
                <w:bCs w:val="0"/>
                <w:color w:val="auto"/>
                <w:lang w:val="en-US" w:eastAsia="zh-CN"/>
              </w:rPr>
              <w:t>。</w:t>
            </w:r>
          </w:p>
          <w:p w14:paraId="75D3D61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jc w:val="left"/>
              <w:textAlignment w:val="auto"/>
              <w:rPr>
                <w:rFonts w:hint="eastAsia" w:cs="Times New Roman"/>
                <w:b w:val="0"/>
                <w:bCs w:val="0"/>
                <w:color w:val="auto"/>
                <w:lang w:val="en-US" w:eastAsia="zh-CN"/>
              </w:rPr>
            </w:pPr>
            <w:r>
              <w:rPr>
                <w:rFonts w:hint="eastAsia" w:cs="Times New Roman"/>
                <w:b w:val="0"/>
                <w:bCs w:val="0"/>
                <w:color w:val="auto"/>
                <w:lang w:val="en-US" w:eastAsia="zh-CN"/>
              </w:rPr>
              <w:t>（3）区域大气污染物削减方案</w:t>
            </w:r>
          </w:p>
          <w:p w14:paraId="7C023C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市政府于2024年8月15日颁布《市政府关于印发常州市空气质量持续改善行动计划实施方案的通知》（常政发〔2024〕51号），要求加快调整优化产业结构，推进产业绿色低碳发展；推进能源高效利用，加快能源清洁低碳转型；优化调整交通结构，大力发展绿色运输体系；加强面源污染治理，提高精细化管理水平；强化协同减排，切实降低污染物排放强度；完善工作机制，健全大气环境管理体系。此外，本项目拟采取的大气污染防治措施满足区域环境质量改善目标管理要求。因此，项目实施后不会改变大气环境功能类别。</w:t>
            </w:r>
          </w:p>
          <w:p w14:paraId="4A77A295">
            <w:pPr>
              <w:pStyle w:val="25"/>
              <w:keepNext w:val="0"/>
              <w:keepLines w:val="0"/>
              <w:pageBreakBefore w:val="0"/>
              <w:widowControl w:val="0"/>
              <w:numPr>
                <w:ilvl w:val="0"/>
                <w:numId w:val="8"/>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snapToGrid w:val="0"/>
                <w:color w:val="auto"/>
                <w:sz w:val="21"/>
                <w:szCs w:val="21"/>
                <w:highlight w:val="none"/>
                <w:vertAlign w:val="baseline"/>
                <w:lang w:val="en-US" w:eastAsia="zh-CN"/>
              </w:rPr>
            </w:pPr>
            <w:r>
              <w:rPr>
                <w:rFonts w:hint="default" w:ascii="Times New Roman" w:hAnsi="Times New Roman" w:eastAsia="宋体" w:cs="Times New Roman"/>
                <w:b/>
                <w:bCs/>
                <w:snapToGrid w:val="0"/>
                <w:color w:val="auto"/>
                <w:sz w:val="21"/>
                <w:szCs w:val="21"/>
                <w:highlight w:val="none"/>
                <w:vertAlign w:val="baseline"/>
                <w:lang w:val="en-US" w:eastAsia="zh-CN"/>
              </w:rPr>
              <w:t>地表水环境</w:t>
            </w:r>
          </w:p>
          <w:p w14:paraId="713CDC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（1）区域达标判定</w:t>
            </w:r>
          </w:p>
          <w:p w14:paraId="20FB4AB5">
            <w:pPr>
              <w:keepNext w:val="0"/>
              <w:keepLines w:val="0"/>
              <w:suppressLineNumbers w:val="0"/>
              <w:tabs>
                <w:tab w:val="left" w:pos="2730"/>
              </w:tabs>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根据《</w:t>
            </w:r>
            <w:r>
              <w:rPr>
                <w:rFonts w:hint="eastAsia" w:cs="Times New Roman"/>
                <w:color w:val="auto"/>
                <w:szCs w:val="21"/>
                <w:lang w:eastAsia="zh-CN"/>
              </w:rPr>
              <w:t>2023年常州市生态环境状况公报</w:t>
            </w:r>
            <w:r>
              <w:rPr>
                <w:rFonts w:hint="default" w:ascii="Times New Roman" w:hAnsi="Times New Roman" w:cs="Times New Roman"/>
                <w:color w:val="auto"/>
                <w:szCs w:val="21"/>
              </w:rPr>
              <w:t>》，20</w:t>
            </w:r>
            <w:r>
              <w:rPr>
                <w:rFonts w:hint="eastAsia" w:cs="Times New Roman"/>
                <w:color w:val="auto"/>
                <w:szCs w:val="21"/>
                <w:lang w:val="en-US" w:eastAsia="zh-CN"/>
              </w:rPr>
              <w:t>23</w:t>
            </w:r>
            <w:r>
              <w:rPr>
                <w:rFonts w:hint="default" w:ascii="Times New Roman" w:hAnsi="Times New Roman" w:cs="Times New Roman"/>
                <w:color w:val="auto"/>
                <w:szCs w:val="21"/>
              </w:rPr>
              <w:t>年，常州市纳入“十四五”国家地表水环境质量考核的20个断面中，年均水质达到或好于《地表水环境质量标准》（GB 3838</w:t>
            </w:r>
            <w:r>
              <w:rPr>
                <w:rFonts w:hint="eastAsia" w:cs="Times New Roman"/>
                <w:color w:val="auto"/>
                <w:szCs w:val="21"/>
                <w:lang w:val="en-US" w:eastAsia="zh-CN"/>
              </w:rPr>
              <w:t>-</w:t>
            </w:r>
            <w:r>
              <w:rPr>
                <w:rFonts w:hint="default" w:ascii="Times New Roman" w:hAnsi="Times New Roman" w:cs="Times New Roman"/>
                <w:color w:val="auto"/>
                <w:szCs w:val="21"/>
              </w:rPr>
              <w:t>2002）Ⅲ类标准的断面比例为8</w:t>
            </w:r>
            <w:r>
              <w:rPr>
                <w:rFonts w:hint="eastAsia" w:cs="Times New Roman"/>
                <w:color w:val="auto"/>
                <w:szCs w:val="21"/>
                <w:lang w:val="en-US" w:eastAsia="zh-CN"/>
              </w:rPr>
              <w:t>5</w:t>
            </w:r>
            <w:r>
              <w:rPr>
                <w:rFonts w:hint="default" w:ascii="Times New Roman" w:hAnsi="Times New Roman" w:cs="Times New Roman"/>
                <w:color w:val="auto"/>
                <w:szCs w:val="21"/>
              </w:rPr>
              <w:t>%，无劣于Ⅴ类断面</w:t>
            </w:r>
            <w:r>
              <w:rPr>
                <w:rFonts w:hint="eastAsia" w:cs="Times New Roman"/>
                <w:color w:val="auto"/>
                <w:szCs w:val="21"/>
                <w:lang w:val="en-US" w:eastAsia="zh-CN"/>
              </w:rPr>
              <w:t>。</w:t>
            </w:r>
            <w:r>
              <w:rPr>
                <w:rFonts w:hint="default" w:ascii="Times New Roman" w:hAnsi="Times New Roman" w:cs="Times New Roman"/>
                <w:color w:val="auto"/>
                <w:szCs w:val="21"/>
              </w:rPr>
              <w:t>纳入江苏省“十四五”水环境质量目标考核的51个断面，年均水质达到或好于Ⅲ类的比例为</w:t>
            </w:r>
            <w:r>
              <w:rPr>
                <w:rFonts w:hint="eastAsia" w:cs="Times New Roman"/>
                <w:color w:val="auto"/>
                <w:szCs w:val="21"/>
                <w:lang w:val="en-US" w:eastAsia="zh-CN"/>
              </w:rPr>
              <w:t>94.1</w:t>
            </w:r>
            <w:r>
              <w:rPr>
                <w:rFonts w:hint="default" w:ascii="Times New Roman" w:hAnsi="Times New Roman" w:cs="Times New Roman"/>
                <w:color w:val="auto"/>
                <w:szCs w:val="21"/>
              </w:rPr>
              <w:t>%，无劣于Ⅴ类断面。国考、省考断面水质达到或好于Ⅲ类比例超额完成省定考核要求</w:t>
            </w:r>
            <w:r>
              <w:rPr>
                <w:rFonts w:hint="eastAsia" w:cs="Times New Roman"/>
                <w:color w:val="auto"/>
                <w:szCs w:val="21"/>
                <w:lang w:eastAsia="zh-CN"/>
              </w:rPr>
              <w:t>，</w:t>
            </w:r>
            <w:r>
              <w:rPr>
                <w:rFonts w:hint="default" w:ascii="Times New Roman" w:hAnsi="Times New Roman" w:cs="Times New Roman"/>
                <w:color w:val="auto"/>
                <w:szCs w:val="21"/>
              </w:rPr>
              <w:t>太湖常州水域连续16年实现安全度夏。长江干流</w:t>
            </w:r>
            <w:r>
              <w:rPr>
                <w:rFonts w:hint="eastAsia" w:cs="Times New Roman"/>
                <w:color w:val="auto"/>
                <w:szCs w:val="21"/>
                <w:lang w:eastAsia="zh-CN"/>
              </w:rPr>
              <w:t>（</w:t>
            </w:r>
            <w:r>
              <w:rPr>
                <w:rFonts w:hint="default" w:ascii="Times New Roman" w:hAnsi="Times New Roman" w:cs="Times New Roman"/>
                <w:color w:val="auto"/>
                <w:szCs w:val="21"/>
              </w:rPr>
              <w:t>常州段</w:t>
            </w:r>
            <w:r>
              <w:rPr>
                <w:rFonts w:hint="eastAsia" w:cs="Times New Roman"/>
                <w:color w:val="auto"/>
                <w:szCs w:val="21"/>
                <w:lang w:eastAsia="zh-CN"/>
              </w:rPr>
              <w:t>）</w:t>
            </w:r>
            <w:r>
              <w:rPr>
                <w:rFonts w:hint="default" w:ascii="Times New Roman" w:hAnsi="Times New Roman" w:cs="Times New Roman"/>
                <w:color w:val="auto"/>
                <w:szCs w:val="21"/>
              </w:rPr>
              <w:t>水质连续6年稳定Ⅱ类水平</w:t>
            </w:r>
            <w:r>
              <w:rPr>
                <w:rFonts w:hint="eastAsia" w:cs="Times New Roman"/>
                <w:color w:val="auto"/>
                <w:szCs w:val="21"/>
                <w:lang w:eastAsia="zh-CN"/>
              </w:rPr>
              <w:t>，</w:t>
            </w:r>
            <w:r>
              <w:rPr>
                <w:rFonts w:hint="default" w:ascii="Times New Roman" w:hAnsi="Times New Roman" w:cs="Times New Roman"/>
                <w:color w:val="auto"/>
                <w:szCs w:val="21"/>
              </w:rPr>
              <w:t>主要入湖河道、集中式饮用水源地水质达到省定考核目标。</w:t>
            </w:r>
          </w:p>
          <w:p w14:paraId="6A27BB01">
            <w:pPr>
              <w:keepNext w:val="0"/>
              <w:keepLines w:val="0"/>
              <w:numPr>
                <w:ilvl w:val="0"/>
                <w:numId w:val="9"/>
              </w:numPr>
              <w:suppressLineNumbers w:val="0"/>
              <w:tabs>
                <w:tab w:val="left" w:pos="2730"/>
              </w:tabs>
              <w:adjustRightInd w:val="0"/>
              <w:snapToGrid w:val="0"/>
              <w:spacing w:before="0" w:beforeAutospacing="0" w:after="0" w:afterAutospacing="0" w:line="360" w:lineRule="auto"/>
              <w:ind w:left="0" w:right="0" w:firstLine="420" w:firstLineChars="200"/>
              <w:rPr>
                <w:rFonts w:hint="eastAsia" w:cs="Times New Roman"/>
                <w:color w:val="auto"/>
                <w:szCs w:val="21"/>
                <w:lang w:eastAsia="zh-CN"/>
              </w:rPr>
            </w:pPr>
            <w:r>
              <w:rPr>
                <w:rFonts w:hint="eastAsia" w:cs="Times New Roman"/>
                <w:color w:val="auto"/>
                <w:szCs w:val="21"/>
                <w:lang w:eastAsia="zh-CN"/>
              </w:rPr>
              <w:t>纳污水体环境质量现状评价</w:t>
            </w:r>
          </w:p>
          <w:p w14:paraId="1C68A5B6">
            <w:pPr>
              <w:keepNext w:val="0"/>
              <w:keepLines w:val="0"/>
              <w:numPr>
                <w:ilvl w:val="0"/>
                <w:numId w:val="0"/>
              </w:numPr>
              <w:suppressLineNumbers w:val="0"/>
              <w:tabs>
                <w:tab w:val="left" w:pos="2730"/>
              </w:tabs>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eastAsia" w:cs="Times New Roman"/>
                <w:color w:val="auto"/>
                <w:szCs w:val="21"/>
                <w:lang w:val="en-US" w:eastAsia="zh-CN"/>
              </w:rPr>
              <w:t>废水</w:t>
            </w:r>
            <w:r>
              <w:rPr>
                <w:rFonts w:hint="default" w:ascii="Times New Roman" w:hAnsi="Times New Roman" w:cs="Times New Roman"/>
                <w:color w:val="auto"/>
                <w:szCs w:val="21"/>
              </w:rPr>
              <w:t>接管进</w:t>
            </w:r>
            <w:r>
              <w:rPr>
                <w:rFonts w:hint="eastAsia" w:ascii="宋体" w:hAnsi="宋体" w:cs="宋体"/>
                <w:color w:val="auto"/>
                <w:szCs w:val="21"/>
                <w:lang w:eastAsia="zh-CN"/>
              </w:rPr>
              <w:t>金坛区朱林镇三星村李巷农村生活污水处理站</w:t>
            </w:r>
            <w:r>
              <w:rPr>
                <w:rFonts w:hint="default" w:ascii="Times New Roman" w:hAnsi="Times New Roman" w:cs="Times New Roman"/>
                <w:color w:val="auto"/>
                <w:szCs w:val="21"/>
              </w:rPr>
              <w:t>处理，尾水排入</w:t>
            </w:r>
            <w:r>
              <w:rPr>
                <w:rFonts w:hint="eastAsia" w:cs="Times New Roman"/>
                <w:color w:val="auto"/>
                <w:szCs w:val="21"/>
                <w:lang w:val="en-US" w:eastAsia="zh-CN"/>
              </w:rPr>
              <w:t>西港河</w:t>
            </w:r>
            <w:r>
              <w:rPr>
                <w:rFonts w:hint="default" w:ascii="Times New Roman" w:hAnsi="Times New Roman" w:cs="Times New Roman"/>
                <w:color w:val="auto"/>
                <w:szCs w:val="21"/>
              </w:rPr>
              <w:t>。</w:t>
            </w:r>
            <w:r>
              <w:rPr>
                <w:rFonts w:hint="default" w:cs="Times New Roman"/>
                <w:color w:val="auto"/>
              </w:rPr>
              <w:t>本项目</w:t>
            </w:r>
            <w:r>
              <w:rPr>
                <w:rFonts w:hint="eastAsia" w:cs="Times New Roman"/>
                <w:color w:val="auto"/>
                <w:lang w:val="en-US" w:eastAsia="zh-CN"/>
              </w:rPr>
              <w:t>委托江苏云居检测技术有限公司对</w:t>
            </w:r>
            <w:r>
              <w:rPr>
                <w:rFonts w:hint="eastAsia" w:cs="Times New Roman"/>
                <w:color w:val="auto"/>
                <w:szCs w:val="21"/>
                <w:lang w:val="en-US" w:eastAsia="zh-CN"/>
              </w:rPr>
              <w:t>西港河进行</w:t>
            </w:r>
            <w:r>
              <w:rPr>
                <w:rFonts w:hint="default" w:ascii="Times New Roman" w:hAnsi="Times New Roman" w:cs="Times New Roman"/>
                <w:color w:val="auto"/>
                <w:szCs w:val="21"/>
              </w:rPr>
              <w:t>地表水环境现状监测，</w:t>
            </w:r>
            <w:r>
              <w:rPr>
                <w:rFonts w:hint="eastAsia" w:cs="Times New Roman"/>
                <w:color w:val="auto"/>
                <w:szCs w:val="21"/>
                <w:lang w:val="en-US" w:eastAsia="zh-CN"/>
              </w:rPr>
              <w:t>监测</w:t>
            </w:r>
            <w:r>
              <w:rPr>
                <w:rFonts w:hint="default" w:ascii="Times New Roman" w:hAnsi="Times New Roman" w:cs="Times New Roman"/>
                <w:color w:val="auto"/>
                <w:szCs w:val="21"/>
              </w:rPr>
              <w:t>报告编号：JCH20220386。监测结果统计见表3-</w:t>
            </w:r>
            <w:r>
              <w:rPr>
                <w:rFonts w:hint="eastAsia" w:cs="Times New Roman"/>
                <w:color w:val="auto"/>
                <w:szCs w:val="21"/>
                <w:lang w:val="en-US" w:eastAsia="zh-CN"/>
              </w:rPr>
              <w:t>3</w:t>
            </w:r>
            <w:r>
              <w:rPr>
                <w:rFonts w:hint="default" w:ascii="Times New Roman" w:hAnsi="Times New Roman" w:cs="Times New Roman"/>
                <w:color w:val="auto"/>
                <w:szCs w:val="21"/>
              </w:rPr>
              <w:t>。</w:t>
            </w:r>
          </w:p>
          <w:p w14:paraId="40952D14">
            <w:pPr>
              <w:keepNext w:val="0"/>
              <w:keepLines w:val="0"/>
              <w:suppressLineNumbers w:val="0"/>
              <w:tabs>
                <w:tab w:val="left" w:pos="2730"/>
                <w:tab w:val="left" w:pos="8100"/>
              </w:tabs>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表3-</w:t>
            </w:r>
            <w:r>
              <w:rPr>
                <w:rFonts w:hint="eastAsia" w:cs="Times New Roman"/>
                <w:b/>
                <w:color w:val="auto"/>
                <w:kern w:val="0"/>
                <w:szCs w:val="21"/>
                <w:lang w:val="en-US" w:eastAsia="zh-CN"/>
              </w:rPr>
              <w:t>3</w:t>
            </w:r>
            <w:r>
              <w:rPr>
                <w:rFonts w:hint="default" w:ascii="Times New Roman" w:hAnsi="Times New Roman" w:cs="Times New Roman"/>
                <w:b/>
                <w:color w:val="auto"/>
                <w:kern w:val="0"/>
                <w:szCs w:val="21"/>
              </w:rPr>
              <w:t xml:space="preserve">  地表水环境质量现状监测结果统计表 单位：mg/L</w:t>
            </w:r>
          </w:p>
          <w:tbl>
            <w:tblPr>
              <w:tblStyle w:val="27"/>
              <w:tblW w:w="89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2"/>
              <w:gridCol w:w="1184"/>
              <w:gridCol w:w="1088"/>
              <w:gridCol w:w="818"/>
              <w:gridCol w:w="1337"/>
              <w:gridCol w:w="1137"/>
              <w:gridCol w:w="1100"/>
            </w:tblGrid>
            <w:tr w14:paraId="538F5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292" w:type="dxa"/>
                  <w:noWrap w:val="0"/>
                  <w:vAlign w:val="center"/>
                </w:tcPr>
                <w:p w14:paraId="5639897B">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监测断面</w:t>
                  </w:r>
                </w:p>
              </w:tc>
              <w:tc>
                <w:tcPr>
                  <w:tcW w:w="1184" w:type="dxa"/>
                  <w:noWrap w:val="0"/>
                  <w:vAlign w:val="center"/>
                </w:tcPr>
                <w:p w14:paraId="26879788">
                  <w:pPr>
                    <w:pStyle w:val="59"/>
                    <w:keepNext w:val="0"/>
                    <w:keepLines w:val="0"/>
                    <w:suppressLineNumbers w:val="0"/>
                    <w:tabs>
                      <w:tab w:val="left" w:pos="208"/>
                      <w:tab w:val="left" w:pos="466"/>
                      <w:tab w:val="left" w:pos="2730"/>
                    </w:tabs>
                    <w:spacing w:before="0" w:beforeAutospacing="0" w:after="0" w:afterAutospacing="0" w:line="240" w:lineRule="auto"/>
                    <w:ind w:left="54" w:leftChars="0" w:right="0" w:hanging="55"/>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评价指标</w:t>
                  </w:r>
                </w:p>
              </w:tc>
              <w:tc>
                <w:tcPr>
                  <w:tcW w:w="1088" w:type="dxa"/>
                  <w:noWrap w:val="0"/>
                  <w:vAlign w:val="center"/>
                </w:tcPr>
                <w:p w14:paraId="2E7EF337">
                  <w:pPr>
                    <w:keepNext w:val="0"/>
                    <w:keepLines w:val="0"/>
                    <w:suppressLineNumbers w:val="0"/>
                    <w:tabs>
                      <w:tab w:val="left" w:pos="2730"/>
                    </w:tabs>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pH</w:t>
                  </w:r>
                  <w:r>
                    <w:rPr>
                      <w:rFonts w:hint="eastAsia" w:eastAsia="仿宋" w:cs="Times New Roman"/>
                      <w:color w:val="auto"/>
                      <w:szCs w:val="21"/>
                      <w:lang w:val="en-US" w:eastAsia="zh-CN"/>
                    </w:rPr>
                    <w:t>值</w:t>
                  </w:r>
                </w:p>
              </w:tc>
              <w:tc>
                <w:tcPr>
                  <w:tcW w:w="818" w:type="dxa"/>
                  <w:noWrap w:val="0"/>
                  <w:vAlign w:val="center"/>
                </w:tcPr>
                <w:p w14:paraId="75CA95B3">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1337" w:type="dxa"/>
                  <w:noWrap w:val="0"/>
                  <w:vAlign w:val="center"/>
                </w:tcPr>
                <w:p w14:paraId="27A8A298">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NH</w:t>
                  </w:r>
                  <w:r>
                    <w:rPr>
                      <w:rFonts w:hint="default" w:ascii="Times New Roman" w:hAnsi="Times New Roman" w:eastAsia="仿宋" w:cs="Times New Roman"/>
                      <w:color w:val="auto"/>
                      <w:szCs w:val="21"/>
                      <w:vertAlign w:val="subscript"/>
                    </w:rPr>
                    <w:t>3</w:t>
                  </w:r>
                  <w:r>
                    <w:rPr>
                      <w:rFonts w:hint="default" w:ascii="Times New Roman" w:hAnsi="Times New Roman" w:eastAsia="仿宋" w:cs="Times New Roman"/>
                      <w:color w:val="auto"/>
                      <w:szCs w:val="21"/>
                    </w:rPr>
                    <w:t>-N</w:t>
                  </w:r>
                </w:p>
              </w:tc>
              <w:tc>
                <w:tcPr>
                  <w:tcW w:w="1137" w:type="dxa"/>
                  <w:noWrap w:val="0"/>
                  <w:vAlign w:val="center"/>
                </w:tcPr>
                <w:p w14:paraId="6293181E">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TP</w:t>
                  </w:r>
                </w:p>
              </w:tc>
              <w:tc>
                <w:tcPr>
                  <w:tcW w:w="1100" w:type="dxa"/>
                  <w:noWrap w:val="0"/>
                  <w:vAlign w:val="center"/>
                </w:tcPr>
                <w:p w14:paraId="399EFA0E">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TN</w:t>
                  </w:r>
                </w:p>
              </w:tc>
            </w:tr>
            <w:tr w14:paraId="0233C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292" w:type="dxa"/>
                  <w:vMerge w:val="restart"/>
                  <w:noWrap w:val="0"/>
                  <w:vAlign w:val="center"/>
                </w:tcPr>
                <w:p w14:paraId="548E58B9">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W1金坛区朱林镇三星村李巷农村生活污水处理</w:t>
                  </w:r>
                  <w:r>
                    <w:rPr>
                      <w:rFonts w:hint="eastAsia" w:eastAsia="仿宋" w:cs="Times New Roman"/>
                      <w:color w:val="auto"/>
                      <w:szCs w:val="21"/>
                      <w:lang w:val="en-US" w:eastAsia="zh-CN"/>
                    </w:rPr>
                    <w:t>设施</w:t>
                  </w:r>
                  <w:r>
                    <w:rPr>
                      <w:rFonts w:hint="default" w:ascii="Times New Roman" w:hAnsi="Times New Roman" w:eastAsia="仿宋" w:cs="Times New Roman"/>
                      <w:color w:val="auto"/>
                      <w:szCs w:val="21"/>
                    </w:rPr>
                    <w:t>排放口上游</w:t>
                  </w:r>
                  <w:r>
                    <w:rPr>
                      <w:rFonts w:hint="eastAsia" w:eastAsia="仿宋" w:cs="Times New Roman"/>
                      <w:color w:val="auto"/>
                      <w:szCs w:val="21"/>
                      <w:lang w:val="en-US" w:eastAsia="zh-CN"/>
                    </w:rPr>
                    <w:t>500m</w:t>
                  </w:r>
                </w:p>
              </w:tc>
              <w:tc>
                <w:tcPr>
                  <w:tcW w:w="1184" w:type="dxa"/>
                  <w:noWrap w:val="0"/>
                  <w:vAlign w:val="center"/>
                </w:tcPr>
                <w:p w14:paraId="58717D1F">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浓度范围</w:t>
                  </w:r>
                </w:p>
              </w:tc>
              <w:tc>
                <w:tcPr>
                  <w:tcW w:w="1088" w:type="dxa"/>
                  <w:noWrap w:val="0"/>
                  <w:vAlign w:val="center"/>
                </w:tcPr>
                <w:p w14:paraId="3442BCA8">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7.9~8.0</w:t>
                  </w:r>
                </w:p>
              </w:tc>
              <w:tc>
                <w:tcPr>
                  <w:tcW w:w="818" w:type="dxa"/>
                  <w:noWrap w:val="0"/>
                  <w:vAlign w:val="center"/>
                </w:tcPr>
                <w:p w14:paraId="11DC4238">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14~15</w:t>
                  </w:r>
                </w:p>
              </w:tc>
              <w:tc>
                <w:tcPr>
                  <w:tcW w:w="1337" w:type="dxa"/>
                  <w:noWrap w:val="0"/>
                  <w:vAlign w:val="center"/>
                </w:tcPr>
                <w:p w14:paraId="07ACD410">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0.362~0.419</w:t>
                  </w:r>
                </w:p>
              </w:tc>
              <w:tc>
                <w:tcPr>
                  <w:tcW w:w="1137" w:type="dxa"/>
                  <w:noWrap w:val="0"/>
                  <w:vAlign w:val="center"/>
                </w:tcPr>
                <w:p w14:paraId="521E0242">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0.13~0.16</w:t>
                  </w:r>
                </w:p>
              </w:tc>
              <w:tc>
                <w:tcPr>
                  <w:tcW w:w="1100" w:type="dxa"/>
                  <w:noWrap w:val="0"/>
                  <w:vAlign w:val="center"/>
                </w:tcPr>
                <w:p w14:paraId="0A29F292">
                  <w:pPr>
                    <w:keepNext w:val="0"/>
                    <w:keepLines w:val="0"/>
                    <w:suppressLineNumbers w:val="0"/>
                    <w:tabs>
                      <w:tab w:val="left" w:pos="2730"/>
                    </w:tabs>
                    <w:spacing w:before="0" w:beforeAutospacing="0" w:after="0" w:afterAutospacing="0"/>
                    <w:ind w:left="0" w:right="0"/>
                    <w:jc w:val="center"/>
                    <w:rPr>
                      <w:rFonts w:hint="default" w:eastAsia="仿宋" w:cs="Times New Roman"/>
                      <w:color w:val="auto"/>
                      <w:szCs w:val="21"/>
                      <w:lang w:val="en-US" w:eastAsia="zh-CN"/>
                    </w:rPr>
                  </w:pPr>
                  <w:r>
                    <w:rPr>
                      <w:rFonts w:hint="eastAsia" w:eastAsia="仿宋" w:cs="Times New Roman"/>
                      <w:color w:val="auto"/>
                      <w:szCs w:val="21"/>
                      <w:lang w:val="en-US" w:eastAsia="zh-CN"/>
                    </w:rPr>
                    <w:t>0.689~0.796</w:t>
                  </w:r>
                </w:p>
              </w:tc>
            </w:tr>
            <w:tr w14:paraId="351F9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292" w:type="dxa"/>
                  <w:vMerge w:val="continue"/>
                  <w:noWrap w:val="0"/>
                  <w:vAlign w:val="center"/>
                </w:tcPr>
                <w:p w14:paraId="456E44EA">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p>
              </w:tc>
              <w:tc>
                <w:tcPr>
                  <w:tcW w:w="1184" w:type="dxa"/>
                  <w:noWrap w:val="0"/>
                  <w:vAlign w:val="center"/>
                </w:tcPr>
                <w:p w14:paraId="4C3F4F68">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超标率%</w:t>
                  </w:r>
                </w:p>
              </w:tc>
              <w:tc>
                <w:tcPr>
                  <w:tcW w:w="1088" w:type="dxa"/>
                  <w:noWrap w:val="0"/>
                  <w:vAlign w:val="center"/>
                </w:tcPr>
                <w:p w14:paraId="1CD80712">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818" w:type="dxa"/>
                  <w:noWrap w:val="0"/>
                  <w:vAlign w:val="center"/>
                </w:tcPr>
                <w:p w14:paraId="4C901862">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1337" w:type="dxa"/>
                  <w:noWrap w:val="0"/>
                  <w:vAlign w:val="center"/>
                </w:tcPr>
                <w:p w14:paraId="0354CDE8">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1137" w:type="dxa"/>
                  <w:noWrap w:val="0"/>
                  <w:vAlign w:val="center"/>
                </w:tcPr>
                <w:p w14:paraId="5366FF80">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1100" w:type="dxa"/>
                  <w:noWrap w:val="0"/>
                  <w:vAlign w:val="center"/>
                </w:tcPr>
                <w:p w14:paraId="6FDC6414">
                  <w:pPr>
                    <w:keepNext w:val="0"/>
                    <w:keepLines w:val="0"/>
                    <w:suppressLineNumbers w:val="0"/>
                    <w:tabs>
                      <w:tab w:val="left" w:pos="2730"/>
                    </w:tabs>
                    <w:spacing w:before="0" w:beforeAutospacing="0" w:after="0" w:afterAutospacing="0"/>
                    <w:ind w:left="0" w:right="0"/>
                    <w:jc w:val="center"/>
                    <w:rPr>
                      <w:rFonts w:hint="eastAsia" w:eastAsia="仿宋" w:cs="Times New Roman"/>
                      <w:color w:val="auto"/>
                      <w:szCs w:val="21"/>
                      <w:lang w:val="en-US" w:eastAsia="zh-CN"/>
                    </w:rPr>
                  </w:pPr>
                  <w:r>
                    <w:rPr>
                      <w:rFonts w:hint="default" w:ascii="Times New Roman" w:hAnsi="Times New Roman" w:eastAsia="仿宋" w:cs="Times New Roman"/>
                      <w:color w:val="auto"/>
                      <w:szCs w:val="21"/>
                    </w:rPr>
                    <w:t>0</w:t>
                  </w:r>
                </w:p>
              </w:tc>
            </w:tr>
            <w:tr w14:paraId="5A2A7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292" w:type="dxa"/>
                  <w:vMerge w:val="restart"/>
                  <w:noWrap w:val="0"/>
                  <w:vAlign w:val="center"/>
                </w:tcPr>
                <w:p w14:paraId="590E4E1F">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w:t>
                  </w:r>
                  <w:r>
                    <w:rPr>
                      <w:rFonts w:hint="eastAsia" w:eastAsia="仿宋" w:cs="Times New Roman"/>
                      <w:color w:val="auto"/>
                      <w:szCs w:val="21"/>
                      <w:lang w:val="en-US" w:eastAsia="zh-CN"/>
                    </w:rPr>
                    <w:t>2</w:t>
                  </w:r>
                  <w:r>
                    <w:rPr>
                      <w:rFonts w:hint="default" w:ascii="Times New Roman" w:hAnsi="Times New Roman" w:eastAsia="仿宋" w:cs="Times New Roman"/>
                      <w:color w:val="auto"/>
                      <w:szCs w:val="21"/>
                    </w:rPr>
                    <w:t>金坛区朱林镇三星村李巷农村生活污水处理</w:t>
                  </w:r>
                  <w:r>
                    <w:rPr>
                      <w:rFonts w:hint="eastAsia" w:eastAsia="仿宋" w:cs="Times New Roman"/>
                      <w:color w:val="auto"/>
                      <w:szCs w:val="21"/>
                      <w:lang w:val="en-US" w:eastAsia="zh-CN"/>
                    </w:rPr>
                    <w:t>设施</w:t>
                  </w:r>
                  <w:r>
                    <w:rPr>
                      <w:rFonts w:hint="eastAsia" w:ascii="Times New Roman" w:hAnsi="Times New Roman" w:eastAsia="仿宋" w:cs="Times New Roman"/>
                      <w:color w:val="auto"/>
                      <w:szCs w:val="21"/>
                      <w:lang w:val="en-US" w:eastAsia="zh-CN"/>
                    </w:rPr>
                    <w:t>1</w:t>
                  </w:r>
                  <w:r>
                    <w:rPr>
                      <w:rFonts w:hint="eastAsia" w:eastAsia="仿宋" w:cs="Times New Roman"/>
                      <w:color w:val="auto"/>
                      <w:szCs w:val="21"/>
                      <w:lang w:val="en-US" w:eastAsia="zh-CN"/>
                    </w:rPr>
                    <w:t>500m</w:t>
                  </w:r>
                </w:p>
              </w:tc>
              <w:tc>
                <w:tcPr>
                  <w:tcW w:w="1184" w:type="dxa"/>
                  <w:noWrap w:val="0"/>
                  <w:vAlign w:val="center"/>
                </w:tcPr>
                <w:p w14:paraId="34EC067D">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kern w:val="2"/>
                      <w:sz w:val="21"/>
                      <w:szCs w:val="21"/>
                      <w:lang w:val="en-US" w:eastAsia="zh-CN" w:bidi="ar-SA"/>
                    </w:rPr>
                    <w:t>浓度范围</w:t>
                  </w:r>
                </w:p>
              </w:tc>
              <w:tc>
                <w:tcPr>
                  <w:tcW w:w="1088" w:type="dxa"/>
                  <w:noWrap w:val="0"/>
                  <w:vAlign w:val="center"/>
                </w:tcPr>
                <w:p w14:paraId="0886171B">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8.0~8.1</w:t>
                  </w:r>
                </w:p>
              </w:tc>
              <w:tc>
                <w:tcPr>
                  <w:tcW w:w="818" w:type="dxa"/>
                  <w:noWrap w:val="0"/>
                  <w:vAlign w:val="center"/>
                </w:tcPr>
                <w:p w14:paraId="5D1F1A27">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17~18</w:t>
                  </w:r>
                </w:p>
              </w:tc>
              <w:tc>
                <w:tcPr>
                  <w:tcW w:w="1337" w:type="dxa"/>
                  <w:noWrap w:val="0"/>
                  <w:vAlign w:val="center"/>
                </w:tcPr>
                <w:p w14:paraId="7DB20C55">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0.392~0.508</w:t>
                  </w:r>
                </w:p>
              </w:tc>
              <w:tc>
                <w:tcPr>
                  <w:tcW w:w="1137" w:type="dxa"/>
                  <w:noWrap w:val="0"/>
                  <w:vAlign w:val="center"/>
                </w:tcPr>
                <w:p w14:paraId="2B50E467">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0.16~0.18</w:t>
                  </w:r>
                </w:p>
              </w:tc>
              <w:tc>
                <w:tcPr>
                  <w:tcW w:w="1100" w:type="dxa"/>
                  <w:noWrap w:val="0"/>
                  <w:vAlign w:val="center"/>
                </w:tcPr>
                <w:p w14:paraId="3C14E331">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0.883~0.990</w:t>
                  </w:r>
                </w:p>
              </w:tc>
            </w:tr>
            <w:tr w14:paraId="19B86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292" w:type="dxa"/>
                  <w:vMerge w:val="continue"/>
                  <w:noWrap w:val="0"/>
                  <w:vAlign w:val="center"/>
                </w:tcPr>
                <w:p w14:paraId="1F6BAAFA">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p>
              </w:tc>
              <w:tc>
                <w:tcPr>
                  <w:tcW w:w="1184" w:type="dxa"/>
                  <w:noWrap w:val="0"/>
                  <w:vAlign w:val="center"/>
                </w:tcPr>
                <w:p w14:paraId="77EF6945">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超标率%</w:t>
                  </w:r>
                </w:p>
              </w:tc>
              <w:tc>
                <w:tcPr>
                  <w:tcW w:w="1088" w:type="dxa"/>
                  <w:noWrap w:val="0"/>
                  <w:vAlign w:val="center"/>
                </w:tcPr>
                <w:p w14:paraId="3E31DD11">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0</w:t>
                  </w:r>
                </w:p>
              </w:tc>
              <w:tc>
                <w:tcPr>
                  <w:tcW w:w="818" w:type="dxa"/>
                  <w:noWrap w:val="0"/>
                  <w:vAlign w:val="center"/>
                </w:tcPr>
                <w:p w14:paraId="290BF202">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0</w:t>
                  </w:r>
                </w:p>
              </w:tc>
              <w:tc>
                <w:tcPr>
                  <w:tcW w:w="1337" w:type="dxa"/>
                  <w:noWrap w:val="0"/>
                  <w:vAlign w:val="center"/>
                </w:tcPr>
                <w:p w14:paraId="7CEDB103">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0</w:t>
                  </w:r>
                </w:p>
              </w:tc>
              <w:tc>
                <w:tcPr>
                  <w:tcW w:w="1137" w:type="dxa"/>
                  <w:noWrap w:val="0"/>
                  <w:vAlign w:val="center"/>
                </w:tcPr>
                <w:p w14:paraId="62E76BAB">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0</w:t>
                  </w:r>
                </w:p>
              </w:tc>
              <w:tc>
                <w:tcPr>
                  <w:tcW w:w="1100" w:type="dxa"/>
                  <w:noWrap w:val="0"/>
                  <w:vAlign w:val="center"/>
                </w:tcPr>
                <w:p w14:paraId="5093D777">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r>
            <w:tr w14:paraId="033DD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476" w:type="dxa"/>
                  <w:gridSpan w:val="2"/>
                  <w:noWrap w:val="0"/>
                  <w:vAlign w:val="center"/>
                </w:tcPr>
                <w:p w14:paraId="12A9BE61">
                  <w:pPr>
                    <w:keepNext w:val="0"/>
                    <w:keepLines w:val="0"/>
                    <w:suppressLineNumbers w:val="0"/>
                    <w:tabs>
                      <w:tab w:val="left" w:pos="2730"/>
                    </w:tabs>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Ⅲ类标准值</w:t>
                  </w:r>
                </w:p>
              </w:tc>
              <w:tc>
                <w:tcPr>
                  <w:tcW w:w="1088" w:type="dxa"/>
                  <w:noWrap w:val="0"/>
                  <w:vAlign w:val="center"/>
                </w:tcPr>
                <w:p w14:paraId="04A205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6～9</w:t>
                  </w:r>
                </w:p>
              </w:tc>
              <w:tc>
                <w:tcPr>
                  <w:tcW w:w="818" w:type="dxa"/>
                  <w:noWrap w:val="0"/>
                  <w:vAlign w:val="center"/>
                </w:tcPr>
                <w:p w14:paraId="523669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w:t>
                  </w:r>
                  <w:r>
                    <w:rPr>
                      <w:rFonts w:hint="eastAsia" w:eastAsia="仿宋" w:cs="Times New Roman"/>
                      <w:color w:val="auto"/>
                      <w:szCs w:val="21"/>
                      <w:lang w:val="en-US" w:eastAsia="zh-CN"/>
                    </w:rPr>
                    <w:t>20</w:t>
                  </w:r>
                </w:p>
              </w:tc>
              <w:tc>
                <w:tcPr>
                  <w:tcW w:w="1337" w:type="dxa"/>
                  <w:noWrap w:val="0"/>
                  <w:vAlign w:val="center"/>
                </w:tcPr>
                <w:p w14:paraId="4D559F3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w:t>
                  </w:r>
                  <w:r>
                    <w:rPr>
                      <w:rFonts w:hint="eastAsia" w:eastAsia="仿宋" w:cs="Times New Roman"/>
                      <w:color w:val="auto"/>
                      <w:szCs w:val="21"/>
                      <w:lang w:val="en-US" w:eastAsia="zh-CN"/>
                    </w:rPr>
                    <w:t>1</w:t>
                  </w:r>
                  <w:r>
                    <w:rPr>
                      <w:rFonts w:hint="default" w:ascii="Times New Roman" w:hAnsi="Times New Roman" w:eastAsia="仿宋" w:cs="Times New Roman"/>
                      <w:color w:val="auto"/>
                      <w:szCs w:val="21"/>
                    </w:rPr>
                    <w:t>.</w:t>
                  </w:r>
                  <w:r>
                    <w:rPr>
                      <w:rFonts w:hint="eastAsia" w:eastAsia="仿宋" w:cs="Times New Roman"/>
                      <w:color w:val="auto"/>
                      <w:szCs w:val="21"/>
                      <w:lang w:val="en-US" w:eastAsia="zh-CN"/>
                    </w:rPr>
                    <w:t>0</w:t>
                  </w:r>
                </w:p>
              </w:tc>
              <w:tc>
                <w:tcPr>
                  <w:tcW w:w="1137" w:type="dxa"/>
                  <w:noWrap w:val="0"/>
                  <w:vAlign w:val="center"/>
                </w:tcPr>
                <w:p w14:paraId="51675E2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≤0.</w:t>
                  </w:r>
                  <w:r>
                    <w:rPr>
                      <w:rFonts w:hint="eastAsia" w:eastAsia="仿宋" w:cs="Times New Roman"/>
                      <w:color w:val="auto"/>
                      <w:szCs w:val="21"/>
                      <w:lang w:val="en-US" w:eastAsia="zh-CN"/>
                    </w:rPr>
                    <w:t>2</w:t>
                  </w:r>
                </w:p>
              </w:tc>
              <w:tc>
                <w:tcPr>
                  <w:tcW w:w="1100" w:type="dxa"/>
                  <w:noWrap w:val="0"/>
                  <w:vAlign w:val="center"/>
                </w:tcPr>
                <w:p w14:paraId="13A4807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w:t>
                  </w:r>
                  <w:r>
                    <w:rPr>
                      <w:rFonts w:hint="eastAsia" w:eastAsia="仿宋" w:cs="Times New Roman"/>
                      <w:color w:val="auto"/>
                      <w:szCs w:val="21"/>
                      <w:lang w:val="en-US" w:eastAsia="zh-CN"/>
                    </w:rPr>
                    <w:t>1</w:t>
                  </w:r>
                  <w:r>
                    <w:rPr>
                      <w:rFonts w:hint="default" w:ascii="Times New Roman" w:hAnsi="Times New Roman" w:eastAsia="仿宋" w:cs="Times New Roman"/>
                      <w:color w:val="auto"/>
                      <w:szCs w:val="21"/>
                    </w:rPr>
                    <w:t>.</w:t>
                  </w:r>
                  <w:r>
                    <w:rPr>
                      <w:rFonts w:hint="eastAsia" w:eastAsia="仿宋" w:cs="Times New Roman"/>
                      <w:color w:val="auto"/>
                      <w:szCs w:val="21"/>
                      <w:lang w:val="en-US" w:eastAsia="zh-CN"/>
                    </w:rPr>
                    <w:t>0</w:t>
                  </w:r>
                </w:p>
              </w:tc>
            </w:tr>
          </w:tbl>
          <w:p w14:paraId="3E52899A">
            <w:pPr>
              <w:keepNext w:val="0"/>
              <w:keepLines w:val="0"/>
              <w:suppressLineNumbers w:val="0"/>
              <w:tabs>
                <w:tab w:val="left" w:pos="2730"/>
              </w:tabs>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szCs w:val="21"/>
              </w:rPr>
            </w:pPr>
            <w:r>
              <w:rPr>
                <w:rFonts w:hint="default" w:ascii="Times New Roman" w:hAnsi="Times New Roman" w:cs="Times New Roman"/>
                <w:bCs/>
                <w:color w:val="auto"/>
                <w:szCs w:val="21"/>
              </w:rPr>
              <w:t>由上表可知，</w:t>
            </w:r>
            <w:r>
              <w:rPr>
                <w:rFonts w:hint="eastAsia" w:cs="Times New Roman"/>
                <w:color w:val="auto"/>
                <w:szCs w:val="21"/>
                <w:lang w:val="en-US" w:eastAsia="zh-CN"/>
              </w:rPr>
              <w:t>西港河</w:t>
            </w:r>
            <w:r>
              <w:rPr>
                <w:rFonts w:hint="default" w:ascii="Times New Roman" w:hAnsi="Times New Roman" w:cs="Times New Roman"/>
                <w:color w:val="auto"/>
                <w:szCs w:val="21"/>
              </w:rPr>
              <w:t>各监测断面pH值、COD、NH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-N、TP</w:t>
            </w:r>
            <w:r>
              <w:rPr>
                <w:rFonts w:hint="eastAsia" w:cs="Times New Roman"/>
                <w:color w:val="auto"/>
                <w:szCs w:val="21"/>
                <w:lang w:eastAsia="zh-CN"/>
              </w:rPr>
              <w:t>、</w:t>
            </w:r>
            <w:r>
              <w:rPr>
                <w:rFonts w:hint="eastAsia" w:cs="Times New Roman"/>
                <w:color w:val="auto"/>
                <w:szCs w:val="21"/>
                <w:lang w:val="en-US" w:eastAsia="zh-CN"/>
              </w:rPr>
              <w:t>TN</w:t>
            </w:r>
            <w:r>
              <w:rPr>
                <w:rFonts w:hint="default" w:ascii="Times New Roman" w:hAnsi="Times New Roman" w:cs="Times New Roman"/>
                <w:color w:val="auto"/>
                <w:szCs w:val="21"/>
              </w:rPr>
              <w:t>均达到《地表水环境质量标准》（GB3838-2002）</w:t>
            </w:r>
            <w:r>
              <w:rPr>
                <w:rFonts w:hint="default" w:ascii="Times New Roman" w:hAnsi="Times New Roman" w:eastAsia="仿宋" w:cs="Times New Roman"/>
                <w:color w:val="auto"/>
                <w:szCs w:val="21"/>
              </w:rPr>
              <w:t>Ⅲ</w:t>
            </w:r>
            <w:r>
              <w:rPr>
                <w:rFonts w:hint="default" w:ascii="Times New Roman" w:hAnsi="Times New Roman" w:cs="Times New Roman"/>
                <w:color w:val="auto"/>
                <w:szCs w:val="21"/>
              </w:rPr>
              <w:t>类水质标准要求。</w:t>
            </w:r>
          </w:p>
          <w:p w14:paraId="30F3A136">
            <w:pPr>
              <w:pStyle w:val="25"/>
              <w:keepNext w:val="0"/>
              <w:keepLines w:val="0"/>
              <w:pageBreakBefore w:val="0"/>
              <w:widowControl w:val="0"/>
              <w:numPr>
                <w:ilvl w:val="0"/>
                <w:numId w:val="8"/>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snapToGrid w:val="0"/>
                <w:color w:val="auto"/>
                <w:sz w:val="21"/>
                <w:szCs w:val="21"/>
                <w:vertAlign w:val="baseline"/>
                <w:lang w:val="en-US" w:eastAsia="zh-CN"/>
              </w:rPr>
            </w:pPr>
            <w:r>
              <w:rPr>
                <w:rFonts w:hint="default" w:ascii="Times New Roman" w:hAnsi="Times New Roman" w:eastAsia="宋体" w:cs="Times New Roman"/>
                <w:b/>
                <w:bCs/>
                <w:snapToGrid w:val="0"/>
                <w:color w:val="auto"/>
                <w:sz w:val="21"/>
                <w:szCs w:val="21"/>
                <w:vertAlign w:val="baseline"/>
                <w:lang w:val="en-US" w:eastAsia="zh-CN"/>
              </w:rPr>
              <w:t>声环境</w:t>
            </w:r>
          </w:p>
          <w:p w14:paraId="4CE9578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auto"/>
              </w:rPr>
            </w:pPr>
            <w:r>
              <w:rPr>
                <w:rFonts w:hint="default" w:ascii="Times New Roman" w:hAnsi="Times New Roman" w:cs="Times New Roman"/>
                <w:color w:val="auto"/>
                <w:lang w:val="en-US" w:eastAsia="zh-CN"/>
              </w:rPr>
              <w:t>本</w:t>
            </w:r>
            <w:r>
              <w:rPr>
                <w:rFonts w:hint="default" w:ascii="Times New Roman" w:hAnsi="Times New Roman" w:cs="Times New Roman"/>
                <w:color w:val="auto"/>
              </w:rPr>
              <w:t>项目厂界外50m范围内</w:t>
            </w:r>
            <w:r>
              <w:rPr>
                <w:rFonts w:hint="eastAsia" w:cs="Times New Roman"/>
                <w:color w:val="auto"/>
                <w:lang w:val="en-US" w:eastAsia="zh-CN"/>
              </w:rPr>
              <w:t>无</w:t>
            </w:r>
            <w:r>
              <w:rPr>
                <w:rFonts w:hint="default" w:ascii="Times New Roman" w:hAnsi="Times New Roman" w:cs="Times New Roman"/>
                <w:color w:val="auto"/>
              </w:rPr>
              <w:t>声环境保护目标</w:t>
            </w:r>
            <w:r>
              <w:rPr>
                <w:rFonts w:hint="default" w:ascii="Times New Roman" w:hAnsi="Times New Roman" w:cs="Times New Roman"/>
                <w:color w:val="auto"/>
                <w:lang w:eastAsia="zh-CN"/>
              </w:rPr>
              <w:t>，</w:t>
            </w:r>
            <w:r>
              <w:rPr>
                <w:rFonts w:hint="eastAsia" w:cs="Times New Roman"/>
                <w:color w:val="auto"/>
                <w:lang w:val="en-US" w:eastAsia="zh-CN"/>
              </w:rPr>
              <w:t>无需</w:t>
            </w:r>
            <w:r>
              <w:rPr>
                <w:rFonts w:hint="default" w:ascii="Times New Roman" w:hAnsi="Times New Roman" w:cs="Times New Roman"/>
                <w:color w:val="auto"/>
                <w:lang w:val="en-US" w:eastAsia="zh-CN"/>
              </w:rPr>
              <w:t>开展声环境质量现状调查</w:t>
            </w:r>
            <w:r>
              <w:rPr>
                <w:rFonts w:hint="default" w:ascii="Times New Roman" w:hAnsi="Times New Roman" w:cs="Times New Roman"/>
                <w:color w:val="auto"/>
              </w:rPr>
              <w:t>。</w:t>
            </w:r>
          </w:p>
          <w:p w14:paraId="3CA0CA50">
            <w:pPr>
              <w:pStyle w:val="25"/>
              <w:keepNext w:val="0"/>
              <w:keepLines w:val="0"/>
              <w:pageBreakBefore w:val="0"/>
              <w:widowControl w:val="0"/>
              <w:numPr>
                <w:ilvl w:val="0"/>
                <w:numId w:val="8"/>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snapToGrid w:val="0"/>
                <w:color w:val="auto"/>
                <w:sz w:val="21"/>
                <w:szCs w:val="21"/>
                <w:vertAlign w:val="baseline"/>
                <w:lang w:val="en-US" w:eastAsia="zh-CN"/>
              </w:rPr>
            </w:pPr>
            <w:r>
              <w:rPr>
                <w:rFonts w:hint="default" w:ascii="Times New Roman" w:hAnsi="Times New Roman" w:eastAsia="宋体" w:cs="Times New Roman"/>
                <w:b/>
                <w:bCs/>
                <w:snapToGrid w:val="0"/>
                <w:color w:val="auto"/>
                <w:sz w:val="21"/>
                <w:szCs w:val="21"/>
                <w:vertAlign w:val="baseline"/>
                <w:lang w:val="en-US" w:eastAsia="zh-CN"/>
              </w:rPr>
              <w:t>生态环境</w:t>
            </w:r>
          </w:p>
          <w:p w14:paraId="20E1F9CD">
            <w:pPr>
              <w:pStyle w:val="2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本项目位于</w:t>
            </w:r>
            <w:r>
              <w:rPr>
                <w:rFonts w:hint="eastAsia" w:ascii="Times New Roman" w:hAnsi="Times New Roman" w:eastAsia="宋体" w:cs="Times New Roman"/>
                <w:snapToGrid w:val="0"/>
                <w:color w:val="auto"/>
                <w:sz w:val="21"/>
                <w:szCs w:val="21"/>
                <w:vertAlign w:val="baseline"/>
                <w:lang w:val="en-US" w:eastAsia="zh-CN"/>
              </w:rPr>
              <w:t>常州市金坛区朱林镇西岗集镇港城路99号</w:t>
            </w:r>
            <w:r>
              <w:rPr>
                <w:rFonts w:hint="default" w:ascii="Times New Roman" w:hAnsi="Times New Roman" w:eastAsia="宋体" w:cs="Times New Roman"/>
                <w:snapToGrid w:val="0"/>
                <w:color w:val="auto"/>
                <w:sz w:val="21"/>
                <w:szCs w:val="21"/>
                <w:vertAlign w:val="baseline"/>
                <w:lang w:val="en-US" w:eastAsia="zh-CN"/>
              </w:rPr>
              <w:t>，</w:t>
            </w:r>
            <w:r>
              <w:rPr>
                <w:rFonts w:hint="eastAsia" w:ascii="Times New Roman" w:hAnsi="Times New Roman" w:eastAsia="宋体" w:cs="Times New Roman"/>
                <w:snapToGrid w:val="0"/>
                <w:color w:val="auto"/>
                <w:sz w:val="21"/>
                <w:szCs w:val="21"/>
                <w:vertAlign w:val="baseline"/>
                <w:lang w:val="en-US" w:eastAsia="zh-CN"/>
              </w:rPr>
              <w:t>不新增用地</w:t>
            </w:r>
            <w:r>
              <w:rPr>
                <w:rFonts w:hint="default" w:ascii="Times New Roman" w:hAnsi="Times New Roman" w:eastAsia="宋体" w:cs="Times New Roman"/>
                <w:snapToGrid w:val="0"/>
                <w:color w:val="auto"/>
                <w:sz w:val="21"/>
                <w:szCs w:val="21"/>
                <w:vertAlign w:val="baseline"/>
                <w:lang w:val="en-US" w:eastAsia="zh-CN"/>
              </w:rPr>
              <w:t>且用地范围内无生态环境保护目标，</w:t>
            </w:r>
            <w:r>
              <w:rPr>
                <w:rFonts w:hint="eastAsia" w:ascii="Times New Roman" w:hAnsi="Times New Roman" w:eastAsia="宋体" w:cs="Times New Roman"/>
                <w:snapToGrid w:val="0"/>
                <w:color w:val="auto"/>
                <w:sz w:val="21"/>
                <w:szCs w:val="21"/>
                <w:vertAlign w:val="baseline"/>
                <w:lang w:val="en-US" w:eastAsia="zh-CN"/>
              </w:rPr>
              <w:t>无需</w:t>
            </w:r>
            <w:r>
              <w:rPr>
                <w:rFonts w:hint="default" w:ascii="Times New Roman" w:hAnsi="Times New Roman" w:eastAsia="宋体" w:cs="Times New Roman"/>
                <w:snapToGrid w:val="0"/>
                <w:color w:val="auto"/>
                <w:sz w:val="21"/>
                <w:szCs w:val="21"/>
                <w:vertAlign w:val="baseline"/>
                <w:lang w:val="en-US" w:eastAsia="zh-CN"/>
              </w:rPr>
              <w:t>进行生态现状调查。</w:t>
            </w:r>
          </w:p>
          <w:p w14:paraId="426BAD60">
            <w:pPr>
              <w:pStyle w:val="25"/>
              <w:keepNext w:val="0"/>
              <w:keepLines w:val="0"/>
              <w:pageBreakBefore w:val="0"/>
              <w:widowControl w:val="0"/>
              <w:numPr>
                <w:ilvl w:val="0"/>
                <w:numId w:val="8"/>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snapToGrid w:val="0"/>
                <w:color w:val="auto"/>
                <w:sz w:val="21"/>
                <w:szCs w:val="21"/>
                <w:vertAlign w:val="baseline"/>
                <w:lang w:val="en-US" w:eastAsia="zh-CN"/>
              </w:rPr>
            </w:pPr>
            <w:r>
              <w:rPr>
                <w:rFonts w:hint="default" w:ascii="Times New Roman" w:hAnsi="Times New Roman" w:eastAsia="宋体" w:cs="Times New Roman"/>
                <w:b/>
                <w:bCs/>
                <w:snapToGrid w:val="0"/>
                <w:color w:val="auto"/>
                <w:sz w:val="21"/>
                <w:szCs w:val="21"/>
                <w:vertAlign w:val="baseline"/>
                <w:lang w:val="en-US" w:eastAsia="zh-CN"/>
              </w:rPr>
              <w:t>电磁辐射</w:t>
            </w:r>
          </w:p>
          <w:p w14:paraId="591DFF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default" w:ascii="Times New Roman" w:hAnsi="Times New Roman" w:eastAsia="宋体" w:cs="Times New Roman"/>
                <w:snapToGrid w:val="0"/>
                <w:color w:val="auto"/>
                <w:kern w:val="0"/>
                <w:sz w:val="21"/>
                <w:szCs w:val="21"/>
                <w:vertAlign w:val="baseline"/>
                <w:lang w:val="en-US" w:eastAsia="zh-CN" w:bidi="ar-SA"/>
              </w:rPr>
              <w:t>本项目不存在电磁辐射影响。</w:t>
            </w:r>
          </w:p>
          <w:p w14:paraId="36DFC49C">
            <w:pPr>
              <w:pStyle w:val="25"/>
              <w:keepNext w:val="0"/>
              <w:keepLines w:val="0"/>
              <w:pageBreakBefore w:val="0"/>
              <w:widowControl w:val="0"/>
              <w:numPr>
                <w:ilvl w:val="0"/>
                <w:numId w:val="8"/>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snapToGrid w:val="0"/>
                <w:color w:val="auto"/>
                <w:sz w:val="21"/>
                <w:szCs w:val="21"/>
                <w:vertAlign w:val="baseline"/>
                <w:lang w:val="en-US" w:eastAsia="zh-CN"/>
              </w:rPr>
            </w:pPr>
            <w:r>
              <w:rPr>
                <w:rFonts w:hint="default" w:ascii="Times New Roman" w:hAnsi="Times New Roman" w:eastAsia="宋体" w:cs="Times New Roman"/>
                <w:b/>
                <w:bCs/>
                <w:snapToGrid w:val="0"/>
                <w:color w:val="auto"/>
                <w:sz w:val="21"/>
                <w:szCs w:val="21"/>
                <w:vertAlign w:val="baseline"/>
                <w:lang w:val="en-US" w:eastAsia="zh-CN"/>
              </w:rPr>
              <w:t>地下水、土壤</w:t>
            </w:r>
          </w:p>
          <w:p w14:paraId="678CBF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kern w:val="0"/>
                <w:szCs w:val="21"/>
                <w:lang w:val="en-US"/>
              </w:rPr>
            </w:pPr>
            <w:r>
              <w:rPr>
                <w:rFonts w:hint="default" w:ascii="Times New Roman" w:hAnsi="Times New Roman" w:cs="Times New Roman"/>
                <w:color w:val="auto"/>
                <w:kern w:val="0"/>
                <w:szCs w:val="21"/>
                <w:lang w:val="en-US"/>
              </w:rPr>
              <w:t>根据《关于印发&lt;建设项目环境影响报告表&gt;内容、格式及编制技术指南的通知》（环办环评[2020]33号）：“地下水和土壤环境原则上不开展环境质量现状调查。建设项目存在土壤、地下水</w:t>
            </w:r>
            <w:r>
              <w:rPr>
                <w:rFonts w:hint="default" w:ascii="Times New Roman" w:hAnsi="Times New Roman" w:eastAsia="宋体" w:cs="Times New Roman"/>
                <w:color w:val="auto"/>
                <w:kern w:val="0"/>
                <w:szCs w:val="21"/>
                <w:lang w:val="en-US"/>
              </w:rPr>
              <w:t>环境污染途径的，应结合污染源、保护目标分布情况开展现状调查以留作背景值”。</w:t>
            </w:r>
          </w:p>
          <w:p w14:paraId="4E3954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cs="Times New Roman"/>
                <w:color w:val="auto"/>
                <w:lang w:val="en-US" w:eastAsia="zh-CN"/>
              </w:rPr>
            </w:pPr>
            <w:r>
              <w:rPr>
                <w:rFonts w:hint="default" w:ascii="Times New Roman" w:hAnsi="Times New Roman" w:eastAsia="宋体" w:cs="Times New Roman"/>
                <w:color w:val="auto"/>
                <w:kern w:val="0"/>
                <w:szCs w:val="21"/>
                <w:lang w:val="en-US"/>
              </w:rPr>
              <w:t>本项目产品为</w:t>
            </w:r>
            <w:r>
              <w:rPr>
                <w:rFonts w:hint="eastAsia" w:cs="Times New Roman"/>
                <w:color w:val="auto"/>
                <w:kern w:val="0"/>
                <w:szCs w:val="21"/>
                <w:lang w:val="en-US" w:eastAsia="zh-CN"/>
              </w:rPr>
              <w:t>橡胶配件</w:t>
            </w:r>
            <w:r>
              <w:rPr>
                <w:rFonts w:hint="default" w:ascii="Times New Roman" w:hAnsi="Times New Roman" w:eastAsia="宋体" w:cs="Times New Roman"/>
                <w:color w:val="auto"/>
                <w:kern w:val="0"/>
                <w:szCs w:val="21"/>
                <w:lang w:val="en-US"/>
              </w:rPr>
              <w:t>，参照《农用地土壤污染状况详查点位布设技术规定》</w:t>
            </w:r>
            <w:r>
              <w:rPr>
                <w:rFonts w:hint="eastAsia" w:cs="Times New Roman"/>
                <w:color w:val="auto"/>
                <w:kern w:val="0"/>
                <w:szCs w:val="21"/>
                <w:lang w:val="en-US" w:eastAsia="zh-CN"/>
              </w:rPr>
              <w:t>（</w:t>
            </w:r>
            <w:r>
              <w:rPr>
                <w:rFonts w:hint="default" w:ascii="Times New Roman" w:hAnsi="Times New Roman" w:eastAsia="宋体" w:cs="Times New Roman"/>
                <w:color w:val="auto"/>
                <w:kern w:val="0"/>
                <w:szCs w:val="21"/>
                <w:lang w:val="en-US"/>
              </w:rPr>
              <w:t>环办土壤函〔2017〕1021号</w:t>
            </w:r>
            <w:r>
              <w:rPr>
                <w:rFonts w:hint="eastAsia" w:cs="Times New Roman"/>
                <w:color w:val="auto"/>
                <w:kern w:val="0"/>
                <w:szCs w:val="21"/>
                <w:lang w:val="en-US" w:eastAsia="zh-CN"/>
              </w:rPr>
              <w:t>）</w:t>
            </w:r>
            <w:r>
              <w:rPr>
                <w:rFonts w:hint="default" w:ascii="Times New Roman" w:hAnsi="Times New Roman" w:eastAsia="宋体" w:cs="Times New Roman"/>
                <w:color w:val="auto"/>
                <w:kern w:val="0"/>
                <w:szCs w:val="21"/>
                <w:lang w:val="en-US"/>
              </w:rPr>
              <w:t>相关内容，项目未列入需考虑大气沉降影响行业。另外，大气沉降主要考虑重点重金属、持久性有机污染物（特别是二噁英，典型行业有铅蓄电池和危废焚烧等）、难降解有机污染物（苯系物等）以及最高法司法解释中规定的（主要有危废、剧毒化合物、重金属、农药等持久性有机污染物）。本项目废气不属于重点重金属、持久性有机污染物或难降解有机污染物，大气沉降对土壤基本无影响。本项目厂房地面</w:t>
            </w:r>
            <w:r>
              <w:rPr>
                <w:rFonts w:hint="eastAsia" w:ascii="Times New Roman" w:hAnsi="Times New Roman" w:eastAsia="宋体" w:cs="Times New Roman"/>
                <w:color w:val="auto"/>
                <w:kern w:val="0"/>
                <w:szCs w:val="21"/>
                <w:lang w:val="en-US" w:eastAsia="zh-CN"/>
              </w:rPr>
              <w:t>拟</w:t>
            </w:r>
            <w:r>
              <w:rPr>
                <w:rFonts w:hint="default" w:ascii="Times New Roman" w:hAnsi="Times New Roman" w:eastAsia="宋体" w:cs="Times New Roman"/>
                <w:color w:val="auto"/>
                <w:kern w:val="0"/>
                <w:szCs w:val="21"/>
                <w:lang w:val="en-US"/>
              </w:rPr>
              <w:t>做水泥硬化处理</w:t>
            </w:r>
            <w:r>
              <w:rPr>
                <w:rFonts w:hint="eastAsia"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lang w:val="en-US"/>
              </w:rPr>
              <w:t>使用的原料均为密</w:t>
            </w:r>
            <w:r>
              <w:rPr>
                <w:rFonts w:hint="eastAsia" w:cs="Times New Roman"/>
                <w:color w:val="auto"/>
                <w:kern w:val="0"/>
                <w:szCs w:val="21"/>
                <w:lang w:val="en-US" w:eastAsia="zh-CN"/>
              </w:rPr>
              <w:t>封包</w:t>
            </w:r>
            <w:r>
              <w:rPr>
                <w:rFonts w:hint="default" w:ascii="Times New Roman" w:hAnsi="Times New Roman" w:eastAsia="宋体" w:cs="Times New Roman"/>
                <w:color w:val="auto"/>
                <w:kern w:val="0"/>
                <w:szCs w:val="21"/>
                <w:lang w:val="en-US"/>
              </w:rPr>
              <w:t>装，</w:t>
            </w:r>
            <w:r>
              <w:rPr>
                <w:rFonts w:hint="eastAsia" w:ascii="Times New Roman" w:hAnsi="Times New Roman" w:eastAsia="宋体" w:cs="Times New Roman"/>
                <w:color w:val="auto"/>
                <w:kern w:val="0"/>
                <w:szCs w:val="21"/>
                <w:lang w:val="en-US" w:eastAsia="zh-CN"/>
              </w:rPr>
              <w:t>拟</w:t>
            </w:r>
            <w:r>
              <w:rPr>
                <w:rFonts w:hint="default" w:ascii="Times New Roman" w:hAnsi="Times New Roman" w:eastAsia="宋体" w:cs="Times New Roman"/>
                <w:color w:val="auto"/>
                <w:kern w:val="0"/>
                <w:szCs w:val="21"/>
                <w:lang w:val="en-US"/>
              </w:rPr>
              <w:t>存放于原料</w:t>
            </w:r>
            <w:r>
              <w:rPr>
                <w:rFonts w:hint="eastAsia" w:ascii="Times New Roman" w:hAnsi="Times New Roman" w:eastAsia="宋体" w:cs="Times New Roman"/>
                <w:color w:val="auto"/>
                <w:kern w:val="0"/>
                <w:szCs w:val="21"/>
                <w:lang w:val="en-US" w:eastAsia="zh-CN"/>
              </w:rPr>
              <w:t>仓库</w:t>
            </w:r>
            <w:r>
              <w:rPr>
                <w:rFonts w:hint="default" w:ascii="Times New Roman" w:hAnsi="Times New Roman" w:eastAsia="宋体" w:cs="Times New Roman"/>
                <w:color w:val="auto"/>
                <w:kern w:val="0"/>
                <w:szCs w:val="21"/>
                <w:lang w:val="en-US"/>
              </w:rPr>
              <w:t>，在落实本项目提出的措施后，正常工况下，不存在污染途径，可不进行</w:t>
            </w:r>
            <w:r>
              <w:rPr>
                <w:rFonts w:hint="eastAsia" w:ascii="Times New Roman" w:hAnsi="Times New Roman" w:eastAsia="宋体" w:cs="Times New Roman"/>
                <w:color w:val="auto"/>
                <w:kern w:val="0"/>
                <w:szCs w:val="21"/>
                <w:lang w:val="en-US" w:eastAsia="zh-CN"/>
              </w:rPr>
              <w:t>土壤及</w:t>
            </w:r>
            <w:r>
              <w:rPr>
                <w:rFonts w:hint="default" w:ascii="Times New Roman" w:hAnsi="Times New Roman" w:eastAsia="宋体" w:cs="Times New Roman"/>
                <w:color w:val="auto"/>
                <w:kern w:val="0"/>
                <w:szCs w:val="21"/>
                <w:lang w:val="en-US"/>
              </w:rPr>
              <w:t>地下水评价。</w:t>
            </w:r>
          </w:p>
        </w:tc>
      </w:tr>
      <w:tr w14:paraId="09B37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458" w:type="dxa"/>
            <w:noWrap w:val="0"/>
            <w:vAlign w:val="center"/>
          </w:tcPr>
          <w:p w14:paraId="46FA74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环境</w:t>
            </w:r>
          </w:p>
          <w:p w14:paraId="0FD0329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保护</w:t>
            </w:r>
          </w:p>
          <w:p w14:paraId="60E1B6C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b w:val="0"/>
                <w:bCs w:val="0"/>
                <w:color w:val="auto"/>
                <w:kern w:val="0"/>
                <w:sz w:val="21"/>
                <w:szCs w:val="21"/>
              </w:rPr>
              <w:t>目标</w:t>
            </w:r>
          </w:p>
        </w:tc>
        <w:tc>
          <w:tcPr>
            <w:tcW w:w="9134" w:type="dxa"/>
            <w:noWrap w:val="0"/>
            <w:vAlign w:val="center"/>
          </w:tcPr>
          <w:p w14:paraId="100C56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1、大气环境保护目标</w:t>
            </w:r>
          </w:p>
          <w:p w14:paraId="04D82B82">
            <w:pPr>
              <w:keepNext w:val="0"/>
              <w:keepLines w:val="0"/>
              <w:suppressLineNumbers w:val="0"/>
              <w:tabs>
                <w:tab w:val="left" w:pos="2730"/>
                <w:tab w:val="left" w:pos="8100"/>
              </w:tabs>
              <w:spacing w:before="0" w:beforeAutospacing="0" w:after="0" w:afterAutospacing="0"/>
              <w:ind w:left="0" w:right="0"/>
              <w:jc w:val="center"/>
              <w:rPr>
                <w:rFonts w:hint="default" w:ascii="Times New Roman" w:hAnsi="Times New Roman" w:eastAsia="宋体" w:cs="Times New Roman"/>
                <w:b/>
                <w:bCs w:val="0"/>
                <w:color w:val="auto"/>
                <w:kern w:val="0"/>
                <w:szCs w:val="21"/>
              </w:rPr>
            </w:pPr>
            <w:r>
              <w:rPr>
                <w:rFonts w:hint="default" w:ascii="Times New Roman" w:hAnsi="Times New Roman" w:eastAsia="宋体" w:cs="Times New Roman"/>
                <w:b/>
                <w:bCs w:val="0"/>
                <w:color w:val="auto"/>
                <w:kern w:val="0"/>
                <w:szCs w:val="21"/>
              </w:rPr>
              <w:t>表3-</w:t>
            </w:r>
            <w:r>
              <w:rPr>
                <w:rFonts w:hint="eastAsia" w:cs="Times New Roman"/>
                <w:b/>
                <w:bCs w:val="0"/>
                <w:color w:val="auto"/>
                <w:kern w:val="0"/>
                <w:szCs w:val="21"/>
                <w:lang w:val="en-US" w:eastAsia="zh-CN"/>
              </w:rPr>
              <w:t>4</w:t>
            </w:r>
            <w:r>
              <w:rPr>
                <w:rFonts w:hint="default" w:ascii="Times New Roman" w:hAnsi="Times New Roman" w:eastAsia="宋体" w:cs="Times New Roman"/>
                <w:b/>
                <w:bCs w:val="0"/>
                <w:color w:val="auto"/>
                <w:kern w:val="0"/>
                <w:szCs w:val="21"/>
              </w:rPr>
              <w:t xml:space="preserve">  </w:t>
            </w:r>
            <w:r>
              <w:rPr>
                <w:rFonts w:hint="eastAsia" w:ascii="Times New Roman" w:hAnsi="Times New Roman" w:eastAsia="宋体" w:cs="Times New Roman"/>
                <w:b/>
                <w:bCs w:val="0"/>
                <w:color w:val="auto"/>
                <w:kern w:val="0"/>
                <w:szCs w:val="21"/>
              </w:rPr>
              <w:t>主要环境保护目标</w:t>
            </w:r>
          </w:p>
          <w:tbl>
            <w:tblPr>
              <w:tblStyle w:val="27"/>
              <w:tblW w:w="89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550"/>
              <w:gridCol w:w="1475"/>
              <w:gridCol w:w="856"/>
              <w:gridCol w:w="847"/>
              <w:gridCol w:w="1275"/>
              <w:gridCol w:w="710"/>
              <w:gridCol w:w="1129"/>
            </w:tblGrid>
            <w:tr w14:paraId="5EB99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1" w:type="dxa"/>
                  <w:vMerge w:val="restart"/>
                  <w:noWrap w:val="0"/>
                  <w:vAlign w:val="center"/>
                </w:tcPr>
                <w:p w14:paraId="11A900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Cs w:val="21"/>
                    </w:rPr>
                  </w:pPr>
                  <w:r>
                    <w:rPr>
                      <w:rFonts w:hint="eastAsia" w:ascii="Times New Roman" w:hAnsi="Times New Roman" w:eastAsia="仿宋" w:cs="Times New Roman"/>
                      <w:b w:val="0"/>
                      <w:bCs w:val="0"/>
                      <w:color w:val="auto"/>
                      <w:szCs w:val="21"/>
                      <w:lang w:val="en-US" w:eastAsia="zh-CN"/>
                    </w:rPr>
                    <w:t>保护对象</w:t>
                  </w:r>
                  <w:r>
                    <w:rPr>
                      <w:rFonts w:hint="default" w:ascii="Times New Roman" w:hAnsi="Times New Roman" w:eastAsia="仿宋" w:cs="Times New Roman"/>
                      <w:b w:val="0"/>
                      <w:bCs w:val="0"/>
                      <w:color w:val="auto"/>
                      <w:szCs w:val="21"/>
                    </w:rPr>
                    <w:t>名称</w:t>
                  </w:r>
                </w:p>
              </w:tc>
              <w:tc>
                <w:tcPr>
                  <w:tcW w:w="3025" w:type="dxa"/>
                  <w:gridSpan w:val="2"/>
                  <w:noWrap w:val="0"/>
                  <w:vAlign w:val="center"/>
                </w:tcPr>
                <w:p w14:paraId="51E518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Cs w:val="21"/>
                    </w:rPr>
                  </w:pPr>
                  <w:r>
                    <w:rPr>
                      <w:rFonts w:hint="eastAsia" w:ascii="Times New Roman" w:hAnsi="Times New Roman" w:eastAsia="仿宋" w:cs="Times New Roman"/>
                      <w:b w:val="0"/>
                      <w:bCs w:val="0"/>
                      <w:color w:val="auto"/>
                      <w:szCs w:val="21"/>
                    </w:rPr>
                    <w:t>经纬度</w:t>
                  </w:r>
                </w:p>
              </w:tc>
              <w:tc>
                <w:tcPr>
                  <w:tcW w:w="856" w:type="dxa"/>
                  <w:vMerge w:val="restart"/>
                  <w:noWrap w:val="0"/>
                  <w:vAlign w:val="center"/>
                </w:tcPr>
                <w:p w14:paraId="7B15DC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Cs w:val="21"/>
                    </w:rPr>
                  </w:pPr>
                  <w:r>
                    <w:rPr>
                      <w:rFonts w:hint="default" w:ascii="Times New Roman" w:hAnsi="Times New Roman" w:eastAsia="仿宋" w:cs="Times New Roman"/>
                      <w:b w:val="0"/>
                      <w:bCs w:val="0"/>
                      <w:color w:val="auto"/>
                      <w:szCs w:val="21"/>
                    </w:rPr>
                    <w:t>保护</w:t>
                  </w:r>
                </w:p>
                <w:p w14:paraId="32BE99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Cs w:val="21"/>
                    </w:rPr>
                  </w:pPr>
                  <w:r>
                    <w:rPr>
                      <w:rFonts w:hint="default" w:ascii="Times New Roman" w:hAnsi="Times New Roman" w:eastAsia="仿宋" w:cs="Times New Roman"/>
                      <w:b w:val="0"/>
                      <w:bCs w:val="0"/>
                      <w:color w:val="auto"/>
                      <w:szCs w:val="21"/>
                    </w:rPr>
                    <w:t>对象</w:t>
                  </w:r>
                </w:p>
              </w:tc>
              <w:tc>
                <w:tcPr>
                  <w:tcW w:w="847" w:type="dxa"/>
                  <w:vMerge w:val="restart"/>
                  <w:noWrap w:val="0"/>
                  <w:vAlign w:val="center"/>
                </w:tcPr>
                <w:p w14:paraId="10F2C9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Cs w:val="21"/>
                    </w:rPr>
                  </w:pPr>
                  <w:r>
                    <w:rPr>
                      <w:rFonts w:hint="default" w:ascii="Times New Roman" w:hAnsi="Times New Roman" w:eastAsia="仿宋" w:cs="Times New Roman"/>
                      <w:b w:val="0"/>
                      <w:bCs w:val="0"/>
                      <w:color w:val="auto"/>
                      <w:szCs w:val="21"/>
                    </w:rPr>
                    <w:t>环境</w:t>
                  </w:r>
                </w:p>
                <w:p w14:paraId="6A65B7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Cs w:val="21"/>
                    </w:rPr>
                  </w:pPr>
                  <w:r>
                    <w:rPr>
                      <w:rFonts w:hint="default" w:ascii="Times New Roman" w:hAnsi="Times New Roman" w:eastAsia="仿宋" w:cs="Times New Roman"/>
                      <w:b w:val="0"/>
                      <w:bCs w:val="0"/>
                      <w:color w:val="auto"/>
                      <w:szCs w:val="21"/>
                    </w:rPr>
                    <w:t>功能区</w:t>
                  </w:r>
                </w:p>
              </w:tc>
              <w:tc>
                <w:tcPr>
                  <w:tcW w:w="1275" w:type="dxa"/>
                  <w:vMerge w:val="restart"/>
                  <w:noWrap w:val="0"/>
                  <w:vAlign w:val="center"/>
                </w:tcPr>
                <w:p w14:paraId="51C0B5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Cs w:val="21"/>
                    </w:rPr>
                  </w:pPr>
                  <w:r>
                    <w:rPr>
                      <w:rFonts w:hint="default" w:ascii="Times New Roman" w:hAnsi="Times New Roman" w:eastAsia="仿宋" w:cs="Times New Roman"/>
                      <w:b w:val="0"/>
                      <w:bCs w:val="0"/>
                      <w:color w:val="auto"/>
                      <w:szCs w:val="21"/>
                    </w:rPr>
                    <w:t>规模</w:t>
                  </w:r>
                </w:p>
              </w:tc>
              <w:tc>
                <w:tcPr>
                  <w:tcW w:w="710" w:type="dxa"/>
                  <w:vMerge w:val="restart"/>
                  <w:noWrap w:val="0"/>
                  <w:vAlign w:val="center"/>
                </w:tcPr>
                <w:p w14:paraId="7E0619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Cs w:val="21"/>
                    </w:rPr>
                  </w:pPr>
                  <w:r>
                    <w:rPr>
                      <w:rFonts w:hint="default" w:ascii="Times New Roman" w:hAnsi="Times New Roman" w:eastAsia="仿宋" w:cs="Times New Roman"/>
                      <w:b w:val="0"/>
                      <w:bCs w:val="0"/>
                      <w:color w:val="auto"/>
                      <w:szCs w:val="21"/>
                    </w:rPr>
                    <w:t>相对方位</w:t>
                  </w:r>
                </w:p>
              </w:tc>
              <w:tc>
                <w:tcPr>
                  <w:tcW w:w="1129" w:type="dxa"/>
                  <w:vMerge w:val="restart"/>
                  <w:noWrap w:val="0"/>
                  <w:vAlign w:val="center"/>
                </w:tcPr>
                <w:p w14:paraId="05FDB4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Cs w:val="21"/>
                    </w:rPr>
                  </w:pPr>
                  <w:r>
                    <w:rPr>
                      <w:rFonts w:hint="default" w:ascii="Times New Roman" w:hAnsi="Times New Roman" w:eastAsia="仿宋" w:cs="Times New Roman"/>
                      <w:b w:val="0"/>
                      <w:bCs w:val="0"/>
                      <w:color w:val="auto"/>
                      <w:szCs w:val="21"/>
                    </w:rPr>
                    <w:t>相对厂界距离</w:t>
                  </w:r>
                  <w:r>
                    <w:rPr>
                      <w:rFonts w:hint="eastAsia" w:eastAsia="仿宋" w:cs="Times New Roman"/>
                      <w:b w:val="0"/>
                      <w:bCs w:val="0"/>
                      <w:color w:val="auto"/>
                      <w:szCs w:val="21"/>
                      <w:lang w:val="en-US" w:eastAsia="zh-CN"/>
                    </w:rPr>
                    <w:t>*</w:t>
                  </w:r>
                  <w:r>
                    <w:rPr>
                      <w:rFonts w:hint="default" w:ascii="Times New Roman" w:hAnsi="Times New Roman" w:eastAsia="仿宋" w:cs="Times New Roman"/>
                      <w:b w:val="0"/>
                      <w:bCs w:val="0"/>
                      <w:color w:val="auto"/>
                      <w:szCs w:val="21"/>
                    </w:rPr>
                    <w:t>（m）</w:t>
                  </w:r>
                </w:p>
              </w:tc>
            </w:tr>
            <w:tr w14:paraId="2D9BB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1" w:type="dxa"/>
                  <w:vMerge w:val="continue"/>
                  <w:noWrap w:val="0"/>
                  <w:vAlign w:val="center"/>
                </w:tcPr>
                <w:p w14:paraId="5AAA41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c>
                <w:tcPr>
                  <w:tcW w:w="1550" w:type="dxa"/>
                  <w:noWrap w:val="0"/>
                  <w:vAlign w:val="center"/>
                </w:tcPr>
                <w:p w14:paraId="4623B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Cs w:val="21"/>
                    </w:rPr>
                  </w:pPr>
                  <w:r>
                    <w:rPr>
                      <w:rFonts w:hint="eastAsia" w:ascii="Times New Roman" w:hAnsi="Times New Roman" w:eastAsia="仿宋" w:cs="Times New Roman"/>
                      <w:b w:val="0"/>
                      <w:bCs w:val="0"/>
                      <w:color w:val="auto"/>
                      <w:szCs w:val="21"/>
                    </w:rPr>
                    <w:t>经度</w:t>
                  </w:r>
                </w:p>
              </w:tc>
              <w:tc>
                <w:tcPr>
                  <w:tcW w:w="1475" w:type="dxa"/>
                  <w:noWrap w:val="0"/>
                  <w:vAlign w:val="center"/>
                </w:tcPr>
                <w:p w14:paraId="3C75B7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Cs w:val="21"/>
                    </w:rPr>
                  </w:pPr>
                  <w:r>
                    <w:rPr>
                      <w:rFonts w:hint="eastAsia" w:ascii="Times New Roman" w:hAnsi="Times New Roman" w:eastAsia="仿宋" w:cs="Times New Roman"/>
                      <w:b w:val="0"/>
                      <w:bCs w:val="0"/>
                      <w:color w:val="auto"/>
                      <w:szCs w:val="21"/>
                    </w:rPr>
                    <w:t>纬度</w:t>
                  </w:r>
                </w:p>
              </w:tc>
              <w:tc>
                <w:tcPr>
                  <w:tcW w:w="856" w:type="dxa"/>
                  <w:vMerge w:val="continue"/>
                  <w:noWrap w:val="0"/>
                  <w:vAlign w:val="center"/>
                </w:tcPr>
                <w:p w14:paraId="3346AC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c>
                <w:tcPr>
                  <w:tcW w:w="847" w:type="dxa"/>
                  <w:vMerge w:val="continue"/>
                  <w:noWrap w:val="0"/>
                  <w:vAlign w:val="center"/>
                </w:tcPr>
                <w:p w14:paraId="4ADCD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c>
                <w:tcPr>
                  <w:tcW w:w="1275" w:type="dxa"/>
                  <w:vMerge w:val="continue"/>
                  <w:noWrap w:val="0"/>
                  <w:vAlign w:val="center"/>
                </w:tcPr>
                <w:p w14:paraId="4C2CE1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c>
                <w:tcPr>
                  <w:tcW w:w="710" w:type="dxa"/>
                  <w:vMerge w:val="continue"/>
                  <w:noWrap w:val="0"/>
                  <w:vAlign w:val="center"/>
                </w:tcPr>
                <w:p w14:paraId="0CCB94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c>
                <w:tcPr>
                  <w:tcW w:w="1129" w:type="dxa"/>
                  <w:vMerge w:val="continue"/>
                  <w:noWrap w:val="0"/>
                  <w:vAlign w:val="center"/>
                </w:tcPr>
                <w:p w14:paraId="7FDB0B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r>
            <w:tr w14:paraId="565AA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1" w:type="dxa"/>
                  <w:noWrap w:val="0"/>
                  <w:vAlign w:val="center"/>
                </w:tcPr>
                <w:p w14:paraId="005010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仿宋" w:cs="Times New Roman"/>
                      <w:color w:val="auto"/>
                      <w:szCs w:val="21"/>
                      <w:lang w:val="en-US" w:eastAsia="zh-CN"/>
                    </w:rPr>
                  </w:pPr>
                  <w:r>
                    <w:rPr>
                      <w:rFonts w:hint="eastAsia" w:eastAsia="仿宋" w:cs="Times New Roman"/>
                      <w:color w:val="auto"/>
                      <w:szCs w:val="21"/>
                      <w:lang w:val="en-US" w:eastAsia="zh-CN"/>
                    </w:rPr>
                    <w:t>成家圩</w:t>
                  </w:r>
                </w:p>
              </w:tc>
              <w:tc>
                <w:tcPr>
                  <w:tcW w:w="1550" w:type="dxa"/>
                  <w:noWrap w:val="0"/>
                  <w:vAlign w:val="center"/>
                </w:tcPr>
                <w:p w14:paraId="2C913B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119°29'01.373"</w:t>
                  </w:r>
                </w:p>
              </w:tc>
              <w:tc>
                <w:tcPr>
                  <w:tcW w:w="1475" w:type="dxa"/>
                  <w:noWrap w:val="0"/>
                  <w:vAlign w:val="center"/>
                </w:tcPr>
                <w:p w14:paraId="41F371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31°42'35.891"</w:t>
                  </w:r>
                </w:p>
              </w:tc>
              <w:tc>
                <w:tcPr>
                  <w:tcW w:w="856" w:type="dxa"/>
                  <w:noWrap w:val="0"/>
                  <w:vAlign w:val="center"/>
                </w:tcPr>
                <w:p w14:paraId="2FD699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居住区</w:t>
                  </w:r>
                </w:p>
              </w:tc>
              <w:tc>
                <w:tcPr>
                  <w:tcW w:w="847" w:type="dxa"/>
                  <w:noWrap w:val="0"/>
                  <w:vAlign w:val="center"/>
                </w:tcPr>
                <w:p w14:paraId="37F749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二类区</w:t>
                  </w:r>
                </w:p>
              </w:tc>
              <w:tc>
                <w:tcPr>
                  <w:tcW w:w="1275" w:type="dxa"/>
                  <w:noWrap w:val="0"/>
                  <w:vAlign w:val="center"/>
                </w:tcPr>
                <w:p w14:paraId="6E523D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约</w:t>
                  </w:r>
                  <w:r>
                    <w:rPr>
                      <w:rFonts w:hint="eastAsia" w:eastAsia="仿宋" w:cs="Times New Roman"/>
                      <w:color w:val="auto"/>
                      <w:szCs w:val="21"/>
                      <w:lang w:val="en-US" w:eastAsia="zh-CN"/>
                    </w:rPr>
                    <w:t>80</w:t>
                  </w:r>
                  <w:r>
                    <w:rPr>
                      <w:rFonts w:hint="eastAsia" w:ascii="Times New Roman" w:hAnsi="Times New Roman" w:eastAsia="仿宋" w:cs="Times New Roman"/>
                      <w:color w:val="auto"/>
                      <w:szCs w:val="21"/>
                      <w:lang w:val="en-US" w:eastAsia="zh-CN"/>
                    </w:rPr>
                    <w:t>户</w:t>
                  </w:r>
                </w:p>
              </w:tc>
              <w:tc>
                <w:tcPr>
                  <w:tcW w:w="710" w:type="dxa"/>
                  <w:noWrap w:val="0"/>
                  <w:vAlign w:val="center"/>
                </w:tcPr>
                <w:p w14:paraId="3E72F1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仿宋" w:cs="Times New Roman"/>
                      <w:color w:val="auto"/>
                      <w:szCs w:val="21"/>
                      <w:lang w:val="en-US" w:eastAsia="zh-CN"/>
                    </w:rPr>
                  </w:pPr>
                  <w:r>
                    <w:rPr>
                      <w:rFonts w:hint="eastAsia" w:eastAsia="仿宋" w:cs="Times New Roman"/>
                      <w:color w:val="auto"/>
                      <w:szCs w:val="21"/>
                      <w:lang w:val="en-US" w:eastAsia="zh-CN"/>
                    </w:rPr>
                    <w:t>W</w:t>
                  </w:r>
                </w:p>
              </w:tc>
              <w:tc>
                <w:tcPr>
                  <w:tcW w:w="1129" w:type="dxa"/>
                  <w:noWrap w:val="0"/>
                  <w:vAlign w:val="center"/>
                </w:tcPr>
                <w:p w14:paraId="7F6CCA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仿宋" w:cs="Times New Roman"/>
                      <w:color w:val="auto"/>
                      <w:szCs w:val="21"/>
                      <w:lang w:val="en-US" w:eastAsia="zh-CN"/>
                    </w:rPr>
                  </w:pPr>
                  <w:r>
                    <w:rPr>
                      <w:rFonts w:hint="eastAsia" w:eastAsia="仿宋" w:cs="Times New Roman"/>
                      <w:color w:val="auto"/>
                      <w:szCs w:val="21"/>
                      <w:lang w:val="en-US" w:eastAsia="zh-CN"/>
                    </w:rPr>
                    <w:t>95</w:t>
                  </w:r>
                </w:p>
              </w:tc>
            </w:tr>
            <w:tr w14:paraId="56EE0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1" w:type="dxa"/>
                  <w:noWrap w:val="0"/>
                  <w:vAlign w:val="center"/>
                </w:tcPr>
                <w:p w14:paraId="2CCEE1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火烧圩</w:t>
                  </w:r>
                </w:p>
              </w:tc>
              <w:tc>
                <w:tcPr>
                  <w:tcW w:w="1550" w:type="dxa"/>
                  <w:noWrap w:val="0"/>
                  <w:vAlign w:val="center"/>
                </w:tcPr>
                <w:p w14:paraId="356F32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119°29'06.983"</w:t>
                  </w:r>
                </w:p>
              </w:tc>
              <w:tc>
                <w:tcPr>
                  <w:tcW w:w="1475" w:type="dxa"/>
                  <w:noWrap w:val="0"/>
                  <w:vAlign w:val="center"/>
                </w:tcPr>
                <w:p w14:paraId="01494A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31°42'42.898"</w:t>
                  </w:r>
                </w:p>
              </w:tc>
              <w:tc>
                <w:tcPr>
                  <w:tcW w:w="856" w:type="dxa"/>
                  <w:noWrap w:val="0"/>
                  <w:vAlign w:val="center"/>
                </w:tcPr>
                <w:p w14:paraId="56F6B3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居住区</w:t>
                  </w:r>
                </w:p>
              </w:tc>
              <w:tc>
                <w:tcPr>
                  <w:tcW w:w="847" w:type="dxa"/>
                  <w:noWrap w:val="0"/>
                  <w:vAlign w:val="center"/>
                </w:tcPr>
                <w:p w14:paraId="355DCF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二类区</w:t>
                  </w:r>
                </w:p>
              </w:tc>
              <w:tc>
                <w:tcPr>
                  <w:tcW w:w="1275" w:type="dxa"/>
                  <w:noWrap w:val="0"/>
                  <w:vAlign w:val="center"/>
                </w:tcPr>
                <w:p w14:paraId="49735F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约</w:t>
                  </w:r>
                  <w:r>
                    <w:rPr>
                      <w:rFonts w:hint="eastAsia" w:eastAsia="仿宋" w:cs="Times New Roman"/>
                      <w:color w:val="auto"/>
                      <w:szCs w:val="21"/>
                      <w:lang w:val="en-US" w:eastAsia="zh-CN"/>
                    </w:rPr>
                    <w:t>50</w:t>
                  </w:r>
                  <w:r>
                    <w:rPr>
                      <w:rFonts w:hint="eastAsia" w:ascii="Times New Roman" w:hAnsi="Times New Roman" w:eastAsia="仿宋" w:cs="Times New Roman"/>
                      <w:color w:val="auto"/>
                      <w:szCs w:val="21"/>
                      <w:lang w:val="en-US" w:eastAsia="zh-CN"/>
                    </w:rPr>
                    <w:t>户</w:t>
                  </w:r>
                </w:p>
              </w:tc>
              <w:tc>
                <w:tcPr>
                  <w:tcW w:w="710" w:type="dxa"/>
                  <w:noWrap w:val="0"/>
                  <w:vAlign w:val="center"/>
                </w:tcPr>
                <w:p w14:paraId="13C5CD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NE</w:t>
                  </w:r>
                </w:p>
              </w:tc>
              <w:tc>
                <w:tcPr>
                  <w:tcW w:w="1129" w:type="dxa"/>
                  <w:noWrap w:val="0"/>
                  <w:vAlign w:val="center"/>
                </w:tcPr>
                <w:p w14:paraId="3BF2CD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257</w:t>
                  </w:r>
                </w:p>
              </w:tc>
            </w:tr>
          </w:tbl>
          <w:p w14:paraId="6B4C32E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s="Times New Roman"/>
                <w:b/>
                <w:bCs/>
                <w:color w:val="auto"/>
                <w:kern w:val="0"/>
                <w:szCs w:val="21"/>
                <w:lang w:val="en-US" w:eastAsia="zh-CN"/>
              </w:rPr>
            </w:pPr>
            <w:r>
              <w:rPr>
                <w:rFonts w:hint="eastAsia" w:cs="Times New Roman"/>
                <w:b/>
                <w:bCs/>
                <w:color w:val="auto"/>
                <w:kern w:val="0"/>
                <w:szCs w:val="21"/>
                <w:lang w:val="en-US" w:eastAsia="zh-CN"/>
              </w:rPr>
              <w:t>注：相对厂界为本项目所在厂区即常州金坛金岗机械制造有限公司边界。</w:t>
            </w:r>
          </w:p>
          <w:p w14:paraId="2FC54BF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2" w:firstLineChars="200"/>
              <w:jc w:val="both"/>
              <w:textAlignment w:val="auto"/>
              <w:rPr>
                <w:rFonts w:hint="eastAsia" w:cs="Times New Roman"/>
                <w:b/>
                <w:bCs/>
                <w:color w:val="auto"/>
                <w:kern w:val="0"/>
                <w:szCs w:val="21"/>
                <w:lang w:val="en-US" w:eastAsia="zh-CN"/>
              </w:rPr>
            </w:pPr>
            <w:r>
              <w:rPr>
                <w:rFonts w:hint="eastAsia" w:cs="Times New Roman"/>
                <w:b/>
                <w:bCs/>
                <w:color w:val="auto"/>
                <w:kern w:val="0"/>
                <w:szCs w:val="21"/>
                <w:lang w:val="en-US" w:eastAsia="zh-CN"/>
              </w:rPr>
              <w:t>2、声环境保护目标</w:t>
            </w:r>
          </w:p>
          <w:p w14:paraId="542B2D72">
            <w:pPr>
              <w:keepNext w:val="0"/>
              <w:keepLines w:val="0"/>
              <w:suppressLineNumbers w:val="0"/>
              <w:spacing w:before="0" w:beforeAutospacing="0" w:after="0" w:afterAutospacing="0" w:line="360" w:lineRule="auto"/>
              <w:ind w:left="0" w:right="0" w:firstLine="420" w:firstLineChars="200"/>
              <w:rPr>
                <w:rFonts w:hint="eastAsia" w:cs="Times New Roman"/>
                <w:color w:val="auto"/>
                <w:kern w:val="0"/>
                <w:szCs w:val="21"/>
                <w:lang w:val="en-US" w:eastAsia="zh-CN"/>
              </w:rPr>
            </w:pPr>
            <w:r>
              <w:rPr>
                <w:rFonts w:hint="default" w:ascii="Times New Roman" w:hAnsi="Times New Roman" w:cs="Times New Roman"/>
                <w:color w:val="auto"/>
                <w:lang w:val="en-US" w:eastAsia="zh-CN"/>
              </w:rPr>
              <w:t>本</w:t>
            </w:r>
            <w:r>
              <w:rPr>
                <w:rFonts w:hint="default" w:ascii="Times New Roman" w:hAnsi="Times New Roman" w:cs="Times New Roman"/>
                <w:color w:val="auto"/>
              </w:rPr>
              <w:t>项目厂界外50m范围内</w:t>
            </w:r>
            <w:r>
              <w:rPr>
                <w:rFonts w:hint="eastAsia" w:ascii="Times New Roman" w:hAnsi="Times New Roman" w:cs="Times New Roman"/>
                <w:color w:val="auto"/>
                <w:lang w:val="en-US" w:eastAsia="zh-CN"/>
              </w:rPr>
              <w:t>无</w:t>
            </w:r>
            <w:r>
              <w:rPr>
                <w:rFonts w:hint="default" w:ascii="Times New Roman" w:hAnsi="Times New Roman" w:cs="Times New Roman"/>
                <w:color w:val="auto"/>
              </w:rPr>
              <w:t>声环境保护目标</w:t>
            </w:r>
            <w:r>
              <w:rPr>
                <w:rFonts w:hint="eastAsia" w:cs="Times New Roman"/>
                <w:color w:val="auto"/>
                <w:kern w:val="0"/>
                <w:szCs w:val="21"/>
                <w:lang w:val="en-US" w:eastAsia="zh-CN"/>
              </w:rPr>
              <w:t>。</w:t>
            </w:r>
          </w:p>
          <w:p w14:paraId="4553CE5B">
            <w:pPr>
              <w:keepNext w:val="0"/>
              <w:keepLines w:val="0"/>
              <w:suppressLineNumbers w:val="0"/>
              <w:spacing w:before="0" w:beforeAutospacing="0" w:after="0" w:afterAutospacing="0" w:line="360" w:lineRule="auto"/>
              <w:ind w:left="0" w:right="0" w:firstLine="422" w:firstLineChars="200"/>
              <w:rPr>
                <w:rFonts w:hint="default" w:ascii="Times New Roman" w:hAnsi="Times New Roman" w:cs="Times New Roman"/>
                <w:b/>
                <w:bCs/>
                <w:color w:val="auto"/>
              </w:rPr>
            </w:pPr>
            <w:r>
              <w:rPr>
                <w:rFonts w:hint="eastAsia" w:cs="Times New Roman"/>
                <w:b/>
                <w:bCs/>
                <w:color w:val="auto"/>
                <w:kern w:val="0"/>
                <w:szCs w:val="21"/>
                <w:lang w:val="en-US" w:eastAsia="zh-CN"/>
              </w:rPr>
              <w:t>3、</w:t>
            </w:r>
            <w:r>
              <w:rPr>
                <w:rFonts w:hint="default" w:ascii="Times New Roman" w:hAnsi="Times New Roman" w:cs="Times New Roman"/>
                <w:b/>
                <w:bCs/>
                <w:color w:val="auto"/>
              </w:rPr>
              <w:t>地下水环境保护目标</w:t>
            </w:r>
          </w:p>
          <w:p w14:paraId="4D768D50">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fr-FR" w:eastAsia="zh-CN"/>
              </w:rPr>
              <w:t>项目</w:t>
            </w:r>
            <w:r>
              <w:rPr>
                <w:rFonts w:hint="eastAsia" w:ascii="Times New Roman" w:hAnsi="Times New Roman" w:eastAsia="宋体" w:cs="Times New Roman"/>
                <w:color w:val="auto"/>
                <w:lang w:val="en-US" w:eastAsia="zh-CN"/>
              </w:rPr>
              <w:t>厂界外500m范围内无地下水集中式饮用水水源和热水、矿泉水、温泉等特殊地下水资源。</w:t>
            </w:r>
          </w:p>
          <w:p w14:paraId="26C8429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2" w:firstLineChars="200"/>
              <w:jc w:val="both"/>
              <w:textAlignment w:val="auto"/>
              <w:rPr>
                <w:rFonts w:hint="default" w:ascii="Times New Roman" w:hAnsi="Times New Roman" w:cs="Times New Roman"/>
                <w:b/>
                <w:bCs/>
                <w:color w:val="auto"/>
              </w:rPr>
            </w:pPr>
            <w:r>
              <w:rPr>
                <w:rFonts w:hint="eastAsia" w:ascii="Times New Roman" w:hAnsi="Times New Roman" w:cs="Times New Roman"/>
                <w:b/>
                <w:bCs/>
                <w:color w:val="auto"/>
                <w:lang w:val="en-US" w:eastAsia="zh-CN"/>
              </w:rPr>
              <w:t>4、</w:t>
            </w:r>
            <w:r>
              <w:rPr>
                <w:rFonts w:hint="default" w:ascii="Times New Roman" w:hAnsi="Times New Roman" w:cs="Times New Roman"/>
                <w:b/>
                <w:bCs/>
                <w:color w:val="auto"/>
              </w:rPr>
              <w:t>生态环境保护目标</w:t>
            </w:r>
          </w:p>
          <w:p w14:paraId="7E7207B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snapToGrid w:val="0"/>
                <w:color w:val="auto"/>
                <w:sz w:val="21"/>
                <w:szCs w:val="21"/>
                <w:vertAlign w:val="baseline"/>
                <w:lang w:val="en-US" w:eastAsia="zh-CN"/>
              </w:rPr>
              <w:t>本项目位于</w:t>
            </w:r>
            <w:r>
              <w:rPr>
                <w:rFonts w:hint="eastAsia" w:cs="Times New Roman"/>
                <w:snapToGrid w:val="0"/>
                <w:color w:val="auto"/>
                <w:sz w:val="21"/>
                <w:szCs w:val="21"/>
                <w:vertAlign w:val="baseline"/>
                <w:lang w:val="en-US" w:eastAsia="zh-CN"/>
              </w:rPr>
              <w:t>常州市金坛区朱林镇西岗集镇港城路99号</w:t>
            </w:r>
            <w:r>
              <w:rPr>
                <w:rFonts w:hint="default" w:ascii="Times New Roman" w:hAnsi="Times New Roman" w:eastAsia="宋体" w:cs="Times New Roman"/>
                <w:snapToGrid w:val="0"/>
                <w:color w:val="auto"/>
                <w:sz w:val="21"/>
                <w:szCs w:val="21"/>
                <w:vertAlign w:val="baseline"/>
                <w:lang w:val="en-US" w:eastAsia="zh-CN"/>
              </w:rPr>
              <w:t>，</w:t>
            </w:r>
            <w:r>
              <w:rPr>
                <w:rFonts w:hint="eastAsia" w:ascii="Times New Roman" w:hAnsi="Times New Roman" w:eastAsia="宋体" w:cs="Times New Roman"/>
                <w:snapToGrid w:val="0"/>
                <w:color w:val="auto"/>
                <w:sz w:val="21"/>
                <w:szCs w:val="21"/>
                <w:vertAlign w:val="baseline"/>
                <w:lang w:val="en-US" w:eastAsia="zh-CN"/>
              </w:rPr>
              <w:t>不新增用地</w:t>
            </w:r>
            <w:r>
              <w:rPr>
                <w:rFonts w:hint="default" w:ascii="Times New Roman" w:hAnsi="Times New Roman" w:eastAsia="宋体" w:cs="Times New Roman"/>
                <w:snapToGrid w:val="0"/>
                <w:color w:val="auto"/>
                <w:sz w:val="21"/>
                <w:szCs w:val="21"/>
                <w:vertAlign w:val="baseline"/>
                <w:lang w:val="en-US" w:eastAsia="zh-CN"/>
              </w:rPr>
              <w:t>且用地范围内无生态环境保护目标</w:t>
            </w:r>
            <w:r>
              <w:rPr>
                <w:rFonts w:hint="eastAsia" w:ascii="Times New Roman" w:hAnsi="Times New Roman" w:eastAsia="宋体" w:cs="Times New Roman"/>
                <w:snapToGrid w:val="0"/>
                <w:color w:val="auto"/>
                <w:sz w:val="21"/>
                <w:szCs w:val="21"/>
                <w:vertAlign w:val="baseline"/>
                <w:lang w:val="en-US" w:eastAsia="zh-CN"/>
              </w:rPr>
              <w:t>。</w:t>
            </w:r>
          </w:p>
        </w:tc>
      </w:tr>
      <w:tr w14:paraId="3A5F88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458" w:type="dxa"/>
            <w:noWrap w:val="0"/>
            <w:vAlign w:val="center"/>
          </w:tcPr>
          <w:p w14:paraId="05A597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污染</w:t>
            </w:r>
          </w:p>
          <w:p w14:paraId="15B2180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物排</w:t>
            </w:r>
          </w:p>
          <w:p w14:paraId="60C69D2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放控</w:t>
            </w:r>
          </w:p>
          <w:p w14:paraId="4D5907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制标</w:t>
            </w:r>
          </w:p>
          <w:p w14:paraId="4DE4C0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b w:val="0"/>
                <w:bCs w:val="0"/>
                <w:color w:val="auto"/>
                <w:kern w:val="0"/>
                <w:sz w:val="21"/>
                <w:szCs w:val="21"/>
              </w:rPr>
              <w:t>准</w:t>
            </w:r>
          </w:p>
        </w:tc>
        <w:tc>
          <w:tcPr>
            <w:tcW w:w="9134" w:type="dxa"/>
            <w:noWrap w:val="0"/>
            <w:vAlign w:val="center"/>
          </w:tcPr>
          <w:p w14:paraId="770DE7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1、废水排放标准</w:t>
            </w:r>
          </w:p>
          <w:p w14:paraId="7CE89A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val="en-US" w:eastAsia="zh-CN"/>
              </w:rPr>
              <w:t>生活污水</w:t>
            </w:r>
            <w:r>
              <w:rPr>
                <w:rFonts w:hint="default" w:ascii="Times New Roman" w:hAnsi="Times New Roman" w:eastAsia="宋体" w:cs="Times New Roman"/>
                <w:b w:val="0"/>
                <w:bCs w:val="0"/>
                <w:color w:val="auto"/>
                <w:lang w:val="en-US" w:eastAsia="zh-CN"/>
              </w:rPr>
              <w:t>接管至</w:t>
            </w:r>
            <w:r>
              <w:rPr>
                <w:rFonts w:hint="eastAsia" w:ascii="Times New Roman" w:hAnsi="Times New Roman" w:eastAsia="宋体" w:cs="Times New Roman"/>
                <w:b w:val="0"/>
                <w:bCs w:val="0"/>
                <w:color w:val="auto"/>
                <w:lang w:val="en-US" w:eastAsia="zh-CN"/>
              </w:rPr>
              <w:t>金坛区朱林镇三星村李巷农村生活污水处理站</w:t>
            </w:r>
            <w:r>
              <w:rPr>
                <w:rFonts w:hint="default" w:ascii="Times New Roman" w:hAnsi="Times New Roman" w:eastAsia="宋体" w:cs="Times New Roman"/>
                <w:b w:val="0"/>
                <w:bCs w:val="0"/>
                <w:color w:val="auto"/>
                <w:lang w:val="en-US" w:eastAsia="zh-CN"/>
              </w:rPr>
              <w:t>集中处理</w:t>
            </w:r>
            <w:r>
              <w:rPr>
                <w:rFonts w:hint="eastAsia" w:ascii="Times New Roman" w:hAnsi="Times New Roman" w:eastAsia="宋体" w:cs="Times New Roman"/>
                <w:b w:val="0"/>
                <w:bCs w:val="0"/>
                <w:color w:val="auto"/>
                <w:lang w:val="en-US" w:eastAsia="zh-CN"/>
              </w:rPr>
              <w:t>，尾水排入西港河</w:t>
            </w:r>
            <w:r>
              <w:rPr>
                <w:rFonts w:hint="default" w:ascii="Times New Roman" w:hAnsi="Times New Roman" w:eastAsia="宋体" w:cs="Times New Roman"/>
                <w:b w:val="0"/>
                <w:bCs w:val="0"/>
                <w:color w:val="auto"/>
                <w:lang w:val="en-US" w:eastAsia="zh-CN"/>
              </w:rPr>
              <w:t>，</w:t>
            </w:r>
            <w:r>
              <w:rPr>
                <w:rFonts w:hint="eastAsia" w:cs="Times New Roman"/>
                <w:b w:val="0"/>
                <w:bCs w:val="0"/>
                <w:color w:val="auto"/>
                <w:lang w:val="en-US" w:eastAsia="zh-CN"/>
              </w:rPr>
              <w:t>接管</w:t>
            </w:r>
            <w:r>
              <w:rPr>
                <w:rFonts w:hint="default" w:ascii="Times New Roman" w:hAnsi="Times New Roman" w:eastAsia="宋体" w:cs="Times New Roman"/>
                <w:b w:val="0"/>
                <w:bCs w:val="0"/>
                <w:color w:val="auto"/>
                <w:lang w:val="en-US" w:eastAsia="zh-CN"/>
              </w:rPr>
              <w:t>标准执行《污水排入城镇下水道水质标准》（GB/T31962-2015）表1中B等级标准</w:t>
            </w:r>
            <w:r>
              <w:rPr>
                <w:rFonts w:hint="eastAsia" w:ascii="Times New Roman" w:hAnsi="Times New Roman" w:eastAsia="宋体" w:cs="Times New Roman"/>
                <w:b w:val="0"/>
                <w:bCs w:val="0"/>
                <w:color w:val="auto"/>
                <w:lang w:val="en-US" w:eastAsia="zh-CN"/>
              </w:rPr>
              <w:t>及</w:t>
            </w:r>
            <w:r>
              <w:rPr>
                <w:rFonts w:hint="default" w:ascii="Times New Roman" w:hAnsi="Times New Roman" w:eastAsia="宋体" w:cs="Times New Roman"/>
                <w:b w:val="0"/>
                <w:bCs w:val="0"/>
                <w:color w:val="auto"/>
                <w:lang w:val="en-US" w:eastAsia="zh-CN"/>
              </w:rPr>
              <w:t>三星村李巷农村生活污水处理站的接管标准。</w:t>
            </w:r>
          </w:p>
          <w:p w14:paraId="247572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kern w:val="0"/>
                <w:sz w:val="21"/>
                <w:szCs w:val="21"/>
                <w:lang w:val="en-US" w:eastAsia="zh-CN"/>
              </w:rPr>
              <w:t>3-</w:t>
            </w:r>
            <w:r>
              <w:rPr>
                <w:rFonts w:hint="eastAsia" w:cs="Times New Roman"/>
                <w:b/>
                <w:color w:val="auto"/>
                <w:kern w:val="0"/>
                <w:sz w:val="21"/>
                <w:szCs w:val="21"/>
                <w:lang w:val="en-US" w:eastAsia="zh-CN"/>
              </w:rPr>
              <w:t>5</w:t>
            </w:r>
            <w:r>
              <w:rPr>
                <w:rFonts w:hint="default" w:ascii="Times New Roman" w:hAnsi="Times New Roman" w:eastAsia="宋体" w:cs="Times New Roman"/>
                <w:b/>
                <w:color w:val="auto"/>
                <w:kern w:val="0"/>
                <w:sz w:val="21"/>
                <w:szCs w:val="21"/>
              </w:rPr>
              <w:t xml:space="preserve">  污水</w:t>
            </w:r>
            <w:r>
              <w:rPr>
                <w:rFonts w:hint="eastAsia" w:cs="Times New Roman"/>
                <w:b/>
                <w:color w:val="auto"/>
                <w:kern w:val="0"/>
                <w:sz w:val="21"/>
                <w:szCs w:val="21"/>
                <w:lang w:val="en-US" w:eastAsia="zh-CN"/>
              </w:rPr>
              <w:t>排放</w:t>
            </w:r>
            <w:r>
              <w:rPr>
                <w:rFonts w:hint="default" w:ascii="Times New Roman" w:hAnsi="Times New Roman" w:eastAsia="宋体" w:cs="Times New Roman"/>
                <w:b/>
                <w:color w:val="auto"/>
                <w:kern w:val="0"/>
                <w:sz w:val="21"/>
                <w:szCs w:val="21"/>
              </w:rPr>
              <w:t>标准  单位：mg/L</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022"/>
              <w:gridCol w:w="1208"/>
              <w:gridCol w:w="1172"/>
              <w:gridCol w:w="1160"/>
              <w:gridCol w:w="1187"/>
              <w:gridCol w:w="1106"/>
              <w:gridCol w:w="1102"/>
            </w:tblGrid>
            <w:tr w14:paraId="3B029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022" w:type="dxa"/>
                  <w:tcBorders>
                    <w:tl2br w:val="nil"/>
                    <w:tr2bl w:val="nil"/>
                  </w:tcBorders>
                  <w:noWrap w:val="0"/>
                  <w:vAlign w:val="center"/>
                </w:tcPr>
                <w:p w14:paraId="3119461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污染物</w:t>
                  </w:r>
                </w:p>
              </w:tc>
              <w:tc>
                <w:tcPr>
                  <w:tcW w:w="1208" w:type="dxa"/>
                  <w:tcBorders>
                    <w:tl2br w:val="nil"/>
                    <w:tr2bl w:val="nil"/>
                  </w:tcBorders>
                  <w:noWrap w:val="0"/>
                  <w:vAlign w:val="center"/>
                </w:tcPr>
                <w:p w14:paraId="6550083A">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pH</w:t>
                  </w:r>
                  <w:r>
                    <w:rPr>
                      <w:rFonts w:hint="eastAsia" w:eastAsia="仿宋" w:cs="Times New Roman"/>
                      <w:color w:val="auto"/>
                      <w:szCs w:val="21"/>
                      <w:lang w:val="en-US" w:eastAsia="zh-CN"/>
                    </w:rPr>
                    <w:t>值</w:t>
                  </w:r>
                </w:p>
              </w:tc>
              <w:tc>
                <w:tcPr>
                  <w:tcW w:w="1172" w:type="dxa"/>
                  <w:tcBorders>
                    <w:tl2br w:val="nil"/>
                    <w:tr2bl w:val="nil"/>
                  </w:tcBorders>
                  <w:noWrap w:val="0"/>
                  <w:vAlign w:val="center"/>
                </w:tcPr>
                <w:p w14:paraId="0A69E75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24"/>
                      <w:szCs w:val="21"/>
                    </w:rPr>
                    <w:t>COD</w:t>
                  </w:r>
                </w:p>
              </w:tc>
              <w:tc>
                <w:tcPr>
                  <w:tcW w:w="1160" w:type="dxa"/>
                  <w:tcBorders>
                    <w:tl2br w:val="nil"/>
                    <w:tr2bl w:val="nil"/>
                  </w:tcBorders>
                  <w:noWrap w:val="0"/>
                  <w:vAlign w:val="center"/>
                </w:tcPr>
                <w:p w14:paraId="420F308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1187" w:type="dxa"/>
                  <w:tcBorders>
                    <w:tl2br w:val="nil"/>
                    <w:tr2bl w:val="nil"/>
                  </w:tcBorders>
                  <w:noWrap w:val="0"/>
                  <w:vAlign w:val="center"/>
                </w:tcPr>
                <w:p w14:paraId="59461D1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NH</w:t>
                  </w:r>
                  <w:r>
                    <w:rPr>
                      <w:rFonts w:hint="default" w:ascii="Times New Roman" w:hAnsi="Times New Roman" w:eastAsia="仿宋" w:cs="Times New Roman"/>
                      <w:color w:val="auto"/>
                      <w:szCs w:val="21"/>
                      <w:vertAlign w:val="subscript"/>
                    </w:rPr>
                    <w:t>3</w:t>
                  </w:r>
                  <w:r>
                    <w:rPr>
                      <w:rFonts w:hint="default" w:ascii="Times New Roman" w:hAnsi="Times New Roman" w:eastAsia="仿宋" w:cs="Times New Roman"/>
                      <w:color w:val="auto"/>
                      <w:szCs w:val="21"/>
                    </w:rPr>
                    <w:t>-N</w:t>
                  </w:r>
                </w:p>
              </w:tc>
              <w:tc>
                <w:tcPr>
                  <w:tcW w:w="1106" w:type="dxa"/>
                  <w:tcBorders>
                    <w:tl2br w:val="nil"/>
                    <w:tr2bl w:val="nil"/>
                  </w:tcBorders>
                  <w:noWrap w:val="0"/>
                  <w:vAlign w:val="center"/>
                </w:tcPr>
                <w:p w14:paraId="27785A4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TP</w:t>
                  </w:r>
                </w:p>
              </w:tc>
              <w:tc>
                <w:tcPr>
                  <w:tcW w:w="1102" w:type="dxa"/>
                  <w:tcBorders>
                    <w:tl2br w:val="nil"/>
                    <w:tr2bl w:val="nil"/>
                  </w:tcBorders>
                  <w:noWrap w:val="0"/>
                  <w:vAlign w:val="center"/>
                </w:tcPr>
                <w:p w14:paraId="33335BF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TN</w:t>
                  </w:r>
                </w:p>
              </w:tc>
            </w:tr>
            <w:tr w14:paraId="70CBC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022" w:type="dxa"/>
                  <w:tcBorders>
                    <w:tl2br w:val="nil"/>
                    <w:tr2bl w:val="nil"/>
                  </w:tcBorders>
                  <w:noWrap w:val="0"/>
                  <w:vAlign w:val="center"/>
                </w:tcPr>
                <w:p w14:paraId="7FF1178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浓度限值（mg/L）</w:t>
                  </w:r>
                </w:p>
              </w:tc>
              <w:tc>
                <w:tcPr>
                  <w:tcW w:w="1208" w:type="dxa"/>
                  <w:tcBorders>
                    <w:tl2br w:val="nil"/>
                    <w:tr2bl w:val="nil"/>
                  </w:tcBorders>
                  <w:noWrap w:val="0"/>
                  <w:vAlign w:val="center"/>
                </w:tcPr>
                <w:p w14:paraId="5949DB1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6.5~9.5</w:t>
                  </w:r>
                </w:p>
              </w:tc>
              <w:tc>
                <w:tcPr>
                  <w:tcW w:w="1172" w:type="dxa"/>
                  <w:tcBorders>
                    <w:tl2br w:val="nil"/>
                    <w:tr2bl w:val="nil"/>
                  </w:tcBorders>
                  <w:noWrap w:val="0"/>
                  <w:vAlign w:val="center"/>
                </w:tcPr>
                <w:p w14:paraId="4C3B0CB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4"/>
                      <w:szCs w:val="21"/>
                      <w:lang w:val="en-US" w:eastAsia="zh-CN"/>
                    </w:rPr>
                  </w:pPr>
                  <w:r>
                    <w:rPr>
                      <w:rFonts w:hint="eastAsia" w:eastAsia="仿宋" w:cs="Times New Roman"/>
                      <w:color w:val="auto"/>
                      <w:kern w:val="24"/>
                      <w:szCs w:val="21"/>
                      <w:lang w:val="en-US" w:eastAsia="zh-CN"/>
                    </w:rPr>
                    <w:t>500</w:t>
                  </w:r>
                </w:p>
              </w:tc>
              <w:tc>
                <w:tcPr>
                  <w:tcW w:w="1160" w:type="dxa"/>
                  <w:tcBorders>
                    <w:tl2br w:val="nil"/>
                    <w:tr2bl w:val="nil"/>
                  </w:tcBorders>
                  <w:noWrap w:val="0"/>
                  <w:vAlign w:val="center"/>
                </w:tcPr>
                <w:p w14:paraId="4C57F0E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400</w:t>
                  </w:r>
                </w:p>
              </w:tc>
              <w:tc>
                <w:tcPr>
                  <w:tcW w:w="1187" w:type="dxa"/>
                  <w:tcBorders>
                    <w:tl2br w:val="nil"/>
                    <w:tr2bl w:val="nil"/>
                  </w:tcBorders>
                  <w:noWrap w:val="0"/>
                  <w:vAlign w:val="center"/>
                </w:tcPr>
                <w:p w14:paraId="5E06879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45</w:t>
                  </w:r>
                </w:p>
              </w:tc>
              <w:tc>
                <w:tcPr>
                  <w:tcW w:w="1106" w:type="dxa"/>
                  <w:tcBorders>
                    <w:tl2br w:val="nil"/>
                    <w:tr2bl w:val="nil"/>
                  </w:tcBorders>
                  <w:noWrap w:val="0"/>
                  <w:vAlign w:val="center"/>
                </w:tcPr>
                <w:p w14:paraId="3C8243B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w:t>
                  </w:r>
                </w:p>
              </w:tc>
              <w:tc>
                <w:tcPr>
                  <w:tcW w:w="1102" w:type="dxa"/>
                  <w:tcBorders>
                    <w:tl2br w:val="nil"/>
                    <w:tr2bl w:val="nil"/>
                  </w:tcBorders>
                  <w:noWrap w:val="0"/>
                  <w:vAlign w:val="center"/>
                </w:tcPr>
                <w:p w14:paraId="21D501A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70</w:t>
                  </w:r>
                </w:p>
              </w:tc>
            </w:tr>
          </w:tbl>
          <w:p w14:paraId="026C5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金坛区朱林镇三星村李巷农村生活污水处理站尾水排放目前执行《农村生活污水处理设施水污染物排放标准》（DB32/3462-2020）表</w:t>
            </w:r>
            <w:r>
              <w:rPr>
                <w:rFonts w:hint="eastAsia" w:cs="Times New Roman"/>
                <w:b w:val="0"/>
                <w:bCs w:val="0"/>
                <w:color w:val="auto"/>
                <w:lang w:val="en-US" w:eastAsia="zh-CN"/>
              </w:rPr>
              <w:t>2</w:t>
            </w:r>
            <w:r>
              <w:rPr>
                <w:rFonts w:hint="eastAsia" w:ascii="Times New Roman" w:hAnsi="Times New Roman" w:eastAsia="宋体" w:cs="Times New Roman"/>
                <w:b w:val="0"/>
                <w:bCs w:val="0"/>
                <w:color w:val="auto"/>
                <w:lang w:val="en-US" w:eastAsia="zh-CN"/>
              </w:rPr>
              <w:t>标准。</w:t>
            </w:r>
            <w:r>
              <w:rPr>
                <w:rFonts w:hint="default" w:ascii="Times New Roman" w:hAnsi="Times New Roman" w:eastAsia="宋体" w:cs="Times New Roman"/>
                <w:b w:val="0"/>
                <w:bCs w:val="0"/>
                <w:color w:val="auto"/>
                <w:lang w:val="en-US" w:eastAsia="zh-CN"/>
              </w:rPr>
              <w:t>标准值如下：</w:t>
            </w:r>
          </w:p>
          <w:p w14:paraId="3CD44F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p>
          <w:p w14:paraId="6563EB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p>
          <w:p w14:paraId="03960D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kern w:val="0"/>
                <w:sz w:val="21"/>
                <w:szCs w:val="21"/>
                <w:lang w:val="en-US" w:eastAsia="zh-CN"/>
              </w:rPr>
              <w:t>3-</w:t>
            </w:r>
            <w:r>
              <w:rPr>
                <w:rFonts w:hint="eastAsia" w:cs="Times New Roman"/>
                <w:b/>
                <w:color w:val="auto"/>
                <w:kern w:val="0"/>
                <w:sz w:val="21"/>
                <w:szCs w:val="21"/>
                <w:lang w:val="en-US" w:eastAsia="zh-CN"/>
              </w:rPr>
              <w:t>6</w:t>
            </w:r>
            <w:r>
              <w:rPr>
                <w:rFonts w:hint="default" w:ascii="Times New Roman" w:hAnsi="Times New Roman" w:eastAsia="宋体" w:cs="Times New Roman"/>
                <w:b/>
                <w:color w:val="auto"/>
                <w:kern w:val="0"/>
                <w:sz w:val="21"/>
                <w:szCs w:val="21"/>
              </w:rPr>
              <w:t xml:space="preserve">  水污染物排放标准  单位：mg/L</w:t>
            </w:r>
          </w:p>
          <w:tbl>
            <w:tblPr>
              <w:tblStyle w:val="27"/>
              <w:tblW w:w="89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38"/>
              <w:gridCol w:w="1751"/>
              <w:gridCol w:w="1785"/>
            </w:tblGrid>
            <w:tr w14:paraId="53A03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4" w:type="dxa"/>
                  <w:gridSpan w:val="3"/>
                  <w:noWrap w:val="0"/>
                  <w:vAlign w:val="center"/>
                </w:tcPr>
                <w:p w14:paraId="09F66C2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国家或地方排放标准及其他按规定商议的排放协议</w:t>
                  </w:r>
                </w:p>
              </w:tc>
            </w:tr>
            <w:tr w14:paraId="2084C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8" w:type="dxa"/>
                  <w:noWrap w:val="0"/>
                  <w:vAlign w:val="center"/>
                </w:tcPr>
                <w:p w14:paraId="4F846DC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名称</w:t>
                  </w:r>
                </w:p>
              </w:tc>
              <w:tc>
                <w:tcPr>
                  <w:tcW w:w="1751" w:type="dxa"/>
                  <w:noWrap w:val="0"/>
                  <w:vAlign w:val="center"/>
                </w:tcPr>
                <w:p w14:paraId="56CD277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污染物</w:t>
                  </w:r>
                </w:p>
              </w:tc>
              <w:tc>
                <w:tcPr>
                  <w:tcW w:w="1785" w:type="dxa"/>
                  <w:noWrap w:val="0"/>
                  <w:vAlign w:val="center"/>
                </w:tcPr>
                <w:p w14:paraId="374DB58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浓度限值</w:t>
                  </w:r>
                </w:p>
              </w:tc>
            </w:tr>
            <w:tr w14:paraId="44D6D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8" w:type="dxa"/>
                  <w:vMerge w:val="restart"/>
                  <w:noWrap w:val="0"/>
                  <w:vAlign w:val="center"/>
                </w:tcPr>
                <w:p w14:paraId="4938222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eastAsia="zh-CN"/>
                    </w:rPr>
                    <w:t>《农村生活污水处理设施水污染物排放标准》（DB32/3462-2020）表</w:t>
                  </w:r>
                  <w:r>
                    <w:rPr>
                      <w:rFonts w:hint="eastAsia" w:eastAsia="仿宋" w:cs="Times New Roman"/>
                      <w:color w:val="auto"/>
                      <w:szCs w:val="21"/>
                      <w:lang w:val="en-US" w:eastAsia="zh-CN"/>
                    </w:rPr>
                    <w:t>2</w:t>
                  </w:r>
                  <w:r>
                    <w:rPr>
                      <w:rFonts w:hint="eastAsia" w:ascii="Times New Roman" w:hAnsi="Times New Roman" w:eastAsia="仿宋" w:cs="Times New Roman"/>
                      <w:color w:val="auto"/>
                      <w:szCs w:val="21"/>
                      <w:lang w:eastAsia="zh-CN"/>
                    </w:rPr>
                    <w:t>标准</w:t>
                  </w:r>
                </w:p>
              </w:tc>
              <w:tc>
                <w:tcPr>
                  <w:tcW w:w="1751" w:type="dxa"/>
                  <w:noWrap w:val="0"/>
                  <w:vAlign w:val="center"/>
                </w:tcPr>
                <w:p w14:paraId="0549716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pH值（无量纲）</w:t>
                  </w:r>
                </w:p>
              </w:tc>
              <w:tc>
                <w:tcPr>
                  <w:tcW w:w="1785" w:type="dxa"/>
                  <w:noWrap w:val="0"/>
                  <w:vAlign w:val="center"/>
                </w:tcPr>
                <w:p w14:paraId="39F448ED">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6~9</w:t>
                  </w:r>
                </w:p>
              </w:tc>
            </w:tr>
            <w:tr w14:paraId="3036B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8" w:type="dxa"/>
                  <w:vMerge w:val="continue"/>
                  <w:noWrap w:val="0"/>
                  <w:vAlign w:val="center"/>
                </w:tcPr>
                <w:p w14:paraId="0EB4D48C">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c>
                <w:tcPr>
                  <w:tcW w:w="1751" w:type="dxa"/>
                  <w:noWrap w:val="0"/>
                  <w:vAlign w:val="center"/>
                </w:tcPr>
                <w:p w14:paraId="5476D72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COD</w:t>
                  </w:r>
                </w:p>
              </w:tc>
              <w:tc>
                <w:tcPr>
                  <w:tcW w:w="1785" w:type="dxa"/>
                  <w:noWrap w:val="0"/>
                  <w:vAlign w:val="center"/>
                </w:tcPr>
                <w:p w14:paraId="4B971033">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w:t>
                  </w:r>
                  <w:r>
                    <w:rPr>
                      <w:rFonts w:hint="eastAsia" w:eastAsia="仿宋" w:cs="Times New Roman"/>
                      <w:color w:val="auto"/>
                      <w:szCs w:val="21"/>
                      <w:lang w:val="en-US" w:eastAsia="zh-CN"/>
                    </w:rPr>
                    <w:t>50</w:t>
                  </w:r>
                </w:p>
              </w:tc>
            </w:tr>
            <w:tr w14:paraId="5624C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8" w:type="dxa"/>
                  <w:vMerge w:val="continue"/>
                  <w:noWrap w:val="0"/>
                  <w:vAlign w:val="center"/>
                </w:tcPr>
                <w:p w14:paraId="4BBD8FB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c>
                <w:tcPr>
                  <w:tcW w:w="1751" w:type="dxa"/>
                  <w:noWrap w:val="0"/>
                  <w:vAlign w:val="center"/>
                </w:tcPr>
                <w:p w14:paraId="67EA219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SS</w:t>
                  </w:r>
                </w:p>
              </w:tc>
              <w:tc>
                <w:tcPr>
                  <w:tcW w:w="1785" w:type="dxa"/>
                  <w:noWrap w:val="0"/>
                  <w:vAlign w:val="center"/>
                </w:tcPr>
                <w:p w14:paraId="22BEFD00">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w:t>
                  </w:r>
                  <w:r>
                    <w:rPr>
                      <w:rFonts w:hint="eastAsia" w:eastAsia="仿宋" w:cs="Times New Roman"/>
                      <w:color w:val="auto"/>
                      <w:szCs w:val="21"/>
                      <w:lang w:val="en-US" w:eastAsia="zh-CN"/>
                    </w:rPr>
                    <w:t>2</w:t>
                  </w:r>
                  <w:r>
                    <w:rPr>
                      <w:rFonts w:hint="default" w:ascii="Times New Roman" w:hAnsi="Times New Roman" w:eastAsia="仿宋" w:cs="Times New Roman"/>
                      <w:color w:val="auto"/>
                      <w:szCs w:val="21"/>
                    </w:rPr>
                    <w:t>0</w:t>
                  </w:r>
                </w:p>
              </w:tc>
            </w:tr>
            <w:tr w14:paraId="1E31A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8" w:type="dxa"/>
                  <w:vMerge w:val="continue"/>
                  <w:noWrap w:val="0"/>
                  <w:vAlign w:val="center"/>
                </w:tcPr>
                <w:p w14:paraId="3AAC215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c>
                <w:tcPr>
                  <w:tcW w:w="1751" w:type="dxa"/>
                  <w:noWrap w:val="0"/>
                  <w:vAlign w:val="center"/>
                </w:tcPr>
                <w:p w14:paraId="2484797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NH</w:t>
                  </w:r>
                  <w:r>
                    <w:rPr>
                      <w:rFonts w:hint="default" w:ascii="Times New Roman" w:hAnsi="Times New Roman" w:eastAsia="仿宋" w:cs="Times New Roman"/>
                      <w:color w:val="auto"/>
                      <w:szCs w:val="21"/>
                      <w:vertAlign w:val="subscript"/>
                    </w:rPr>
                    <w:t>3</w:t>
                  </w:r>
                  <w:r>
                    <w:rPr>
                      <w:rFonts w:hint="default" w:ascii="Times New Roman" w:hAnsi="Times New Roman" w:eastAsia="仿宋" w:cs="Times New Roman"/>
                      <w:color w:val="auto"/>
                      <w:szCs w:val="21"/>
                    </w:rPr>
                    <w:t>-N</w:t>
                  </w:r>
                </w:p>
              </w:tc>
              <w:tc>
                <w:tcPr>
                  <w:tcW w:w="1785" w:type="dxa"/>
                  <w:noWrap w:val="0"/>
                  <w:vAlign w:val="center"/>
                </w:tcPr>
                <w:p w14:paraId="266A0AF1">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w:t>
                  </w:r>
                  <w:r>
                    <w:rPr>
                      <w:rFonts w:hint="eastAsia" w:eastAsia="仿宋" w:cs="Times New Roman"/>
                      <w:color w:val="auto"/>
                      <w:szCs w:val="21"/>
                      <w:lang w:val="en-US" w:eastAsia="zh-CN"/>
                    </w:rPr>
                    <w:t>5（8）</w:t>
                  </w:r>
                </w:p>
              </w:tc>
            </w:tr>
            <w:tr w14:paraId="0B798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438" w:type="dxa"/>
                  <w:vMerge w:val="continue"/>
                  <w:noWrap w:val="0"/>
                  <w:vAlign w:val="center"/>
                </w:tcPr>
                <w:p w14:paraId="7EF7CF8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p>
              </w:tc>
              <w:tc>
                <w:tcPr>
                  <w:tcW w:w="1751" w:type="dxa"/>
                  <w:noWrap w:val="0"/>
                  <w:vAlign w:val="center"/>
                </w:tcPr>
                <w:p w14:paraId="662D60D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TP</w:t>
                  </w:r>
                </w:p>
              </w:tc>
              <w:tc>
                <w:tcPr>
                  <w:tcW w:w="1785" w:type="dxa"/>
                  <w:noWrap w:val="0"/>
                  <w:vAlign w:val="center"/>
                </w:tcPr>
                <w:p w14:paraId="096F6BF5">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w:t>
                  </w:r>
                  <w:r>
                    <w:rPr>
                      <w:rFonts w:hint="eastAsia" w:eastAsia="仿宋" w:cs="Times New Roman"/>
                      <w:color w:val="auto"/>
                      <w:szCs w:val="21"/>
                      <w:lang w:val="en-US" w:eastAsia="zh-CN"/>
                    </w:rPr>
                    <w:t>1</w:t>
                  </w:r>
                </w:p>
              </w:tc>
            </w:tr>
            <w:tr w14:paraId="73C86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8" w:type="dxa"/>
                  <w:vMerge w:val="continue"/>
                  <w:noWrap w:val="0"/>
                  <w:vAlign w:val="center"/>
                </w:tcPr>
                <w:p w14:paraId="0966A38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c>
                <w:tcPr>
                  <w:tcW w:w="1751" w:type="dxa"/>
                  <w:noWrap w:val="0"/>
                  <w:vAlign w:val="center"/>
                </w:tcPr>
                <w:p w14:paraId="493B1EC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TN</w:t>
                  </w:r>
                </w:p>
              </w:tc>
              <w:tc>
                <w:tcPr>
                  <w:tcW w:w="1785" w:type="dxa"/>
                  <w:noWrap w:val="0"/>
                  <w:vAlign w:val="center"/>
                </w:tcPr>
                <w:p w14:paraId="34D342DB">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w:t>
                  </w:r>
                  <w:r>
                    <w:rPr>
                      <w:rFonts w:hint="eastAsia" w:eastAsia="仿宋" w:cs="Times New Roman"/>
                      <w:color w:val="auto"/>
                      <w:szCs w:val="21"/>
                      <w:lang w:val="en-US" w:eastAsia="zh-CN"/>
                    </w:rPr>
                    <w:t>20</w:t>
                  </w:r>
                </w:p>
              </w:tc>
            </w:tr>
          </w:tbl>
          <w:p w14:paraId="3750ED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2、厂界噪声排放执行标准</w:t>
            </w:r>
          </w:p>
          <w:p w14:paraId="6D85B612">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本项目</w:t>
            </w:r>
            <w:r>
              <w:rPr>
                <w:rFonts w:hint="default" w:ascii="Times New Roman" w:hAnsi="Times New Roman" w:eastAsia="宋体" w:cs="Times New Roman"/>
                <w:color w:val="auto"/>
                <w:lang w:val="en-US" w:eastAsia="zh-CN"/>
              </w:rPr>
              <w:t>运营期</w:t>
            </w:r>
            <w:r>
              <w:rPr>
                <w:rFonts w:hint="eastAsia" w:cs="Times New Roman"/>
                <w:color w:val="auto"/>
                <w:lang w:val="en-US" w:eastAsia="zh-CN"/>
              </w:rPr>
              <w:t>东、南、西、北</w:t>
            </w:r>
            <w:r>
              <w:rPr>
                <w:rFonts w:hint="default" w:ascii="Times New Roman" w:hAnsi="Times New Roman" w:eastAsia="宋体" w:cs="Times New Roman"/>
                <w:color w:val="auto"/>
                <w:lang w:val="en-US" w:eastAsia="zh-CN"/>
              </w:rPr>
              <w:t>厂界噪声执行《工业企业厂界环境噪声排放标准》（GB12348-2008）</w:t>
            </w:r>
            <w:r>
              <w:rPr>
                <w:rFonts w:hint="eastAsia" w:cs="Times New Roman"/>
                <w:color w:val="auto"/>
                <w:lang w:val="en-US" w:eastAsia="zh-CN"/>
              </w:rPr>
              <w:t>2</w:t>
            </w:r>
            <w:r>
              <w:rPr>
                <w:rFonts w:hint="default" w:ascii="Times New Roman" w:hAnsi="Times New Roman" w:eastAsia="宋体" w:cs="Times New Roman"/>
                <w:color w:val="auto"/>
                <w:lang w:val="en-US" w:eastAsia="zh-CN"/>
              </w:rPr>
              <w:t>类标准，详见下表：</w:t>
            </w:r>
          </w:p>
          <w:p w14:paraId="178624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kern w:val="0"/>
                <w:sz w:val="21"/>
                <w:szCs w:val="21"/>
                <w:lang w:val="en-US" w:eastAsia="zh-CN"/>
              </w:rPr>
              <w:t>3</w:t>
            </w:r>
            <w:r>
              <w:rPr>
                <w:rFonts w:hint="eastAsia" w:cs="Times New Roman"/>
                <w:b/>
                <w:color w:val="auto"/>
                <w:kern w:val="0"/>
                <w:sz w:val="21"/>
                <w:szCs w:val="21"/>
                <w:lang w:val="en-US" w:eastAsia="zh-CN"/>
              </w:rPr>
              <w:t>-7</w:t>
            </w:r>
            <w:r>
              <w:rPr>
                <w:rFonts w:hint="default" w:ascii="Times New Roman" w:hAnsi="Times New Roman" w:eastAsia="宋体" w:cs="Times New Roman"/>
                <w:b/>
                <w:color w:val="auto"/>
                <w:kern w:val="0"/>
                <w:sz w:val="21"/>
                <w:szCs w:val="21"/>
              </w:rPr>
              <w:t xml:space="preserve">  工业企业厂界环境噪声排放标准</w:t>
            </w:r>
          </w:p>
          <w:tbl>
            <w:tblPr>
              <w:tblStyle w:val="27"/>
              <w:tblW w:w="900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058"/>
              <w:gridCol w:w="1677"/>
              <w:gridCol w:w="5266"/>
            </w:tblGrid>
            <w:tr w14:paraId="74AB1E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058" w:type="dxa"/>
                  <w:noWrap w:val="0"/>
                  <w:vAlign w:val="center"/>
                </w:tcPr>
                <w:p w14:paraId="38971BB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执行区域</w:t>
                  </w:r>
                </w:p>
              </w:tc>
              <w:tc>
                <w:tcPr>
                  <w:tcW w:w="1677" w:type="dxa"/>
                  <w:noWrap w:val="0"/>
                  <w:vAlign w:val="center"/>
                </w:tcPr>
                <w:p w14:paraId="13B2545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昼间（dB(A)）</w:t>
                  </w:r>
                </w:p>
              </w:tc>
              <w:tc>
                <w:tcPr>
                  <w:tcW w:w="5266" w:type="dxa"/>
                  <w:noWrap w:val="0"/>
                  <w:vAlign w:val="center"/>
                </w:tcPr>
                <w:p w14:paraId="796DD3A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执行标准</w:t>
                  </w:r>
                </w:p>
              </w:tc>
            </w:tr>
            <w:tr w14:paraId="7F30FE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058" w:type="dxa"/>
                  <w:noWrap w:val="0"/>
                  <w:vAlign w:val="center"/>
                </w:tcPr>
                <w:p w14:paraId="6F41FC0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东、</w:t>
                  </w:r>
                  <w:r>
                    <w:rPr>
                      <w:rFonts w:hint="default" w:ascii="Times New Roman" w:hAnsi="Times New Roman" w:eastAsia="仿宋" w:cs="Times New Roman"/>
                      <w:color w:val="auto"/>
                      <w:szCs w:val="21"/>
                      <w:lang w:val="en-US" w:eastAsia="zh-CN"/>
                    </w:rPr>
                    <w:t>南、西、北</w:t>
                  </w:r>
                  <w:r>
                    <w:rPr>
                      <w:rFonts w:hint="default" w:ascii="Times New Roman" w:hAnsi="Times New Roman" w:eastAsia="仿宋" w:cs="Times New Roman"/>
                      <w:color w:val="auto"/>
                      <w:szCs w:val="21"/>
                    </w:rPr>
                    <w:t>厂界</w:t>
                  </w:r>
                </w:p>
              </w:tc>
              <w:tc>
                <w:tcPr>
                  <w:tcW w:w="1677" w:type="dxa"/>
                  <w:noWrap w:val="0"/>
                  <w:vAlign w:val="center"/>
                </w:tcPr>
                <w:p w14:paraId="250450C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≤6</w:t>
                  </w:r>
                  <w:r>
                    <w:rPr>
                      <w:rFonts w:hint="eastAsia" w:eastAsia="仿宋" w:cs="Times New Roman"/>
                      <w:color w:val="auto"/>
                      <w:szCs w:val="21"/>
                      <w:lang w:val="en-US" w:eastAsia="zh-CN"/>
                    </w:rPr>
                    <w:t>0</w:t>
                  </w:r>
                </w:p>
              </w:tc>
              <w:tc>
                <w:tcPr>
                  <w:tcW w:w="5266" w:type="dxa"/>
                  <w:noWrap w:val="0"/>
                  <w:vAlign w:val="center"/>
                </w:tcPr>
                <w:p w14:paraId="434408C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《工业企业厂界环境噪声排放标准》（GB12348-2008）</w:t>
                  </w:r>
                  <w:r>
                    <w:rPr>
                      <w:rFonts w:hint="eastAsia" w:eastAsia="仿宋" w:cs="Times New Roman"/>
                      <w:color w:val="auto"/>
                      <w:szCs w:val="21"/>
                      <w:lang w:val="en-US" w:eastAsia="zh-CN"/>
                    </w:rPr>
                    <w:t>2</w:t>
                  </w:r>
                  <w:r>
                    <w:rPr>
                      <w:rFonts w:hint="default" w:ascii="Times New Roman" w:hAnsi="Times New Roman" w:eastAsia="仿宋" w:cs="Times New Roman"/>
                      <w:color w:val="auto"/>
                      <w:szCs w:val="21"/>
                    </w:rPr>
                    <w:t>类标准限值</w:t>
                  </w:r>
                </w:p>
              </w:tc>
            </w:tr>
          </w:tbl>
          <w:p w14:paraId="77F1D0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cs="Times New Roman"/>
                <w:b/>
                <w:bCs/>
                <w:color w:val="auto"/>
                <w:lang w:val="en-US" w:eastAsia="zh-CN"/>
              </w:rPr>
            </w:pPr>
            <w:r>
              <w:rPr>
                <w:rFonts w:hint="eastAsia" w:cs="Times New Roman"/>
                <w:b/>
                <w:bCs/>
                <w:color w:val="auto"/>
                <w:lang w:val="en-US" w:eastAsia="zh-CN"/>
              </w:rPr>
              <w:t>注：本项目夜间不生产。</w:t>
            </w:r>
          </w:p>
          <w:p w14:paraId="1725F7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3、废气排放标准</w:t>
            </w:r>
          </w:p>
          <w:p w14:paraId="0FCC76C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本项目</w:t>
            </w:r>
            <w:r>
              <w:rPr>
                <w:rFonts w:hint="eastAsia" w:ascii="Times New Roman" w:hAnsi="Times New Roman" w:cs="Times New Roman"/>
                <w:color w:val="auto"/>
                <w:kern w:val="2"/>
                <w:sz w:val="21"/>
                <w:szCs w:val="24"/>
                <w:lang w:val="en-US" w:eastAsia="zh-CN" w:bidi="ar-SA"/>
              </w:rPr>
              <w:t>磨圆工段有组织排放的颗粒物执行</w:t>
            </w:r>
            <w:r>
              <w:rPr>
                <w:rFonts w:hint="default" w:ascii="Times New Roman" w:hAnsi="Times New Roman" w:eastAsia="宋体" w:cs="Times New Roman"/>
                <w:color w:val="auto"/>
                <w:kern w:val="2"/>
                <w:sz w:val="21"/>
                <w:szCs w:val="24"/>
                <w:lang w:val="en-US" w:eastAsia="zh-CN" w:bidi="ar-SA"/>
              </w:rPr>
              <w:t>《大气污染物综合排放标准》（DB32/4041-2021）</w:t>
            </w:r>
            <w:r>
              <w:rPr>
                <w:rFonts w:hint="eastAsia" w:ascii="Times New Roman" w:hAnsi="Times New Roman" w:eastAsia="宋体" w:cs="Times New Roman"/>
                <w:color w:val="auto"/>
                <w:kern w:val="2"/>
                <w:sz w:val="21"/>
                <w:szCs w:val="24"/>
                <w:lang w:val="en-US" w:eastAsia="zh-CN" w:bidi="ar-SA"/>
              </w:rPr>
              <w:t>表1限值；</w:t>
            </w:r>
            <w:r>
              <w:rPr>
                <w:rFonts w:hint="eastAsia" w:ascii="Times New Roman" w:hAnsi="Times New Roman" w:cs="Times New Roman"/>
                <w:color w:val="auto"/>
                <w:kern w:val="2"/>
                <w:sz w:val="21"/>
                <w:szCs w:val="24"/>
                <w:lang w:val="en-US" w:eastAsia="zh-CN" w:bidi="ar-SA"/>
              </w:rPr>
              <w:t>炼胶、硫化</w:t>
            </w:r>
            <w:r>
              <w:rPr>
                <w:rFonts w:hint="eastAsia" w:ascii="Times New Roman" w:hAnsi="Times New Roman" w:eastAsia="宋体" w:cs="Times New Roman"/>
                <w:color w:val="auto"/>
                <w:kern w:val="2"/>
                <w:sz w:val="21"/>
                <w:szCs w:val="24"/>
                <w:lang w:val="en-US" w:eastAsia="zh-CN" w:bidi="ar-SA"/>
              </w:rPr>
              <w:t>工段有组织排放的</w:t>
            </w:r>
            <w:r>
              <w:rPr>
                <w:rFonts w:hint="eastAsia" w:ascii="Times New Roman" w:hAnsi="Times New Roman" w:cs="Times New Roman"/>
                <w:color w:val="auto"/>
                <w:kern w:val="2"/>
                <w:sz w:val="21"/>
                <w:szCs w:val="24"/>
                <w:lang w:val="en-US" w:eastAsia="zh-CN" w:bidi="ar-SA"/>
              </w:rPr>
              <w:t>颗粒物、</w:t>
            </w:r>
            <w:r>
              <w:rPr>
                <w:rFonts w:hint="eastAsia" w:ascii="Times New Roman" w:hAnsi="Times New Roman" w:eastAsia="宋体" w:cs="Times New Roman"/>
                <w:color w:val="auto"/>
                <w:kern w:val="2"/>
                <w:sz w:val="21"/>
                <w:szCs w:val="24"/>
                <w:lang w:val="en-US" w:eastAsia="zh-CN" w:bidi="ar-SA"/>
              </w:rPr>
              <w:t>非甲烷总烃执行《橡胶制品工业污染物排放标准》（GB 27632-2011）表5限值，</w:t>
            </w:r>
            <w:r>
              <w:rPr>
                <w:rFonts w:hint="eastAsia" w:ascii="Times New Roman" w:hAnsi="Times New Roman" w:cs="Times New Roman"/>
                <w:color w:val="auto"/>
                <w:kern w:val="2"/>
                <w:sz w:val="21"/>
                <w:szCs w:val="24"/>
                <w:lang w:val="en-US" w:eastAsia="zh-CN" w:bidi="ar-SA"/>
              </w:rPr>
              <w:t>硫化氢、二硫化碳、臭气浓度有组织排放执行《恶臭污染物排放标准》（GB14554-93）表2二级标准-新改扩建标准</w:t>
            </w:r>
            <w:r>
              <w:rPr>
                <w:rFonts w:hint="eastAsia" w:ascii="Times New Roman" w:hAnsi="Times New Roman" w:eastAsia="宋体" w:cs="Times New Roman"/>
                <w:color w:val="auto"/>
                <w:kern w:val="2"/>
                <w:sz w:val="21"/>
                <w:szCs w:val="24"/>
                <w:lang w:val="en-US" w:eastAsia="zh-CN" w:bidi="ar-SA"/>
              </w:rPr>
              <w:t>。</w:t>
            </w:r>
          </w:p>
          <w:p w14:paraId="701EA5DD">
            <w:pPr>
              <w:pStyle w:val="2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根据2020年6月29日生态环境部办公厅“关于印发《重污染天气重点行业应急减排措施制定技术指南（2020年修订版）》的函（环办大气函[2020]340号）”，《指南》中“三十四、橡胶制品制造”的排放限值要求：排气口各污染物连续稳定达到橡胶制品工业污染物排放标准》（GB27632-2011）排放限值，并满足相关地方标准（不要求基准排气量）。另外，2021年2月5日中国橡胶工业协会出具的《关于玲珑轮胎新建项目污染源强核算问题的反馈意见》显示：“《橡胶制品工业污染物排放标准》（GB27632-2011）的基准排气量，是基于近二十年前橡胶企业的调研结果，并结合2007年国家发展和改革委员会发布的《轮胎行业清洁生产评价指标体系（试行）》以及参考“一污普”数据而确定。在该标准制订时期，企业普遍仅对密炼机的炼胶废气进行收集，其他环节均为无组织排放，“一污普”亦仅统计粉尘和炼胶排气量。......根据HJ1122标准编制调研发现，当前橡胶企业有组织废气排放量平均超过《橡胶制品工业污染物排放标准》（GB27632-2011）基准排气量的20倍以上，按基准排气量折算后，企业普遍达标困难”。因此GB27632-2011的基准排气量因行业技术进步和政策调整已不再强制要求，当前橡胶企业废气排放合规性以实测浓度为判定依据，优先执行生态环境部2020年指南：“排气口污染物按实测浓度判定是否满足GB27632-2011限值，无需折算基准排气量”，故本项目不考虑基准排气量的计算。</w:t>
            </w:r>
          </w:p>
          <w:p w14:paraId="379F79BE">
            <w:pPr>
              <w:keepNext w:val="0"/>
              <w:keepLines w:val="0"/>
              <w:suppressLineNumbers w:val="0"/>
              <w:autoSpaceDE w:val="0"/>
              <w:autoSpaceDN w:val="0"/>
              <w:adjustRightInd w:val="0"/>
              <w:snapToGrid w:val="0"/>
              <w:spacing w:before="0" w:beforeAutospacing="0" w:after="0" w:afterAutospacing="0"/>
              <w:ind w:left="0" w:right="0" w:firstLine="422" w:firstLineChars="200"/>
              <w:jc w:val="center"/>
              <w:rPr>
                <w:rFonts w:hint="default" w:ascii="Times New Roman" w:hAnsi="Times New Roman" w:cs="Times New Roman"/>
                <w:b/>
                <w:color w:val="auto"/>
                <w:kern w:val="0"/>
                <w:szCs w:val="21"/>
              </w:rPr>
            </w:pPr>
          </w:p>
          <w:p w14:paraId="779FDD02">
            <w:pPr>
              <w:keepNext w:val="0"/>
              <w:keepLines w:val="0"/>
              <w:suppressLineNumbers w:val="0"/>
              <w:autoSpaceDE w:val="0"/>
              <w:autoSpaceDN w:val="0"/>
              <w:adjustRightInd w:val="0"/>
              <w:snapToGrid w:val="0"/>
              <w:spacing w:before="0" w:beforeAutospacing="0" w:after="0" w:afterAutospacing="0"/>
              <w:ind w:left="0" w:right="0" w:firstLine="422" w:firstLineChars="200"/>
              <w:jc w:val="center"/>
              <w:rPr>
                <w:rFonts w:hint="default" w:ascii="Times New Roman" w:hAnsi="Times New Roman" w:cs="Times New Roman"/>
                <w:b/>
                <w:color w:val="auto"/>
                <w:kern w:val="0"/>
                <w:szCs w:val="21"/>
              </w:rPr>
            </w:pPr>
          </w:p>
          <w:p w14:paraId="1A3A8D73">
            <w:pPr>
              <w:keepNext w:val="0"/>
              <w:keepLines w:val="0"/>
              <w:suppressLineNumbers w:val="0"/>
              <w:autoSpaceDE w:val="0"/>
              <w:autoSpaceDN w:val="0"/>
              <w:adjustRightInd w:val="0"/>
              <w:snapToGrid w:val="0"/>
              <w:spacing w:before="0" w:beforeAutospacing="0" w:after="0" w:afterAutospacing="0"/>
              <w:ind w:left="0" w:right="0" w:firstLine="422" w:firstLineChars="200"/>
              <w:jc w:val="center"/>
              <w:rPr>
                <w:rFonts w:hint="default" w:ascii="Times New Roman" w:hAnsi="Times New Roman" w:cs="Times New Roman"/>
                <w:b/>
                <w:color w:val="auto"/>
                <w:kern w:val="0"/>
                <w:szCs w:val="21"/>
              </w:rPr>
            </w:pPr>
          </w:p>
          <w:p w14:paraId="3ECB4B77">
            <w:pPr>
              <w:keepNext w:val="0"/>
              <w:keepLines w:val="0"/>
              <w:suppressLineNumbers w:val="0"/>
              <w:autoSpaceDE w:val="0"/>
              <w:autoSpaceDN w:val="0"/>
              <w:adjustRightInd w:val="0"/>
              <w:snapToGrid w:val="0"/>
              <w:spacing w:before="0" w:beforeAutospacing="0" w:after="0" w:afterAutospacing="0"/>
              <w:ind w:left="0" w:right="0" w:firstLine="422" w:firstLineChars="200"/>
              <w:jc w:val="center"/>
              <w:rPr>
                <w:rFonts w:hint="default" w:ascii="Times New Roman" w:hAnsi="Times New Roman" w:cs="Times New Roman"/>
                <w:b/>
                <w:color w:val="auto"/>
                <w:kern w:val="0"/>
                <w:szCs w:val="21"/>
              </w:rPr>
            </w:pPr>
          </w:p>
          <w:p w14:paraId="21016A1E">
            <w:pPr>
              <w:keepNext w:val="0"/>
              <w:keepLines w:val="0"/>
              <w:suppressLineNumbers w:val="0"/>
              <w:autoSpaceDE w:val="0"/>
              <w:autoSpaceDN w:val="0"/>
              <w:adjustRightInd w:val="0"/>
              <w:snapToGrid w:val="0"/>
              <w:spacing w:before="0" w:beforeAutospacing="0" w:after="0" w:afterAutospacing="0"/>
              <w:ind w:left="0" w:right="0" w:firstLine="422" w:firstLineChars="200"/>
              <w:jc w:val="center"/>
              <w:rPr>
                <w:rFonts w:hint="default" w:ascii="Times New Roman" w:hAnsi="Times New Roman" w:cs="Times New Roman"/>
                <w:b/>
                <w:color w:val="auto"/>
                <w:kern w:val="0"/>
                <w:szCs w:val="21"/>
              </w:rPr>
            </w:pPr>
          </w:p>
          <w:p w14:paraId="1D729FF1">
            <w:pPr>
              <w:keepNext w:val="0"/>
              <w:keepLines w:val="0"/>
              <w:suppressLineNumbers w:val="0"/>
              <w:autoSpaceDE w:val="0"/>
              <w:autoSpaceDN w:val="0"/>
              <w:adjustRightInd w:val="0"/>
              <w:snapToGrid w:val="0"/>
              <w:spacing w:before="0" w:beforeAutospacing="0" w:after="0" w:afterAutospacing="0"/>
              <w:ind w:left="0" w:right="0" w:firstLine="422" w:firstLineChars="20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表3</w:t>
            </w:r>
            <w:r>
              <w:rPr>
                <w:rFonts w:hint="eastAsia" w:cs="Times New Roman"/>
                <w:b/>
                <w:color w:val="auto"/>
                <w:kern w:val="0"/>
                <w:szCs w:val="21"/>
                <w:lang w:val="en-US" w:eastAsia="zh-CN"/>
              </w:rPr>
              <w:t>-8</w:t>
            </w:r>
            <w:r>
              <w:rPr>
                <w:rFonts w:hint="default" w:ascii="Times New Roman" w:hAnsi="Times New Roman" w:cs="Times New Roman"/>
                <w:b/>
                <w:color w:val="auto"/>
                <w:kern w:val="0"/>
                <w:szCs w:val="21"/>
              </w:rPr>
              <w:t xml:space="preserve">  大气污染物</w:t>
            </w:r>
            <w:r>
              <w:rPr>
                <w:rFonts w:hint="eastAsia" w:cs="Times New Roman"/>
                <w:b/>
                <w:color w:val="auto"/>
                <w:kern w:val="0"/>
                <w:szCs w:val="21"/>
                <w:lang w:val="en-US" w:eastAsia="zh-CN"/>
              </w:rPr>
              <w:t>有组织</w:t>
            </w:r>
            <w:r>
              <w:rPr>
                <w:rFonts w:hint="default" w:ascii="Times New Roman" w:hAnsi="Times New Roman" w:cs="Times New Roman"/>
                <w:b/>
                <w:color w:val="auto"/>
                <w:kern w:val="0"/>
                <w:szCs w:val="21"/>
              </w:rPr>
              <w:t>排放标准</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93"/>
              <w:gridCol w:w="859"/>
              <w:gridCol w:w="1593"/>
              <w:gridCol w:w="1290"/>
              <w:gridCol w:w="900"/>
              <w:gridCol w:w="975"/>
              <w:gridCol w:w="2504"/>
            </w:tblGrid>
            <w:tr w14:paraId="7E1E5CD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4" w:type="pct"/>
                  <w:vMerge w:val="restart"/>
                  <w:noWrap w:val="0"/>
                  <w:vAlign w:val="center"/>
                </w:tcPr>
                <w:p w14:paraId="4FF4DF8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产生工段</w:t>
                  </w:r>
                </w:p>
              </w:tc>
              <w:tc>
                <w:tcPr>
                  <w:tcW w:w="481" w:type="pct"/>
                  <w:vMerge w:val="restart"/>
                  <w:noWrap w:val="0"/>
                  <w:vAlign w:val="center"/>
                </w:tcPr>
                <w:p w14:paraId="17806C1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污染物名称</w:t>
                  </w:r>
                </w:p>
              </w:tc>
              <w:tc>
                <w:tcPr>
                  <w:tcW w:w="2668" w:type="pct"/>
                  <w:gridSpan w:val="4"/>
                  <w:noWrap w:val="0"/>
                  <w:vAlign w:val="center"/>
                </w:tcPr>
                <w:p w14:paraId="05217A7C">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有组织排放限值</w:t>
                  </w:r>
                </w:p>
              </w:tc>
              <w:tc>
                <w:tcPr>
                  <w:tcW w:w="1404" w:type="pct"/>
                  <w:vMerge w:val="restart"/>
                  <w:tcBorders>
                    <w:left w:val="single" w:color="auto" w:sz="4" w:space="0"/>
                  </w:tcBorders>
                  <w:noWrap w:val="0"/>
                  <w:vAlign w:val="center"/>
                </w:tcPr>
                <w:p w14:paraId="2941FEC8">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标准来源</w:t>
                  </w:r>
                </w:p>
              </w:tc>
            </w:tr>
            <w:tr w14:paraId="5FD1C7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5" w:hRule="atLeast"/>
                <w:jc w:val="center"/>
              </w:trPr>
              <w:tc>
                <w:tcPr>
                  <w:tcW w:w="444" w:type="pct"/>
                  <w:vMerge w:val="continue"/>
                  <w:noWrap w:val="0"/>
                  <w:vAlign w:val="center"/>
                </w:tcPr>
                <w:p w14:paraId="48A830C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c>
                <w:tcPr>
                  <w:tcW w:w="481" w:type="pct"/>
                  <w:vMerge w:val="continue"/>
                  <w:noWrap w:val="0"/>
                  <w:vAlign w:val="center"/>
                </w:tcPr>
                <w:p w14:paraId="2FEE858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c>
                <w:tcPr>
                  <w:tcW w:w="893" w:type="pct"/>
                  <w:noWrap w:val="0"/>
                  <w:vAlign w:val="center"/>
                </w:tcPr>
                <w:p w14:paraId="607DFFC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最高允许排放浓度mg/m</w:t>
                  </w:r>
                  <w:r>
                    <w:rPr>
                      <w:rFonts w:hint="default" w:ascii="Times New Roman" w:hAnsi="Times New Roman" w:eastAsia="仿宋" w:cs="Times New Roman"/>
                      <w:color w:val="auto"/>
                      <w:szCs w:val="21"/>
                      <w:vertAlign w:val="superscript"/>
                    </w:rPr>
                    <w:t>3</w:t>
                  </w:r>
                </w:p>
              </w:tc>
              <w:tc>
                <w:tcPr>
                  <w:tcW w:w="723" w:type="pct"/>
                  <w:noWrap w:val="0"/>
                  <w:vAlign w:val="center"/>
                </w:tcPr>
                <w:p w14:paraId="39B3EF6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最高允许排放速率kg/h</w:t>
                  </w:r>
                </w:p>
              </w:tc>
              <w:tc>
                <w:tcPr>
                  <w:tcW w:w="504" w:type="pct"/>
                  <w:noWrap w:val="0"/>
                  <w:vAlign w:val="center"/>
                </w:tcPr>
                <w:p w14:paraId="515EB26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rPr>
                  </w:pPr>
                  <w:r>
                    <w:rPr>
                      <w:rFonts w:hint="eastAsia" w:eastAsia="仿宋" w:cs="Times New Roman"/>
                      <w:color w:val="auto"/>
                      <w:szCs w:val="21"/>
                      <w:lang w:val="en-US" w:eastAsia="zh-CN"/>
                    </w:rPr>
                    <w:t>排气筒高度m</w:t>
                  </w:r>
                </w:p>
              </w:tc>
              <w:tc>
                <w:tcPr>
                  <w:tcW w:w="546" w:type="pct"/>
                  <w:noWrap w:val="0"/>
                  <w:vAlign w:val="center"/>
                </w:tcPr>
                <w:p w14:paraId="72B8E17D">
                  <w:pPr>
                    <w:keepNext w:val="0"/>
                    <w:keepLines w:val="0"/>
                    <w:suppressLineNumbers w:val="0"/>
                    <w:spacing w:before="0" w:beforeAutospacing="0" w:after="0" w:afterAutospacing="0"/>
                    <w:ind w:left="0" w:right="0"/>
                    <w:jc w:val="center"/>
                    <w:rPr>
                      <w:rFonts w:hint="default" w:eastAsia="仿宋" w:cs="Times New Roman"/>
                      <w:color w:val="auto"/>
                      <w:szCs w:val="21"/>
                      <w:lang w:val="en-US" w:eastAsia="zh-CN"/>
                    </w:rPr>
                  </w:pPr>
                  <w:r>
                    <w:rPr>
                      <w:rFonts w:hint="eastAsia" w:eastAsia="仿宋" w:cs="Times New Roman"/>
                      <w:color w:val="auto"/>
                      <w:szCs w:val="21"/>
                      <w:lang w:val="en-US" w:eastAsia="zh-CN"/>
                    </w:rPr>
                    <w:t>排气筒编号</w:t>
                  </w:r>
                </w:p>
              </w:tc>
              <w:tc>
                <w:tcPr>
                  <w:tcW w:w="1404" w:type="pct"/>
                  <w:vMerge w:val="continue"/>
                  <w:tcBorders>
                    <w:left w:val="single" w:color="auto" w:sz="4" w:space="0"/>
                  </w:tcBorders>
                  <w:noWrap w:val="0"/>
                  <w:vAlign w:val="center"/>
                </w:tcPr>
                <w:p w14:paraId="7A88ABE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r>
            <w:tr w14:paraId="1CFE36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5" w:hRule="atLeast"/>
                <w:jc w:val="center"/>
              </w:trPr>
              <w:tc>
                <w:tcPr>
                  <w:tcW w:w="444" w:type="pct"/>
                  <w:noWrap w:val="0"/>
                  <w:vAlign w:val="center"/>
                </w:tcPr>
                <w:p w14:paraId="3DC3ACE3">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磨圆</w:t>
                  </w:r>
                </w:p>
              </w:tc>
              <w:tc>
                <w:tcPr>
                  <w:tcW w:w="481" w:type="pct"/>
                  <w:noWrap w:val="0"/>
                  <w:vAlign w:val="center"/>
                </w:tcPr>
                <w:p w14:paraId="7DC41630">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颗粒物</w:t>
                  </w:r>
                </w:p>
              </w:tc>
              <w:tc>
                <w:tcPr>
                  <w:tcW w:w="893" w:type="pct"/>
                  <w:noWrap w:val="0"/>
                  <w:vAlign w:val="center"/>
                </w:tcPr>
                <w:p w14:paraId="2E47F30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20</w:t>
                  </w:r>
                </w:p>
              </w:tc>
              <w:tc>
                <w:tcPr>
                  <w:tcW w:w="723" w:type="pct"/>
                  <w:noWrap w:val="0"/>
                  <w:vAlign w:val="center"/>
                </w:tcPr>
                <w:p w14:paraId="0AE5F4D2">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1</w:t>
                  </w:r>
                </w:p>
              </w:tc>
              <w:tc>
                <w:tcPr>
                  <w:tcW w:w="504" w:type="pct"/>
                  <w:vMerge w:val="restart"/>
                  <w:noWrap w:val="0"/>
                  <w:vAlign w:val="center"/>
                </w:tcPr>
                <w:p w14:paraId="50F7FBB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15</w:t>
                  </w:r>
                </w:p>
              </w:tc>
              <w:tc>
                <w:tcPr>
                  <w:tcW w:w="546" w:type="pct"/>
                  <w:noWrap w:val="0"/>
                  <w:vAlign w:val="center"/>
                </w:tcPr>
                <w:p w14:paraId="542CF1CE">
                  <w:pPr>
                    <w:keepNext w:val="0"/>
                    <w:keepLines w:val="0"/>
                    <w:suppressLineNumbers w:val="0"/>
                    <w:spacing w:before="0" w:beforeAutospacing="0" w:after="0" w:afterAutospacing="0"/>
                    <w:ind w:left="0" w:right="0"/>
                    <w:jc w:val="center"/>
                    <w:rPr>
                      <w:rFonts w:hint="default" w:eastAsia="仿宋" w:cs="Times New Roman"/>
                      <w:color w:val="auto"/>
                      <w:szCs w:val="21"/>
                      <w:lang w:val="en-US" w:eastAsia="zh-CN"/>
                    </w:rPr>
                  </w:pPr>
                  <w:r>
                    <w:rPr>
                      <w:rFonts w:hint="eastAsia" w:eastAsia="仿宋" w:cs="Times New Roman"/>
                      <w:color w:val="auto"/>
                      <w:szCs w:val="21"/>
                      <w:lang w:val="en-US" w:eastAsia="zh-CN"/>
                    </w:rPr>
                    <w:t>DA001</w:t>
                  </w:r>
                </w:p>
              </w:tc>
              <w:tc>
                <w:tcPr>
                  <w:tcW w:w="1404" w:type="pct"/>
                  <w:tcBorders>
                    <w:left w:val="single" w:color="auto" w:sz="4" w:space="0"/>
                  </w:tcBorders>
                  <w:noWrap w:val="0"/>
                  <w:vAlign w:val="center"/>
                </w:tcPr>
                <w:p w14:paraId="66AD463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《大气污染物综合排放标准》（DB32/4041-2021）表1限值</w:t>
                  </w:r>
                </w:p>
              </w:tc>
            </w:tr>
            <w:tr w14:paraId="601663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444" w:type="pct"/>
                  <w:vMerge w:val="restart"/>
                  <w:noWrap w:val="0"/>
                  <w:vAlign w:val="center"/>
                </w:tcPr>
                <w:p w14:paraId="32D908F2">
                  <w:pPr>
                    <w:keepNext w:val="0"/>
                    <w:keepLines w:val="0"/>
                    <w:suppressLineNumbers w:val="0"/>
                    <w:spacing w:before="0" w:beforeAutospacing="0" w:after="0" w:afterAutospacing="0"/>
                    <w:ind w:left="0" w:right="0"/>
                    <w:jc w:val="center"/>
                    <w:rPr>
                      <w:rFonts w:hint="eastAsia" w:eastAsia="仿宋" w:cs="Times New Roman"/>
                      <w:color w:val="auto"/>
                      <w:szCs w:val="21"/>
                      <w:lang w:val="en-US" w:eastAsia="zh-CN"/>
                    </w:rPr>
                  </w:pPr>
                  <w:r>
                    <w:rPr>
                      <w:rFonts w:hint="eastAsia" w:eastAsia="仿宋" w:cs="Times New Roman"/>
                      <w:color w:val="auto"/>
                      <w:szCs w:val="21"/>
                      <w:lang w:val="en-US" w:eastAsia="zh-CN"/>
                    </w:rPr>
                    <w:t>炼胶、硫化</w:t>
                  </w:r>
                </w:p>
              </w:tc>
              <w:tc>
                <w:tcPr>
                  <w:tcW w:w="481" w:type="pct"/>
                  <w:noWrap w:val="0"/>
                  <w:vAlign w:val="center"/>
                </w:tcPr>
                <w:p w14:paraId="2FE61CBD">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颗粒物</w:t>
                  </w:r>
                </w:p>
              </w:tc>
              <w:tc>
                <w:tcPr>
                  <w:tcW w:w="893" w:type="pct"/>
                  <w:noWrap w:val="0"/>
                  <w:vAlign w:val="center"/>
                </w:tcPr>
                <w:p w14:paraId="3A005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12</w:t>
                  </w:r>
                </w:p>
              </w:tc>
              <w:tc>
                <w:tcPr>
                  <w:tcW w:w="723" w:type="pct"/>
                  <w:noWrap w:val="0"/>
                  <w:vAlign w:val="center"/>
                </w:tcPr>
                <w:p w14:paraId="7ECAD9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w:t>
                  </w:r>
                </w:p>
              </w:tc>
              <w:tc>
                <w:tcPr>
                  <w:tcW w:w="504" w:type="pct"/>
                  <w:vMerge w:val="continue"/>
                  <w:noWrap w:val="0"/>
                  <w:vAlign w:val="center"/>
                </w:tcPr>
                <w:p w14:paraId="5441543D">
                  <w:pPr>
                    <w:keepNext w:val="0"/>
                    <w:keepLines w:val="0"/>
                    <w:suppressLineNumbers w:val="0"/>
                    <w:spacing w:before="0" w:beforeAutospacing="0" w:after="0" w:afterAutospacing="0"/>
                    <w:ind w:left="0" w:right="0"/>
                    <w:jc w:val="center"/>
                    <w:rPr>
                      <w:rFonts w:hint="eastAsia" w:eastAsia="仿宋" w:cs="Times New Roman"/>
                      <w:color w:val="auto"/>
                      <w:szCs w:val="21"/>
                      <w:lang w:val="en-US" w:eastAsia="zh-CN"/>
                    </w:rPr>
                  </w:pPr>
                </w:p>
              </w:tc>
              <w:tc>
                <w:tcPr>
                  <w:tcW w:w="546" w:type="pct"/>
                  <w:vMerge w:val="restart"/>
                  <w:noWrap w:val="0"/>
                  <w:vAlign w:val="center"/>
                </w:tcPr>
                <w:p w14:paraId="652590AD">
                  <w:pPr>
                    <w:keepNext w:val="0"/>
                    <w:keepLines w:val="0"/>
                    <w:suppressLineNumbers w:val="0"/>
                    <w:spacing w:before="0" w:beforeAutospacing="0" w:after="0" w:afterAutospacing="0"/>
                    <w:ind w:left="0" w:right="0"/>
                    <w:jc w:val="center"/>
                    <w:rPr>
                      <w:rFonts w:hint="default" w:eastAsia="仿宋" w:cs="Times New Roman"/>
                      <w:color w:val="auto"/>
                      <w:szCs w:val="21"/>
                      <w:lang w:val="en-US" w:eastAsia="zh-CN"/>
                    </w:rPr>
                  </w:pPr>
                  <w:r>
                    <w:rPr>
                      <w:rFonts w:hint="eastAsia" w:eastAsia="仿宋" w:cs="Times New Roman"/>
                      <w:color w:val="auto"/>
                      <w:szCs w:val="21"/>
                      <w:lang w:val="en-US" w:eastAsia="zh-CN"/>
                    </w:rPr>
                    <w:t>DA002</w:t>
                  </w:r>
                </w:p>
              </w:tc>
              <w:tc>
                <w:tcPr>
                  <w:tcW w:w="1404" w:type="pct"/>
                  <w:vMerge w:val="restart"/>
                  <w:tcBorders>
                    <w:left w:val="single" w:color="auto" w:sz="4" w:space="0"/>
                  </w:tcBorders>
                  <w:noWrap w:val="0"/>
                  <w:vAlign w:val="center"/>
                </w:tcPr>
                <w:p w14:paraId="2CF4518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rPr>
                    <w:t>《橡胶制品工业污染物排放标准》（GB 27632-2011）表</w:t>
                  </w:r>
                  <w:r>
                    <w:rPr>
                      <w:rFonts w:hint="eastAsia" w:ascii="Times New Roman" w:hAnsi="Times New Roman" w:eastAsia="仿宋" w:cs="Times New Roman"/>
                      <w:color w:val="auto"/>
                      <w:szCs w:val="21"/>
                      <w:lang w:val="en-US" w:eastAsia="zh-CN"/>
                    </w:rPr>
                    <w:t>5</w:t>
                  </w:r>
                  <w:r>
                    <w:rPr>
                      <w:rFonts w:hint="default" w:ascii="Times New Roman" w:hAnsi="Times New Roman" w:eastAsia="仿宋" w:cs="Times New Roman"/>
                      <w:color w:val="auto"/>
                      <w:szCs w:val="21"/>
                      <w:lang w:val="en-US" w:eastAsia="zh-CN"/>
                    </w:rPr>
                    <w:t>限值</w:t>
                  </w:r>
                </w:p>
              </w:tc>
            </w:tr>
            <w:tr w14:paraId="697B10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33" w:hRule="atLeast"/>
                <w:jc w:val="center"/>
              </w:trPr>
              <w:tc>
                <w:tcPr>
                  <w:tcW w:w="444" w:type="pct"/>
                  <w:vMerge w:val="continue"/>
                  <w:noWrap w:val="0"/>
                  <w:vAlign w:val="center"/>
                </w:tcPr>
                <w:p w14:paraId="52E00B3E">
                  <w:pPr>
                    <w:keepNext w:val="0"/>
                    <w:keepLines w:val="0"/>
                    <w:suppressLineNumbers w:val="0"/>
                    <w:spacing w:before="0" w:beforeAutospacing="0" w:after="0" w:afterAutospacing="0"/>
                    <w:ind w:left="0" w:right="0"/>
                    <w:jc w:val="center"/>
                    <w:rPr>
                      <w:rFonts w:hint="eastAsia" w:eastAsia="仿宋" w:cs="Times New Roman"/>
                      <w:color w:val="auto"/>
                      <w:szCs w:val="21"/>
                      <w:lang w:val="en-US" w:eastAsia="zh-CN"/>
                    </w:rPr>
                  </w:pPr>
                </w:p>
              </w:tc>
              <w:tc>
                <w:tcPr>
                  <w:tcW w:w="481" w:type="pct"/>
                  <w:noWrap w:val="0"/>
                  <w:vAlign w:val="center"/>
                </w:tcPr>
                <w:p w14:paraId="2F886951">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非甲烷总烃</w:t>
                  </w:r>
                </w:p>
              </w:tc>
              <w:tc>
                <w:tcPr>
                  <w:tcW w:w="893" w:type="pct"/>
                  <w:noWrap w:val="0"/>
                  <w:vAlign w:val="center"/>
                </w:tcPr>
                <w:p w14:paraId="540EB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10</w:t>
                  </w:r>
                </w:p>
              </w:tc>
              <w:tc>
                <w:tcPr>
                  <w:tcW w:w="723" w:type="pct"/>
                  <w:noWrap w:val="0"/>
                  <w:vAlign w:val="center"/>
                </w:tcPr>
                <w:p w14:paraId="65398A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w:t>
                  </w:r>
                </w:p>
              </w:tc>
              <w:tc>
                <w:tcPr>
                  <w:tcW w:w="504" w:type="pct"/>
                  <w:vMerge w:val="continue"/>
                  <w:noWrap w:val="0"/>
                  <w:vAlign w:val="center"/>
                </w:tcPr>
                <w:p w14:paraId="51F8C485">
                  <w:pPr>
                    <w:keepNext w:val="0"/>
                    <w:keepLines w:val="0"/>
                    <w:suppressLineNumbers w:val="0"/>
                    <w:spacing w:before="0" w:beforeAutospacing="0" w:after="0" w:afterAutospacing="0"/>
                    <w:ind w:left="0" w:right="0"/>
                    <w:jc w:val="center"/>
                    <w:rPr>
                      <w:rFonts w:hint="eastAsia" w:eastAsia="仿宋" w:cs="Times New Roman"/>
                      <w:color w:val="auto"/>
                      <w:szCs w:val="21"/>
                      <w:lang w:val="en-US" w:eastAsia="zh-CN"/>
                    </w:rPr>
                  </w:pPr>
                </w:p>
              </w:tc>
              <w:tc>
                <w:tcPr>
                  <w:tcW w:w="546" w:type="pct"/>
                  <w:vMerge w:val="continue"/>
                  <w:noWrap w:val="0"/>
                  <w:vAlign w:val="center"/>
                </w:tcPr>
                <w:p w14:paraId="5C675E7F">
                  <w:pPr>
                    <w:keepNext w:val="0"/>
                    <w:keepLines w:val="0"/>
                    <w:suppressLineNumbers w:val="0"/>
                    <w:spacing w:before="0" w:beforeAutospacing="0" w:after="0" w:afterAutospacing="0"/>
                    <w:ind w:left="0" w:right="0"/>
                    <w:jc w:val="center"/>
                    <w:rPr>
                      <w:rFonts w:hint="default" w:eastAsia="仿宋" w:cs="Times New Roman"/>
                      <w:color w:val="auto"/>
                      <w:szCs w:val="21"/>
                      <w:lang w:val="en-US" w:eastAsia="zh-CN"/>
                    </w:rPr>
                  </w:pPr>
                </w:p>
              </w:tc>
              <w:tc>
                <w:tcPr>
                  <w:tcW w:w="1404" w:type="pct"/>
                  <w:vMerge w:val="continue"/>
                  <w:tcBorders>
                    <w:left w:val="single" w:color="auto" w:sz="4" w:space="0"/>
                  </w:tcBorders>
                  <w:noWrap w:val="0"/>
                  <w:vAlign w:val="center"/>
                </w:tcPr>
                <w:p w14:paraId="5763FB0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r>
            <w:tr w14:paraId="51878A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444" w:type="pct"/>
                  <w:vMerge w:val="continue"/>
                  <w:noWrap w:val="0"/>
                  <w:vAlign w:val="center"/>
                </w:tcPr>
                <w:p w14:paraId="1C14E971">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p>
              </w:tc>
              <w:tc>
                <w:tcPr>
                  <w:tcW w:w="481" w:type="pct"/>
                  <w:noWrap w:val="0"/>
                  <w:vAlign w:val="center"/>
                </w:tcPr>
                <w:p w14:paraId="6D7D52A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硫化氢</w:t>
                  </w:r>
                </w:p>
              </w:tc>
              <w:tc>
                <w:tcPr>
                  <w:tcW w:w="893" w:type="pct"/>
                  <w:noWrap w:val="0"/>
                  <w:vAlign w:val="center"/>
                </w:tcPr>
                <w:p w14:paraId="444773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w:t>
                  </w:r>
                </w:p>
              </w:tc>
              <w:tc>
                <w:tcPr>
                  <w:tcW w:w="723" w:type="pct"/>
                  <w:tcBorders>
                    <w:right w:val="single" w:color="auto" w:sz="4" w:space="0"/>
                  </w:tcBorders>
                  <w:noWrap w:val="0"/>
                  <w:vAlign w:val="center"/>
                </w:tcPr>
                <w:p w14:paraId="468BD5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0.58</w:t>
                  </w:r>
                </w:p>
              </w:tc>
              <w:tc>
                <w:tcPr>
                  <w:tcW w:w="504" w:type="pct"/>
                  <w:vMerge w:val="continue"/>
                  <w:noWrap w:val="0"/>
                  <w:vAlign w:val="center"/>
                </w:tcPr>
                <w:p w14:paraId="155093E6">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p>
              </w:tc>
              <w:tc>
                <w:tcPr>
                  <w:tcW w:w="546" w:type="pct"/>
                  <w:vMerge w:val="continue"/>
                  <w:noWrap w:val="0"/>
                  <w:vAlign w:val="center"/>
                </w:tcPr>
                <w:p w14:paraId="6A11EBE6">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p>
              </w:tc>
              <w:tc>
                <w:tcPr>
                  <w:tcW w:w="1404" w:type="pct"/>
                  <w:vMerge w:val="restart"/>
                  <w:noWrap w:val="0"/>
                  <w:vAlign w:val="center"/>
                </w:tcPr>
                <w:p w14:paraId="2FC8D6F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w:t>
                  </w:r>
                  <w:r>
                    <w:rPr>
                      <w:rFonts w:hint="default" w:ascii="Times New Roman" w:hAnsi="Times New Roman" w:eastAsia="仿宋" w:cs="Times New Roman"/>
                      <w:color w:val="auto"/>
                      <w:szCs w:val="21"/>
                      <w:lang w:val="en-US" w:eastAsia="zh-CN"/>
                    </w:rPr>
                    <w:t>恶臭污染物排放标准》（GB14554-93）表2二级标准</w:t>
                  </w:r>
                  <w:r>
                    <w:rPr>
                      <w:rFonts w:hint="eastAsia" w:eastAsia="仿宋" w:cs="Times New Roman"/>
                      <w:color w:val="auto"/>
                      <w:szCs w:val="21"/>
                      <w:lang w:val="en-US" w:eastAsia="zh-CN"/>
                    </w:rPr>
                    <w:t>-</w:t>
                  </w:r>
                  <w:r>
                    <w:rPr>
                      <w:rFonts w:hint="default" w:ascii="Times New Roman" w:hAnsi="Times New Roman" w:eastAsia="仿宋" w:cs="Times New Roman"/>
                      <w:color w:val="auto"/>
                      <w:szCs w:val="21"/>
                      <w:lang w:val="en-US" w:eastAsia="zh-CN"/>
                    </w:rPr>
                    <w:t>新改扩建标准</w:t>
                  </w:r>
                </w:p>
              </w:tc>
            </w:tr>
            <w:tr w14:paraId="553135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444" w:type="pct"/>
                  <w:vMerge w:val="continue"/>
                  <w:noWrap w:val="0"/>
                  <w:vAlign w:val="center"/>
                </w:tcPr>
                <w:p w14:paraId="60304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s="Times New Roman"/>
                      <w:color w:val="auto"/>
                    </w:rPr>
                  </w:pPr>
                </w:p>
              </w:tc>
              <w:tc>
                <w:tcPr>
                  <w:tcW w:w="481" w:type="pct"/>
                  <w:noWrap w:val="0"/>
                  <w:vAlign w:val="center"/>
                </w:tcPr>
                <w:p w14:paraId="27AEF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仿宋" w:cs="Times New Roman"/>
                      <w:color w:val="auto"/>
                      <w:szCs w:val="21"/>
                      <w:lang w:val="en-US" w:eastAsia="zh-CN"/>
                    </w:rPr>
                  </w:pPr>
                  <w:r>
                    <w:rPr>
                      <w:rFonts w:hint="eastAsia" w:eastAsia="仿宋" w:cs="Times New Roman"/>
                      <w:color w:val="auto"/>
                      <w:szCs w:val="21"/>
                      <w:lang w:val="en-US" w:eastAsia="zh-CN"/>
                    </w:rPr>
                    <w:t>二硫</w:t>
                  </w:r>
                </w:p>
                <w:p w14:paraId="2A771B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仿宋" w:cs="Times New Roman"/>
                      <w:color w:val="auto"/>
                      <w:szCs w:val="21"/>
                      <w:lang w:val="en-US" w:eastAsia="zh-CN"/>
                    </w:rPr>
                  </w:pPr>
                  <w:r>
                    <w:rPr>
                      <w:rFonts w:hint="eastAsia" w:eastAsia="仿宋" w:cs="Times New Roman"/>
                      <w:color w:val="auto"/>
                      <w:szCs w:val="21"/>
                      <w:lang w:val="en-US" w:eastAsia="zh-CN"/>
                    </w:rPr>
                    <w:t>化碳</w:t>
                  </w:r>
                </w:p>
              </w:tc>
              <w:tc>
                <w:tcPr>
                  <w:tcW w:w="893" w:type="pct"/>
                  <w:noWrap w:val="0"/>
                  <w:vAlign w:val="center"/>
                </w:tcPr>
                <w:p w14:paraId="1536DD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w:t>
                  </w:r>
                </w:p>
              </w:tc>
              <w:tc>
                <w:tcPr>
                  <w:tcW w:w="723" w:type="pct"/>
                  <w:tcBorders>
                    <w:right w:val="single" w:color="auto" w:sz="4" w:space="0"/>
                  </w:tcBorders>
                  <w:noWrap w:val="0"/>
                  <w:vAlign w:val="center"/>
                </w:tcPr>
                <w:p w14:paraId="7E7730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仿宋" w:cs="Times New Roman"/>
                      <w:color w:val="auto"/>
                      <w:szCs w:val="21"/>
                      <w:lang w:val="en-US" w:eastAsia="zh-CN"/>
                    </w:rPr>
                  </w:pPr>
                  <w:r>
                    <w:rPr>
                      <w:rFonts w:hint="eastAsia" w:eastAsia="仿宋" w:cs="Times New Roman"/>
                      <w:color w:val="auto"/>
                      <w:szCs w:val="21"/>
                      <w:lang w:val="en-US" w:eastAsia="zh-CN"/>
                    </w:rPr>
                    <w:t>2.7</w:t>
                  </w:r>
                </w:p>
              </w:tc>
              <w:tc>
                <w:tcPr>
                  <w:tcW w:w="504" w:type="pct"/>
                  <w:vMerge w:val="continue"/>
                  <w:noWrap w:val="0"/>
                  <w:vAlign w:val="center"/>
                </w:tcPr>
                <w:p w14:paraId="467D2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仿宋" w:cs="Times New Roman"/>
                      <w:color w:val="auto"/>
                      <w:szCs w:val="21"/>
                      <w:lang w:val="en-US" w:eastAsia="zh-CN"/>
                    </w:rPr>
                  </w:pPr>
                </w:p>
              </w:tc>
              <w:tc>
                <w:tcPr>
                  <w:tcW w:w="546" w:type="pct"/>
                  <w:vMerge w:val="continue"/>
                  <w:noWrap w:val="0"/>
                  <w:vAlign w:val="center"/>
                </w:tcPr>
                <w:p w14:paraId="2CF1AB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仿宋" w:cs="Times New Roman"/>
                      <w:color w:val="auto"/>
                      <w:szCs w:val="21"/>
                      <w:lang w:val="en-US" w:eastAsia="zh-CN"/>
                    </w:rPr>
                  </w:pPr>
                </w:p>
              </w:tc>
              <w:tc>
                <w:tcPr>
                  <w:tcW w:w="1404" w:type="pct"/>
                  <w:vMerge w:val="continue"/>
                  <w:noWrap w:val="0"/>
                  <w:vAlign w:val="center"/>
                </w:tcPr>
                <w:p w14:paraId="485742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仿宋" w:cs="Times New Roman"/>
                      <w:color w:val="auto"/>
                      <w:szCs w:val="21"/>
                      <w:lang w:val="en-US" w:eastAsia="zh-CN"/>
                    </w:rPr>
                  </w:pPr>
                </w:p>
              </w:tc>
            </w:tr>
            <w:tr w14:paraId="206C23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444" w:type="pct"/>
                  <w:vMerge w:val="continue"/>
                  <w:noWrap w:val="0"/>
                  <w:vAlign w:val="center"/>
                </w:tcPr>
                <w:p w14:paraId="3EC4C3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仿宋" w:cs="Times New Roman"/>
                      <w:color w:val="auto"/>
                      <w:szCs w:val="21"/>
                      <w:lang w:val="en-US" w:eastAsia="zh-CN"/>
                    </w:rPr>
                  </w:pPr>
                </w:p>
              </w:tc>
              <w:tc>
                <w:tcPr>
                  <w:tcW w:w="481" w:type="pct"/>
                  <w:noWrap w:val="0"/>
                  <w:vAlign w:val="center"/>
                </w:tcPr>
                <w:p w14:paraId="2A2B7339">
                  <w:pPr>
                    <w:keepNext w:val="0"/>
                    <w:keepLines w:val="0"/>
                    <w:suppressLineNumbers w:val="0"/>
                    <w:spacing w:before="0" w:beforeAutospacing="0" w:after="0" w:afterAutospacing="0"/>
                    <w:ind w:left="0" w:right="0"/>
                    <w:jc w:val="center"/>
                    <w:rPr>
                      <w:rFonts w:hint="eastAsia" w:eastAsia="仿宋" w:cs="Times New Roman"/>
                      <w:color w:val="auto"/>
                      <w:szCs w:val="21"/>
                      <w:lang w:val="en-US" w:eastAsia="zh-CN"/>
                    </w:rPr>
                  </w:pPr>
                  <w:r>
                    <w:rPr>
                      <w:rFonts w:hint="eastAsia" w:eastAsia="仿宋" w:cs="Times New Roman"/>
                      <w:color w:val="auto"/>
                      <w:szCs w:val="21"/>
                      <w:lang w:val="en-US" w:eastAsia="zh-CN"/>
                    </w:rPr>
                    <w:t>臭气</w:t>
                  </w:r>
                </w:p>
                <w:p w14:paraId="223CD183">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浓度</w:t>
                  </w:r>
                </w:p>
              </w:tc>
              <w:tc>
                <w:tcPr>
                  <w:tcW w:w="893" w:type="pct"/>
                  <w:noWrap w:val="0"/>
                  <w:vAlign w:val="center"/>
                </w:tcPr>
                <w:p w14:paraId="59EC69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w:t>
                  </w:r>
                </w:p>
              </w:tc>
              <w:tc>
                <w:tcPr>
                  <w:tcW w:w="723" w:type="pct"/>
                  <w:tcBorders>
                    <w:right w:val="single" w:color="auto" w:sz="4" w:space="0"/>
                  </w:tcBorders>
                  <w:noWrap w:val="0"/>
                  <w:vAlign w:val="center"/>
                </w:tcPr>
                <w:p w14:paraId="793CC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2000</w:t>
                  </w:r>
                </w:p>
                <w:p w14:paraId="0189EA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（无量纲）</w:t>
                  </w:r>
                </w:p>
              </w:tc>
              <w:tc>
                <w:tcPr>
                  <w:tcW w:w="504" w:type="pct"/>
                  <w:vMerge w:val="continue"/>
                  <w:noWrap w:val="0"/>
                  <w:vAlign w:val="center"/>
                </w:tcPr>
                <w:p w14:paraId="228DC5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仿宋" w:cs="Times New Roman"/>
                      <w:color w:val="auto"/>
                      <w:szCs w:val="21"/>
                      <w:lang w:val="en-US" w:eastAsia="zh-CN"/>
                    </w:rPr>
                  </w:pPr>
                </w:p>
              </w:tc>
              <w:tc>
                <w:tcPr>
                  <w:tcW w:w="546" w:type="pct"/>
                  <w:vMerge w:val="continue"/>
                  <w:noWrap w:val="0"/>
                  <w:vAlign w:val="center"/>
                </w:tcPr>
                <w:p w14:paraId="3E43ED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仿宋" w:cs="Times New Roman"/>
                      <w:color w:val="auto"/>
                      <w:szCs w:val="21"/>
                      <w:lang w:val="en-US" w:eastAsia="zh-CN"/>
                    </w:rPr>
                  </w:pPr>
                </w:p>
              </w:tc>
              <w:tc>
                <w:tcPr>
                  <w:tcW w:w="1404" w:type="pct"/>
                  <w:vMerge w:val="continue"/>
                  <w:noWrap w:val="0"/>
                  <w:vAlign w:val="center"/>
                </w:tcPr>
                <w:p w14:paraId="09293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仿宋" w:cs="Times New Roman"/>
                      <w:color w:val="auto"/>
                      <w:szCs w:val="21"/>
                      <w:lang w:val="en-US" w:eastAsia="zh-CN"/>
                    </w:rPr>
                  </w:pPr>
                </w:p>
              </w:tc>
            </w:tr>
          </w:tbl>
          <w:p w14:paraId="29AD79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厂界颗粒物</w:t>
            </w:r>
            <w:r>
              <w:rPr>
                <w:rFonts w:hint="eastAsia" w:ascii="Times New Roman" w:hAnsi="Times New Roman" w:eastAsia="宋体" w:cs="Times New Roman"/>
                <w:color w:val="auto"/>
                <w:kern w:val="2"/>
                <w:sz w:val="21"/>
                <w:szCs w:val="24"/>
                <w:lang w:val="en-US" w:eastAsia="zh-CN" w:bidi="ar-SA"/>
              </w:rPr>
              <w:t>执行《大气污染物综合排放标准》（DB32/4041-2021表3限值，</w:t>
            </w:r>
            <w:r>
              <w:rPr>
                <w:rFonts w:hint="default" w:ascii="Times New Roman" w:hAnsi="Times New Roman" w:eastAsia="宋体" w:cs="Times New Roman"/>
                <w:color w:val="auto"/>
                <w:kern w:val="2"/>
                <w:sz w:val="21"/>
                <w:szCs w:val="24"/>
                <w:lang w:val="en-US" w:eastAsia="zh-CN" w:bidi="ar-SA"/>
              </w:rPr>
              <w:t>非甲烷总烃无组织排放执行</w:t>
            </w:r>
            <w:r>
              <w:rPr>
                <w:rFonts w:hint="eastAsia" w:cs="Times New Roman"/>
                <w:bCs/>
                <w:color w:val="auto"/>
                <w:szCs w:val="21"/>
              </w:rPr>
              <w:t>《</w:t>
            </w:r>
            <w:r>
              <w:rPr>
                <w:rFonts w:hint="eastAsia" w:cs="Times New Roman"/>
                <w:bCs/>
                <w:color w:val="auto"/>
                <w:szCs w:val="21"/>
                <w:lang w:val="en-US" w:eastAsia="zh-CN"/>
              </w:rPr>
              <w:t>橡胶制品工业污染物排放标准</w:t>
            </w:r>
            <w:r>
              <w:rPr>
                <w:rFonts w:hint="eastAsia" w:cs="Times New Roman"/>
                <w:bCs/>
                <w:color w:val="auto"/>
                <w:szCs w:val="21"/>
              </w:rPr>
              <w:t>》（</w:t>
            </w:r>
            <w:r>
              <w:rPr>
                <w:rFonts w:hint="eastAsia" w:cs="Times New Roman"/>
                <w:bCs/>
                <w:color w:val="auto"/>
                <w:szCs w:val="21"/>
                <w:lang w:val="en-US" w:eastAsia="zh-CN"/>
              </w:rPr>
              <w:t>GB27632-2011</w:t>
            </w:r>
            <w:r>
              <w:rPr>
                <w:rFonts w:hint="eastAsia" w:cs="Times New Roman"/>
                <w:bCs/>
                <w:color w:val="auto"/>
                <w:szCs w:val="21"/>
              </w:rPr>
              <w:t>）</w:t>
            </w:r>
            <w:r>
              <w:rPr>
                <w:rFonts w:hint="default" w:ascii="Times New Roman" w:hAnsi="Times New Roman" w:eastAsia="宋体" w:cs="Times New Roman"/>
                <w:color w:val="auto"/>
                <w:kern w:val="2"/>
                <w:sz w:val="21"/>
                <w:szCs w:val="24"/>
                <w:lang w:val="en-US" w:eastAsia="zh-CN" w:bidi="ar-SA"/>
              </w:rPr>
              <w:t>表</w:t>
            </w:r>
            <w:r>
              <w:rPr>
                <w:rFonts w:hint="eastAsia" w:cs="Times New Roman"/>
                <w:color w:val="auto"/>
                <w:kern w:val="2"/>
                <w:sz w:val="21"/>
                <w:szCs w:val="24"/>
                <w:lang w:val="en-US" w:eastAsia="zh-CN" w:bidi="ar-SA"/>
              </w:rPr>
              <w:t>6</w:t>
            </w:r>
            <w:r>
              <w:rPr>
                <w:rFonts w:hint="default" w:ascii="Times New Roman" w:hAnsi="Times New Roman" w:eastAsia="宋体" w:cs="Times New Roman"/>
                <w:color w:val="auto"/>
                <w:kern w:val="2"/>
                <w:sz w:val="21"/>
                <w:szCs w:val="24"/>
                <w:lang w:val="en-US" w:eastAsia="zh-CN" w:bidi="ar-SA"/>
              </w:rPr>
              <w:t>限值</w:t>
            </w:r>
            <w:r>
              <w:rPr>
                <w:rFonts w:hint="eastAsia" w:cs="Times New Roman"/>
                <w:color w:val="auto"/>
                <w:kern w:val="2"/>
                <w:sz w:val="21"/>
                <w:szCs w:val="24"/>
                <w:lang w:val="en-US" w:eastAsia="zh-CN" w:bidi="ar-SA"/>
              </w:rPr>
              <w:t>，硫化氢、二硫化碳、臭气浓度执行《恶臭污染物排放标准》（GB14554-93）表1限值</w:t>
            </w:r>
            <w:r>
              <w:rPr>
                <w:rFonts w:hint="eastAsia" w:ascii="Times New Roman" w:hAnsi="Times New Roman" w:eastAsia="宋体" w:cs="Times New Roman"/>
                <w:color w:val="auto"/>
                <w:kern w:val="2"/>
                <w:sz w:val="21"/>
                <w:szCs w:val="24"/>
                <w:lang w:val="en-US" w:eastAsia="zh-CN" w:bidi="ar-SA"/>
              </w:rPr>
              <w:t>；厂区内非甲烷总烃无组织排放监控点浓度执行《大气污染物综合排放标准》（DB32/4041-2021）表2限值，</w:t>
            </w:r>
            <w:r>
              <w:rPr>
                <w:rFonts w:hint="default" w:ascii="Times New Roman" w:hAnsi="Times New Roman" w:eastAsia="宋体" w:cs="Times New Roman"/>
                <w:color w:val="auto"/>
                <w:kern w:val="2"/>
                <w:sz w:val="21"/>
                <w:szCs w:val="24"/>
                <w:lang w:val="en-US" w:eastAsia="zh-CN" w:bidi="ar-SA"/>
              </w:rPr>
              <w:t>详见下表：</w:t>
            </w:r>
          </w:p>
          <w:p w14:paraId="7AA3E648">
            <w:pPr>
              <w:keepNext w:val="0"/>
              <w:keepLines w:val="0"/>
              <w:suppressLineNumbers w:val="0"/>
              <w:autoSpaceDE w:val="0"/>
              <w:autoSpaceDN w:val="0"/>
              <w:adjustRightInd w:val="0"/>
              <w:snapToGrid w:val="0"/>
              <w:spacing w:before="0" w:beforeAutospacing="0" w:after="0" w:afterAutospacing="0"/>
              <w:ind w:left="0" w:right="0" w:firstLine="422" w:firstLineChars="20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表3-</w:t>
            </w:r>
            <w:r>
              <w:rPr>
                <w:rFonts w:hint="eastAsia" w:cs="Times New Roman"/>
                <w:b/>
                <w:color w:val="auto"/>
                <w:kern w:val="0"/>
                <w:szCs w:val="21"/>
                <w:lang w:val="en-US" w:eastAsia="zh-CN"/>
              </w:rPr>
              <w:t>9</w:t>
            </w:r>
            <w:r>
              <w:rPr>
                <w:rFonts w:hint="default" w:ascii="Times New Roman" w:hAnsi="Times New Roman" w:cs="Times New Roman"/>
                <w:b/>
                <w:color w:val="auto"/>
                <w:kern w:val="0"/>
                <w:szCs w:val="21"/>
              </w:rPr>
              <w:t xml:space="preserve">  大气污染物</w:t>
            </w:r>
            <w:r>
              <w:rPr>
                <w:rFonts w:hint="eastAsia" w:ascii="Times New Roman" w:hAnsi="Times New Roman" w:cs="Times New Roman"/>
                <w:b/>
                <w:color w:val="auto"/>
                <w:kern w:val="0"/>
                <w:szCs w:val="21"/>
                <w:lang w:val="en-US" w:eastAsia="zh-CN"/>
              </w:rPr>
              <w:t>无</w:t>
            </w:r>
            <w:r>
              <w:rPr>
                <w:rFonts w:hint="eastAsia" w:cs="Times New Roman"/>
                <w:b/>
                <w:color w:val="auto"/>
                <w:kern w:val="0"/>
                <w:szCs w:val="21"/>
                <w:lang w:val="en-US" w:eastAsia="zh-CN"/>
              </w:rPr>
              <w:t>组织</w:t>
            </w:r>
            <w:r>
              <w:rPr>
                <w:rFonts w:hint="default" w:ascii="Times New Roman" w:hAnsi="Times New Roman" w:cs="Times New Roman"/>
                <w:b/>
                <w:color w:val="auto"/>
                <w:kern w:val="0"/>
                <w:szCs w:val="21"/>
              </w:rPr>
              <w:t>排放标准</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
              <w:gridCol w:w="1702"/>
              <w:gridCol w:w="3354"/>
              <w:gridCol w:w="3826"/>
              <w:gridCol w:w="20"/>
            </w:tblGrid>
            <w:tr w14:paraId="2969D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Before w:val="1"/>
                <w:wBefore w:w="6" w:type="pct"/>
                <w:jc w:val="center"/>
              </w:trPr>
              <w:tc>
                <w:tcPr>
                  <w:tcW w:w="954" w:type="pct"/>
                  <w:tcBorders>
                    <w:tl2br w:val="nil"/>
                    <w:tr2bl w:val="nil"/>
                  </w:tcBorders>
                  <w:noWrap w:val="0"/>
                  <w:vAlign w:val="center"/>
                </w:tcPr>
                <w:p w14:paraId="3E1C5E6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污染物名称</w:t>
                  </w:r>
                </w:p>
              </w:tc>
              <w:tc>
                <w:tcPr>
                  <w:tcW w:w="1881" w:type="pct"/>
                  <w:tcBorders>
                    <w:tl2br w:val="nil"/>
                    <w:tr2bl w:val="nil"/>
                  </w:tcBorders>
                  <w:noWrap w:val="0"/>
                  <w:vAlign w:val="center"/>
                </w:tcPr>
                <w:p w14:paraId="0C3CF5A6">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snapToGrid w:val="0"/>
                      <w:color w:val="auto"/>
                      <w:sz w:val="21"/>
                      <w:szCs w:val="21"/>
                      <w:vertAlign w:val="baseline"/>
                    </w:rPr>
                  </w:pPr>
                  <w:r>
                    <w:rPr>
                      <w:rFonts w:hint="default" w:ascii="Times New Roman" w:hAnsi="Times New Roman" w:eastAsia="仿宋" w:cs="Times New Roman"/>
                      <w:snapToGrid w:val="0"/>
                      <w:color w:val="auto"/>
                      <w:sz w:val="21"/>
                      <w:szCs w:val="21"/>
                      <w:vertAlign w:val="baseline"/>
                    </w:rPr>
                    <w:t>无组织排放限值mg/m</w:t>
                  </w:r>
                  <w:r>
                    <w:rPr>
                      <w:rFonts w:hint="default" w:ascii="Times New Roman" w:hAnsi="Times New Roman" w:eastAsia="仿宋" w:cs="Times New Roman"/>
                      <w:snapToGrid w:val="0"/>
                      <w:color w:val="auto"/>
                      <w:sz w:val="21"/>
                      <w:szCs w:val="21"/>
                      <w:vertAlign w:val="superscript"/>
                    </w:rPr>
                    <w:t>3</w:t>
                  </w:r>
                  <w:r>
                    <w:rPr>
                      <w:rFonts w:hint="eastAsia" w:eastAsia="仿宋" w:cs="Times New Roman"/>
                      <w:snapToGrid w:val="0"/>
                      <w:color w:val="auto"/>
                      <w:sz w:val="21"/>
                      <w:szCs w:val="21"/>
                      <w:vertAlign w:val="baseline"/>
                      <w:lang w:eastAsia="zh-CN"/>
                    </w:rPr>
                    <w:t>（</w:t>
                  </w:r>
                  <w:r>
                    <w:rPr>
                      <w:rFonts w:hint="default" w:ascii="Times New Roman" w:hAnsi="Times New Roman" w:eastAsia="仿宋" w:cs="Times New Roman"/>
                      <w:color w:val="auto"/>
                      <w:sz w:val="21"/>
                      <w:szCs w:val="21"/>
                      <w:vertAlign w:val="baseline"/>
                    </w:rPr>
                    <w:t>单位边界</w:t>
                  </w:r>
                  <w:r>
                    <w:rPr>
                      <w:rFonts w:hint="eastAsia" w:eastAsia="仿宋" w:cs="Times New Roman"/>
                      <w:snapToGrid w:val="0"/>
                      <w:color w:val="auto"/>
                      <w:sz w:val="21"/>
                      <w:szCs w:val="21"/>
                      <w:vertAlign w:val="baseline"/>
                      <w:lang w:eastAsia="zh-CN"/>
                    </w:rPr>
                    <w:t>）</w:t>
                  </w:r>
                </w:p>
              </w:tc>
              <w:tc>
                <w:tcPr>
                  <w:tcW w:w="2157" w:type="pct"/>
                  <w:gridSpan w:val="2"/>
                  <w:tcBorders>
                    <w:tl2br w:val="nil"/>
                    <w:tr2bl w:val="nil"/>
                  </w:tcBorders>
                  <w:noWrap w:val="0"/>
                  <w:vAlign w:val="center"/>
                </w:tcPr>
                <w:p w14:paraId="75EFFE5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标准来源</w:t>
                  </w:r>
                </w:p>
              </w:tc>
            </w:tr>
            <w:tr w14:paraId="1FA09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6" w:type="pct"/>
                <w:jc w:val="center"/>
              </w:trPr>
              <w:tc>
                <w:tcPr>
                  <w:tcW w:w="954" w:type="pct"/>
                  <w:tcBorders>
                    <w:tl2br w:val="nil"/>
                    <w:tr2bl w:val="nil"/>
                  </w:tcBorders>
                  <w:noWrap w:val="0"/>
                  <w:vAlign w:val="center"/>
                </w:tcPr>
                <w:p w14:paraId="6FAF736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颗粒物</w:t>
                  </w:r>
                </w:p>
              </w:tc>
              <w:tc>
                <w:tcPr>
                  <w:tcW w:w="1881" w:type="pct"/>
                  <w:tcBorders>
                    <w:tl2br w:val="nil"/>
                    <w:tr2bl w:val="nil"/>
                  </w:tcBorders>
                  <w:noWrap w:val="0"/>
                  <w:vAlign w:val="center"/>
                </w:tcPr>
                <w:p w14:paraId="2D68DFD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0.5</w:t>
                  </w:r>
                </w:p>
              </w:tc>
              <w:tc>
                <w:tcPr>
                  <w:tcW w:w="2157" w:type="pct"/>
                  <w:gridSpan w:val="2"/>
                  <w:tcBorders>
                    <w:tl2br w:val="nil"/>
                    <w:tr2bl w:val="nil"/>
                  </w:tcBorders>
                  <w:noWrap w:val="0"/>
                  <w:vAlign w:val="center"/>
                </w:tcPr>
                <w:p w14:paraId="1674D00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《大气污染物综合排放标准》（DB32/4041-2021</w:t>
                  </w:r>
                  <w:r>
                    <w:rPr>
                      <w:rFonts w:hint="eastAsia" w:ascii="Times New Roman" w:hAnsi="Times New Roman" w:eastAsia="仿宋" w:cs="Times New Roman"/>
                      <w:color w:val="auto"/>
                      <w:szCs w:val="21"/>
                      <w:lang w:val="en-US" w:eastAsia="zh-CN"/>
                    </w:rPr>
                    <w:t>表3限值</w:t>
                  </w:r>
                </w:p>
              </w:tc>
            </w:tr>
            <w:tr w14:paraId="09783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6" w:type="pct"/>
                <w:jc w:val="center"/>
              </w:trPr>
              <w:tc>
                <w:tcPr>
                  <w:tcW w:w="954" w:type="pct"/>
                  <w:tcBorders>
                    <w:tl2br w:val="nil"/>
                    <w:tr2bl w:val="nil"/>
                  </w:tcBorders>
                  <w:noWrap w:val="0"/>
                  <w:vAlign w:val="center"/>
                </w:tcPr>
                <w:p w14:paraId="15538C7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非甲烷总烃</w:t>
                  </w:r>
                </w:p>
              </w:tc>
              <w:tc>
                <w:tcPr>
                  <w:tcW w:w="1881" w:type="pct"/>
                  <w:tcBorders>
                    <w:tl2br w:val="nil"/>
                    <w:tr2bl w:val="nil"/>
                  </w:tcBorders>
                  <w:noWrap w:val="0"/>
                  <w:vAlign w:val="center"/>
                </w:tcPr>
                <w:p w14:paraId="2B6EAB9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4.0</w:t>
                  </w:r>
                </w:p>
              </w:tc>
              <w:tc>
                <w:tcPr>
                  <w:tcW w:w="2157" w:type="pct"/>
                  <w:gridSpan w:val="2"/>
                  <w:tcBorders>
                    <w:tl2br w:val="nil"/>
                    <w:tr2bl w:val="nil"/>
                  </w:tcBorders>
                  <w:noWrap w:val="0"/>
                  <w:vAlign w:val="center"/>
                </w:tcPr>
                <w:p w14:paraId="7A8D236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《橡胶制品工业污染物排放标准》（GB27632-2011）表6限值</w:t>
                  </w:r>
                </w:p>
              </w:tc>
            </w:tr>
            <w:tr w14:paraId="61977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6" w:type="pct"/>
                <w:jc w:val="center"/>
              </w:trPr>
              <w:tc>
                <w:tcPr>
                  <w:tcW w:w="954" w:type="pct"/>
                  <w:tcBorders>
                    <w:tl2br w:val="nil"/>
                    <w:tr2bl w:val="nil"/>
                  </w:tcBorders>
                  <w:noWrap w:val="0"/>
                  <w:vAlign w:val="center"/>
                </w:tcPr>
                <w:p w14:paraId="6CEC19C9">
                  <w:pPr>
                    <w:keepNext w:val="0"/>
                    <w:keepLines w:val="0"/>
                    <w:suppressLineNumbers w:val="0"/>
                    <w:spacing w:before="0" w:beforeAutospacing="0" w:after="0" w:afterAutospacing="0"/>
                    <w:ind w:left="0" w:right="0"/>
                    <w:jc w:val="center"/>
                    <w:rPr>
                      <w:rFonts w:hint="default"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硫化氢</w:t>
                  </w:r>
                </w:p>
              </w:tc>
              <w:tc>
                <w:tcPr>
                  <w:tcW w:w="1881" w:type="pct"/>
                  <w:tcBorders>
                    <w:tl2br w:val="nil"/>
                    <w:tr2bl w:val="nil"/>
                  </w:tcBorders>
                  <w:noWrap w:val="0"/>
                  <w:vAlign w:val="center"/>
                </w:tcPr>
                <w:p w14:paraId="6AFC831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0.06</w:t>
                  </w:r>
                </w:p>
              </w:tc>
              <w:tc>
                <w:tcPr>
                  <w:tcW w:w="2157" w:type="pct"/>
                  <w:gridSpan w:val="2"/>
                  <w:vMerge w:val="restart"/>
                  <w:tcBorders>
                    <w:tl2br w:val="nil"/>
                    <w:tr2bl w:val="nil"/>
                  </w:tcBorders>
                  <w:noWrap w:val="0"/>
                  <w:vAlign w:val="center"/>
                </w:tcPr>
                <w:p w14:paraId="48A4AB8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《恶臭污染物排放标准》（GB14554-93）表1限值</w:t>
                  </w:r>
                </w:p>
              </w:tc>
            </w:tr>
            <w:tr w14:paraId="63601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6" w:type="pct"/>
                <w:jc w:val="center"/>
              </w:trPr>
              <w:tc>
                <w:tcPr>
                  <w:tcW w:w="954" w:type="pct"/>
                  <w:tcBorders>
                    <w:tl2br w:val="nil"/>
                    <w:tr2bl w:val="nil"/>
                  </w:tcBorders>
                  <w:noWrap w:val="0"/>
                  <w:vAlign w:val="center"/>
                </w:tcPr>
                <w:p w14:paraId="6E9B5F71">
                  <w:pPr>
                    <w:keepNext w:val="0"/>
                    <w:keepLines w:val="0"/>
                    <w:suppressLineNumbers w:val="0"/>
                    <w:spacing w:before="0" w:beforeAutospacing="0" w:after="0" w:afterAutospacing="0"/>
                    <w:ind w:left="0" w:right="0"/>
                    <w:jc w:val="center"/>
                    <w:rPr>
                      <w:rFonts w:hint="default"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二硫化碳</w:t>
                  </w:r>
                </w:p>
              </w:tc>
              <w:tc>
                <w:tcPr>
                  <w:tcW w:w="1881" w:type="pct"/>
                  <w:tcBorders>
                    <w:tl2br w:val="nil"/>
                    <w:tr2bl w:val="nil"/>
                  </w:tcBorders>
                  <w:noWrap w:val="0"/>
                  <w:vAlign w:val="center"/>
                </w:tcPr>
                <w:p w14:paraId="0318BEB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3.0</w:t>
                  </w:r>
                </w:p>
              </w:tc>
              <w:tc>
                <w:tcPr>
                  <w:tcW w:w="2157" w:type="pct"/>
                  <w:gridSpan w:val="2"/>
                  <w:vMerge w:val="continue"/>
                  <w:tcBorders>
                    <w:tl2br w:val="nil"/>
                    <w:tr2bl w:val="nil"/>
                  </w:tcBorders>
                  <w:noWrap w:val="0"/>
                  <w:vAlign w:val="center"/>
                </w:tcPr>
                <w:p w14:paraId="61816A2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p>
              </w:tc>
            </w:tr>
            <w:tr w14:paraId="451B6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6" w:type="pct"/>
                <w:jc w:val="center"/>
              </w:trPr>
              <w:tc>
                <w:tcPr>
                  <w:tcW w:w="954" w:type="pct"/>
                  <w:tcBorders>
                    <w:tl2br w:val="nil"/>
                    <w:tr2bl w:val="nil"/>
                  </w:tcBorders>
                  <w:noWrap w:val="0"/>
                  <w:vAlign w:val="center"/>
                </w:tcPr>
                <w:p w14:paraId="6F984641">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臭气浓度</w:t>
                  </w:r>
                </w:p>
              </w:tc>
              <w:tc>
                <w:tcPr>
                  <w:tcW w:w="1881" w:type="pct"/>
                  <w:tcBorders>
                    <w:tl2br w:val="nil"/>
                    <w:tr2bl w:val="nil"/>
                  </w:tcBorders>
                  <w:noWrap w:val="0"/>
                  <w:vAlign w:val="center"/>
                </w:tcPr>
                <w:p w14:paraId="6ED35CB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20</w:t>
                  </w:r>
                  <w:r>
                    <w:rPr>
                      <w:rFonts w:hint="eastAsia" w:eastAsia="仿宋" w:cs="Times New Roman"/>
                      <w:color w:val="auto"/>
                      <w:kern w:val="2"/>
                      <w:sz w:val="21"/>
                      <w:szCs w:val="21"/>
                      <w:lang w:val="en-US" w:eastAsia="zh-CN" w:bidi="ar-SA"/>
                    </w:rPr>
                    <w:t>（无量纲）</w:t>
                  </w:r>
                </w:p>
              </w:tc>
              <w:tc>
                <w:tcPr>
                  <w:tcW w:w="2157" w:type="pct"/>
                  <w:gridSpan w:val="2"/>
                  <w:vMerge w:val="continue"/>
                  <w:tcBorders>
                    <w:tl2br w:val="nil"/>
                    <w:tr2bl w:val="nil"/>
                  </w:tcBorders>
                  <w:noWrap w:val="0"/>
                  <w:vAlign w:val="center"/>
                </w:tcPr>
                <w:p w14:paraId="216CFD0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p>
              </w:tc>
            </w:tr>
            <w:tr w14:paraId="6068A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jc w:val="center"/>
              </w:trPr>
              <w:tc>
                <w:tcPr>
                  <w:tcW w:w="960" w:type="pct"/>
                  <w:gridSpan w:val="2"/>
                  <w:tcBorders>
                    <w:tl2br w:val="nil"/>
                    <w:tr2bl w:val="nil"/>
                  </w:tcBorders>
                  <w:noWrap w:val="0"/>
                  <w:vAlign w:val="center"/>
                </w:tcPr>
                <w:p w14:paraId="1C53F35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污染物名称</w:t>
                  </w:r>
                </w:p>
              </w:tc>
              <w:tc>
                <w:tcPr>
                  <w:tcW w:w="1881" w:type="pct"/>
                  <w:tcBorders>
                    <w:tl2br w:val="nil"/>
                    <w:tr2bl w:val="nil"/>
                  </w:tcBorders>
                  <w:noWrap w:val="0"/>
                  <w:vAlign w:val="center"/>
                </w:tcPr>
                <w:p w14:paraId="6ABA2558">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仿宋" w:cs="Times New Roman"/>
                      <w:snapToGrid w:val="0"/>
                      <w:color w:val="auto"/>
                      <w:sz w:val="21"/>
                      <w:szCs w:val="21"/>
                      <w:vertAlign w:val="baseline"/>
                      <w:lang w:eastAsia="zh-CN"/>
                    </w:rPr>
                  </w:pPr>
                  <w:r>
                    <w:rPr>
                      <w:rFonts w:hint="default" w:ascii="Times New Roman" w:hAnsi="Times New Roman" w:eastAsia="仿宋" w:cs="Times New Roman"/>
                      <w:snapToGrid w:val="0"/>
                      <w:color w:val="auto"/>
                      <w:sz w:val="21"/>
                      <w:szCs w:val="21"/>
                      <w:vertAlign w:val="baseline"/>
                    </w:rPr>
                    <w:t>无组织排放限值mg/m</w:t>
                  </w:r>
                  <w:r>
                    <w:rPr>
                      <w:rFonts w:hint="default" w:ascii="Times New Roman" w:hAnsi="Times New Roman" w:eastAsia="仿宋" w:cs="Times New Roman"/>
                      <w:snapToGrid w:val="0"/>
                      <w:color w:val="auto"/>
                      <w:sz w:val="21"/>
                      <w:szCs w:val="21"/>
                      <w:vertAlign w:val="superscript"/>
                    </w:rPr>
                    <w:t>3</w:t>
                  </w:r>
                  <w:r>
                    <w:rPr>
                      <w:rFonts w:hint="eastAsia" w:eastAsia="仿宋" w:cs="Times New Roman"/>
                      <w:snapToGrid w:val="0"/>
                      <w:color w:val="auto"/>
                      <w:sz w:val="21"/>
                      <w:szCs w:val="21"/>
                      <w:vertAlign w:val="baseline"/>
                      <w:lang w:eastAsia="zh-CN"/>
                    </w:rPr>
                    <w:t>（</w:t>
                  </w:r>
                  <w:r>
                    <w:rPr>
                      <w:rFonts w:hint="default" w:ascii="Times New Roman" w:hAnsi="Times New Roman" w:eastAsia="仿宋" w:cs="Times New Roman"/>
                      <w:color w:val="auto"/>
                      <w:sz w:val="21"/>
                      <w:szCs w:val="21"/>
                    </w:rPr>
                    <w:t>厂区内</w:t>
                  </w:r>
                  <w:r>
                    <w:rPr>
                      <w:rFonts w:hint="eastAsia" w:eastAsia="仿宋" w:cs="Times New Roman"/>
                      <w:snapToGrid w:val="0"/>
                      <w:color w:val="auto"/>
                      <w:sz w:val="21"/>
                      <w:szCs w:val="21"/>
                      <w:vertAlign w:val="baseline"/>
                      <w:lang w:eastAsia="zh-CN"/>
                    </w:rPr>
                    <w:t>）</w:t>
                  </w:r>
                </w:p>
              </w:tc>
              <w:tc>
                <w:tcPr>
                  <w:tcW w:w="2146" w:type="pct"/>
                  <w:tcBorders>
                    <w:tl2br w:val="nil"/>
                    <w:tr2bl w:val="nil"/>
                  </w:tcBorders>
                  <w:noWrap w:val="0"/>
                  <w:vAlign w:val="center"/>
                </w:tcPr>
                <w:p w14:paraId="13A1048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标准来源</w:t>
                  </w:r>
                </w:p>
              </w:tc>
            </w:tr>
            <w:tr w14:paraId="5F9AB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jc w:val="center"/>
              </w:trPr>
              <w:tc>
                <w:tcPr>
                  <w:tcW w:w="960" w:type="pct"/>
                  <w:gridSpan w:val="2"/>
                  <w:vMerge w:val="restart"/>
                  <w:tcBorders>
                    <w:tl2br w:val="nil"/>
                    <w:tr2bl w:val="nil"/>
                  </w:tcBorders>
                  <w:noWrap w:val="0"/>
                  <w:vAlign w:val="center"/>
                </w:tcPr>
                <w:p w14:paraId="14044D29">
                  <w:pPr>
                    <w:keepNext w:val="0"/>
                    <w:keepLines w:val="0"/>
                    <w:suppressLineNumbers w:val="0"/>
                    <w:spacing w:before="0" w:beforeAutospacing="0" w:after="0" w:afterAutospacing="0"/>
                    <w:ind w:left="0" w:right="0"/>
                    <w:jc w:val="center"/>
                    <w:rPr>
                      <w:rFonts w:hint="default"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非甲烷总烃</w:t>
                  </w:r>
                </w:p>
              </w:tc>
              <w:tc>
                <w:tcPr>
                  <w:tcW w:w="1881" w:type="pct"/>
                  <w:tcBorders>
                    <w:tl2br w:val="nil"/>
                    <w:tr2bl w:val="nil"/>
                  </w:tcBorders>
                  <w:noWrap w:val="0"/>
                  <w:vAlign w:val="center"/>
                </w:tcPr>
                <w:p w14:paraId="52AED23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6（监控点处1h平均浓度值）</w:t>
                  </w:r>
                </w:p>
              </w:tc>
              <w:tc>
                <w:tcPr>
                  <w:tcW w:w="2146" w:type="pct"/>
                  <w:vMerge w:val="restart"/>
                  <w:tcBorders>
                    <w:tl2br w:val="nil"/>
                    <w:tr2bl w:val="nil"/>
                  </w:tcBorders>
                  <w:noWrap w:val="0"/>
                  <w:vAlign w:val="center"/>
                </w:tcPr>
                <w:p w14:paraId="629EF2D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《大气污染物综合排放标准》（DB32/4041-2021）表2限值</w:t>
                  </w:r>
                </w:p>
              </w:tc>
            </w:tr>
            <w:tr w14:paraId="4C37F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jc w:val="center"/>
              </w:trPr>
              <w:tc>
                <w:tcPr>
                  <w:tcW w:w="960" w:type="pct"/>
                  <w:gridSpan w:val="2"/>
                  <w:vMerge w:val="continue"/>
                  <w:tcBorders>
                    <w:tl2br w:val="nil"/>
                    <w:tr2bl w:val="nil"/>
                  </w:tcBorders>
                  <w:noWrap w:val="0"/>
                  <w:vAlign w:val="center"/>
                </w:tcPr>
                <w:p w14:paraId="07AEC0F1">
                  <w:pPr>
                    <w:keepNext w:val="0"/>
                    <w:keepLines w:val="0"/>
                    <w:suppressLineNumbers w:val="0"/>
                    <w:spacing w:before="0" w:beforeAutospacing="0" w:after="0" w:afterAutospacing="0"/>
                    <w:ind w:left="0" w:right="0"/>
                    <w:jc w:val="center"/>
                    <w:rPr>
                      <w:rFonts w:hint="eastAsia" w:eastAsia="仿宋" w:cs="Times New Roman"/>
                      <w:color w:val="auto"/>
                      <w:kern w:val="2"/>
                      <w:sz w:val="21"/>
                      <w:szCs w:val="21"/>
                      <w:lang w:val="en-US" w:eastAsia="zh-CN" w:bidi="ar-SA"/>
                    </w:rPr>
                  </w:pPr>
                </w:p>
              </w:tc>
              <w:tc>
                <w:tcPr>
                  <w:tcW w:w="1881" w:type="pct"/>
                  <w:tcBorders>
                    <w:tl2br w:val="nil"/>
                    <w:tr2bl w:val="nil"/>
                  </w:tcBorders>
                  <w:noWrap w:val="0"/>
                  <w:vAlign w:val="center"/>
                </w:tcPr>
                <w:p w14:paraId="08C6CFDC">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20（监控点处任意一次浓度值）</w:t>
                  </w:r>
                </w:p>
              </w:tc>
              <w:tc>
                <w:tcPr>
                  <w:tcW w:w="2146" w:type="pct"/>
                  <w:vMerge w:val="continue"/>
                  <w:tcBorders>
                    <w:tl2br w:val="nil"/>
                    <w:tr2bl w:val="nil"/>
                  </w:tcBorders>
                  <w:noWrap w:val="0"/>
                  <w:vAlign w:val="center"/>
                </w:tcPr>
                <w:p w14:paraId="386E7C5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r>
          </w:tbl>
          <w:p w14:paraId="7A3B4C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lang w:val="en-US" w:eastAsia="zh-CN"/>
              </w:rPr>
              <w:t>、</w:t>
            </w:r>
            <w:r>
              <w:rPr>
                <w:rFonts w:hint="eastAsia" w:ascii="Times New Roman" w:hAnsi="Times New Roman" w:eastAsia="宋体" w:cs="Times New Roman"/>
                <w:b/>
                <w:bCs/>
                <w:color w:val="auto"/>
                <w:lang w:val="en-US" w:eastAsia="zh-CN"/>
              </w:rPr>
              <w:t>固废污染控制</w:t>
            </w:r>
            <w:r>
              <w:rPr>
                <w:rFonts w:hint="default" w:ascii="Times New Roman" w:hAnsi="Times New Roman" w:eastAsia="宋体" w:cs="Times New Roman"/>
                <w:b/>
                <w:bCs/>
                <w:color w:val="auto"/>
                <w:lang w:val="en-US" w:eastAsia="zh-CN"/>
              </w:rPr>
              <w:t>标准</w:t>
            </w:r>
          </w:p>
          <w:p w14:paraId="580AFE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一般固废贮存满足防渗漏、防雨淋、防扬尘等环境保护要求；危险废物贮存执行《</w:t>
            </w:r>
            <w:bookmarkStart w:id="7" w:name="OLE_LINK1"/>
            <w:r>
              <w:rPr>
                <w:rFonts w:hint="eastAsia" w:ascii="Times New Roman" w:hAnsi="Times New Roman" w:eastAsia="宋体" w:cs="Times New Roman"/>
                <w:color w:val="auto"/>
                <w:kern w:val="2"/>
                <w:sz w:val="21"/>
                <w:szCs w:val="24"/>
                <w:lang w:val="en-US" w:eastAsia="zh-CN" w:bidi="ar-SA"/>
              </w:rPr>
              <w:t>危险废物贮存污染控制标准</w:t>
            </w:r>
            <w:bookmarkEnd w:id="7"/>
            <w:r>
              <w:rPr>
                <w:rFonts w:hint="eastAsia" w:ascii="Times New Roman" w:hAnsi="Times New Roman" w:eastAsia="宋体" w:cs="Times New Roman"/>
                <w:color w:val="auto"/>
                <w:kern w:val="2"/>
                <w:sz w:val="21"/>
                <w:szCs w:val="24"/>
                <w:lang w:val="en-US" w:eastAsia="zh-CN" w:bidi="ar-SA"/>
              </w:rPr>
              <w:t>》（GB18597-2023）、《常州市固废危废环境隐患排查暨贮存规范化管理专项整治行动方案》（常环执法〔2019〕40号）、《省生态环境厅关于做好江苏省固体废物管理信息系统上线运行工作的通知》（苏环办〔2020〕401号）、《省生态环境厅关于印发江苏省固体废物全过程环境监管工作意见的通知（苏环办〔2024〕16号）》等相关标准。</w:t>
            </w:r>
          </w:p>
          <w:p w14:paraId="5C5AF4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4"/>
                <w:lang w:val="en-US" w:eastAsia="zh-CN" w:bidi="ar-SA"/>
              </w:rPr>
            </w:pPr>
          </w:p>
          <w:p w14:paraId="43384F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4"/>
                <w:lang w:val="en-US" w:eastAsia="zh-CN" w:bidi="ar-SA"/>
              </w:rPr>
            </w:pPr>
          </w:p>
          <w:p w14:paraId="43AFA4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4"/>
                <w:lang w:val="en-US" w:eastAsia="zh-CN" w:bidi="ar-SA"/>
              </w:rPr>
            </w:pPr>
          </w:p>
          <w:p w14:paraId="7CCA7F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4"/>
                <w:lang w:val="en-US" w:eastAsia="zh-CN" w:bidi="ar-SA"/>
              </w:rPr>
            </w:pPr>
          </w:p>
          <w:p w14:paraId="7623A5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4"/>
                <w:lang w:val="en-US" w:eastAsia="zh-CN" w:bidi="ar-SA"/>
              </w:rPr>
            </w:pPr>
          </w:p>
          <w:p w14:paraId="37F4A7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color w:val="auto"/>
                <w:kern w:val="2"/>
                <w:sz w:val="21"/>
                <w:szCs w:val="24"/>
                <w:lang w:val="en-US" w:eastAsia="zh-CN" w:bidi="ar-SA"/>
              </w:rPr>
            </w:pPr>
          </w:p>
        </w:tc>
      </w:tr>
    </w:tbl>
    <w:p w14:paraId="2B41DE50">
      <w:pPr>
        <w:adjustRightInd w:val="0"/>
        <w:snapToGrid w:val="0"/>
        <w:jc w:val="center"/>
        <w:rPr>
          <w:rFonts w:hint="default" w:ascii="Times New Roman" w:hAnsi="Times New Roman" w:cs="Times New Roman"/>
          <w:b w:val="0"/>
          <w:bCs w:val="0"/>
          <w:color w:val="auto"/>
          <w:kern w:val="0"/>
          <w:sz w:val="21"/>
          <w:szCs w:val="21"/>
        </w:rPr>
        <w:sectPr>
          <w:pgSz w:w="11907" w:h="16840"/>
          <w:pgMar w:top="1191" w:right="1400" w:bottom="1417" w:left="1088"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9134"/>
      </w:tblGrid>
      <w:tr w14:paraId="29987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8" w:hRule="atLeast"/>
          <w:jc w:val="center"/>
        </w:trPr>
        <w:tc>
          <w:tcPr>
            <w:tcW w:w="458" w:type="dxa"/>
            <w:noWrap w:val="0"/>
            <w:vAlign w:val="center"/>
          </w:tcPr>
          <w:p w14:paraId="6CDE230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b w:val="0"/>
                <w:bCs w:val="0"/>
                <w:color w:val="auto"/>
                <w:kern w:val="0"/>
                <w:sz w:val="21"/>
                <w:szCs w:val="21"/>
              </w:rPr>
              <w:t>总量控制指标</w:t>
            </w:r>
          </w:p>
        </w:tc>
        <w:tc>
          <w:tcPr>
            <w:tcW w:w="9134" w:type="dxa"/>
            <w:noWrap w:val="0"/>
            <w:vAlign w:val="center"/>
          </w:tcPr>
          <w:p w14:paraId="2CD2282D">
            <w:pPr>
              <w:keepNext w:val="0"/>
              <w:keepLines w:val="0"/>
              <w:suppressLineNumbers w:val="0"/>
              <w:spacing w:before="0" w:beforeAutospacing="0" w:after="0" w:afterAutospacing="0" w:line="360" w:lineRule="auto"/>
              <w:ind w:left="0" w:right="0" w:firstLine="422" w:firstLineChars="200"/>
              <w:rPr>
                <w:rFonts w:hint="default" w:ascii="Times New Roman" w:hAnsi="Times New Roman" w:eastAsia="宋体" w:cs="Times New Roman"/>
                <w:b/>
                <w:bCs/>
                <w:smallCaps w:val="0"/>
                <w:color w:val="auto"/>
              </w:rPr>
            </w:pPr>
            <w:r>
              <w:rPr>
                <w:rFonts w:hint="default" w:ascii="Times New Roman" w:hAnsi="Times New Roman" w:eastAsia="宋体" w:cs="Times New Roman"/>
                <w:b/>
                <w:bCs/>
                <w:smallCaps w:val="0"/>
                <w:color w:val="auto"/>
              </w:rPr>
              <w:t>1、总量控制因子</w:t>
            </w:r>
          </w:p>
          <w:p w14:paraId="4366E421">
            <w:pPr>
              <w:keepNext w:val="0"/>
              <w:keepLines w:val="0"/>
              <w:suppressLineNumbers w:val="0"/>
              <w:autoSpaceDE w:val="0"/>
              <w:autoSpaceDN w:val="0"/>
              <w:spacing w:before="0" w:beforeAutospacing="0" w:after="0" w:afterAutospacing="0" w:line="360" w:lineRule="auto"/>
              <w:ind w:left="0" w:right="0" w:firstLine="420" w:firstLineChars="200"/>
              <w:rPr>
                <w:rFonts w:hint="default" w:ascii="Times New Roman" w:hAnsi="Times New Roman" w:eastAsia="宋体" w:cs="Times New Roman"/>
                <w:smallCaps w:val="0"/>
                <w:color w:val="auto"/>
              </w:rPr>
            </w:pPr>
            <w:r>
              <w:rPr>
                <w:rFonts w:hint="eastAsia" w:ascii="Times New Roman" w:hAnsi="Times New Roman" w:eastAsia="宋体" w:cs="Times New Roman"/>
                <w:smallCaps w:val="0"/>
                <w:color w:val="auto"/>
              </w:rPr>
              <w:t>根据国家及江苏省总量控制规定，结合本项目排污特征，确定项目的总量控制因子为</w:t>
            </w:r>
            <w:r>
              <w:rPr>
                <w:rFonts w:hint="default" w:ascii="Times New Roman" w:hAnsi="Times New Roman" w:eastAsia="宋体" w:cs="Times New Roman"/>
                <w:smallCaps w:val="0"/>
                <w:color w:val="auto"/>
              </w:rPr>
              <w:t>：</w:t>
            </w:r>
          </w:p>
          <w:p w14:paraId="4713C8FE">
            <w:pPr>
              <w:keepNext w:val="0"/>
              <w:keepLines w:val="0"/>
              <w:suppressLineNumbers w:val="0"/>
              <w:autoSpaceDE w:val="0"/>
              <w:autoSpaceDN w:val="0"/>
              <w:spacing w:before="0" w:beforeAutospacing="0" w:after="0" w:afterAutospacing="0" w:line="360" w:lineRule="auto"/>
              <w:ind w:left="0" w:right="0" w:firstLine="420" w:firstLineChars="200"/>
              <w:rPr>
                <w:rFonts w:hint="default" w:ascii="Times New Roman" w:hAnsi="Times New Roman" w:eastAsia="宋体" w:cs="Times New Roman"/>
                <w:smallCaps w:val="0"/>
                <w:color w:val="auto"/>
              </w:rPr>
            </w:pPr>
            <w:r>
              <w:rPr>
                <w:rFonts w:hint="eastAsia" w:ascii="Times New Roman" w:hAnsi="Times New Roman" w:eastAsia="宋体" w:cs="Times New Roman"/>
                <w:smallCaps w:val="0"/>
                <w:color w:val="auto"/>
              </w:rPr>
              <w:t>大气污染物总量控制因子：</w:t>
            </w:r>
            <w:r>
              <w:rPr>
                <w:rFonts w:hint="eastAsia" w:cs="Times New Roman"/>
                <w:smallCaps w:val="0"/>
                <w:color w:val="auto"/>
                <w:lang w:val="en-US" w:eastAsia="zh-CN"/>
              </w:rPr>
              <w:t>颗粒物，VOCs（以</w:t>
            </w:r>
            <w:r>
              <w:rPr>
                <w:rFonts w:hint="eastAsia" w:ascii="Times New Roman" w:hAnsi="Times New Roman" w:eastAsia="宋体" w:cs="Times New Roman"/>
                <w:smallCaps w:val="0"/>
                <w:color w:val="auto"/>
                <w:lang w:val="en-US" w:eastAsia="zh-CN"/>
              </w:rPr>
              <w:t>非甲烷总烃</w:t>
            </w:r>
            <w:r>
              <w:rPr>
                <w:rFonts w:hint="eastAsia" w:cs="Times New Roman"/>
                <w:smallCaps w:val="0"/>
                <w:color w:val="auto"/>
                <w:lang w:val="en-US" w:eastAsia="zh-CN"/>
              </w:rPr>
              <w:t>表征）</w:t>
            </w:r>
            <w:r>
              <w:rPr>
                <w:rFonts w:hint="eastAsia" w:ascii="Times New Roman" w:hAnsi="Times New Roman" w:eastAsia="宋体" w:cs="Times New Roman"/>
                <w:smallCaps w:val="0"/>
                <w:color w:val="auto"/>
              </w:rPr>
              <w:t>。</w:t>
            </w:r>
          </w:p>
          <w:p w14:paraId="1106DF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smallCaps w:val="0"/>
                <w:color w:val="auto"/>
                <w:lang w:val="zh-CN"/>
              </w:rPr>
            </w:pPr>
            <w:r>
              <w:rPr>
                <w:rFonts w:hint="default" w:ascii="Times New Roman" w:hAnsi="Times New Roman" w:eastAsia="宋体" w:cs="Times New Roman"/>
                <w:smallCaps w:val="0"/>
                <w:color w:val="auto"/>
                <w:lang w:val="zh-CN"/>
              </w:rPr>
              <w:t>水污染物总量控制因子</w:t>
            </w:r>
            <w:r>
              <w:rPr>
                <w:rFonts w:hint="default" w:ascii="Times New Roman" w:hAnsi="Times New Roman" w:eastAsia="宋体" w:cs="Times New Roman"/>
                <w:smallCaps w:val="0"/>
                <w:color w:val="auto"/>
              </w:rPr>
              <w:t>：COD</w:t>
            </w:r>
            <w:r>
              <w:rPr>
                <w:rFonts w:hint="default" w:ascii="Times New Roman" w:hAnsi="Times New Roman" w:eastAsia="宋体" w:cs="Times New Roman"/>
                <w:smallCaps w:val="0"/>
                <w:color w:val="auto"/>
                <w:lang w:val="zh-CN"/>
              </w:rPr>
              <w:t>、</w:t>
            </w:r>
            <w:r>
              <w:rPr>
                <w:rFonts w:hint="default" w:ascii="Times New Roman" w:hAnsi="Times New Roman" w:eastAsia="宋体" w:cs="Times New Roman"/>
                <w:smallCaps w:val="0"/>
                <w:color w:val="auto"/>
              </w:rPr>
              <w:t>NH</w:t>
            </w:r>
            <w:r>
              <w:rPr>
                <w:rFonts w:hint="default" w:ascii="Times New Roman" w:hAnsi="Times New Roman" w:eastAsia="宋体" w:cs="Times New Roman"/>
                <w:smallCaps w:val="0"/>
                <w:color w:val="auto"/>
                <w:vertAlign w:val="subscript"/>
              </w:rPr>
              <w:t>3</w:t>
            </w:r>
            <w:r>
              <w:rPr>
                <w:rFonts w:hint="default" w:ascii="Times New Roman" w:hAnsi="Times New Roman" w:eastAsia="宋体" w:cs="Times New Roman"/>
                <w:smallCaps w:val="0"/>
                <w:color w:val="auto"/>
              </w:rPr>
              <w:t>-N</w:t>
            </w:r>
            <w:r>
              <w:rPr>
                <w:rFonts w:hint="eastAsia" w:ascii="Times New Roman" w:hAnsi="Times New Roman" w:eastAsia="宋体" w:cs="Times New Roman"/>
                <w:smallCaps w:val="0"/>
                <w:color w:val="auto"/>
                <w:lang w:val="zh-CN"/>
              </w:rPr>
              <w:t>、</w:t>
            </w:r>
            <w:r>
              <w:rPr>
                <w:rFonts w:hint="eastAsia" w:ascii="Times New Roman" w:hAnsi="Times New Roman" w:eastAsia="宋体" w:cs="Times New Roman"/>
                <w:smallCaps w:val="0"/>
                <w:color w:val="auto"/>
              </w:rPr>
              <w:t>TP</w:t>
            </w:r>
            <w:r>
              <w:rPr>
                <w:rFonts w:hint="eastAsia" w:ascii="Times New Roman" w:hAnsi="Times New Roman" w:eastAsia="宋体" w:cs="Times New Roman"/>
                <w:smallCaps w:val="0"/>
                <w:color w:val="auto"/>
                <w:lang w:val="zh-CN"/>
              </w:rPr>
              <w:t>、</w:t>
            </w:r>
            <w:r>
              <w:rPr>
                <w:rFonts w:hint="eastAsia" w:ascii="Times New Roman" w:hAnsi="Times New Roman" w:eastAsia="宋体" w:cs="Times New Roman"/>
                <w:smallCaps w:val="0"/>
                <w:color w:val="auto"/>
              </w:rPr>
              <w:t>TN</w:t>
            </w:r>
            <w:r>
              <w:rPr>
                <w:rFonts w:hint="eastAsia" w:ascii="Times New Roman" w:hAnsi="Times New Roman" w:eastAsia="宋体" w:cs="Times New Roman"/>
                <w:smallCaps w:val="0"/>
                <w:color w:val="auto"/>
                <w:lang w:val="zh-CN"/>
              </w:rPr>
              <w:t>。</w:t>
            </w:r>
          </w:p>
          <w:p w14:paraId="42AE67DC">
            <w:pPr>
              <w:keepNext w:val="0"/>
              <w:keepLines w:val="0"/>
              <w:suppressLineNumbers w:val="0"/>
              <w:spacing w:before="0" w:beforeAutospacing="0" w:after="0" w:afterAutospacing="0" w:line="360" w:lineRule="auto"/>
              <w:ind w:left="0" w:right="0" w:firstLine="422" w:firstLineChars="200"/>
              <w:rPr>
                <w:rFonts w:hint="default" w:ascii="Times New Roman" w:hAnsi="Times New Roman" w:eastAsia="宋体" w:cs="Times New Roman"/>
                <w:b/>
                <w:bCs/>
                <w:smallCaps w:val="0"/>
                <w:color w:val="auto"/>
              </w:rPr>
            </w:pPr>
            <w:r>
              <w:rPr>
                <w:rFonts w:hint="eastAsia" w:ascii="Times New Roman" w:hAnsi="Times New Roman" w:eastAsia="宋体" w:cs="Times New Roman"/>
                <w:b/>
                <w:bCs/>
                <w:smallCaps w:val="0"/>
                <w:color w:val="auto"/>
              </w:rPr>
              <w:t>2、</w:t>
            </w:r>
            <w:r>
              <w:rPr>
                <w:rFonts w:hint="default" w:ascii="Times New Roman" w:hAnsi="Times New Roman" w:eastAsia="宋体" w:cs="Times New Roman"/>
                <w:b/>
                <w:bCs/>
                <w:smallCaps w:val="0"/>
                <w:color w:val="auto"/>
              </w:rPr>
              <w:t>总量平衡方案</w:t>
            </w:r>
          </w:p>
          <w:p w14:paraId="706382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本项目投产后，污染物排放量汇总情况见表3-1</w:t>
            </w:r>
            <w:r>
              <w:rPr>
                <w:rFonts w:hint="eastAsia" w:cs="Times New Roman"/>
                <w:b w:val="0"/>
                <w:bCs w:val="0"/>
                <w:color w:val="auto"/>
                <w:lang w:val="en-US" w:eastAsia="zh-CN"/>
              </w:rPr>
              <w:t>1</w:t>
            </w:r>
            <w:r>
              <w:rPr>
                <w:rFonts w:hint="eastAsia" w:ascii="Times New Roman" w:hAnsi="Times New Roman" w:eastAsia="宋体" w:cs="Times New Roman"/>
                <w:b w:val="0"/>
                <w:bCs w:val="0"/>
                <w:color w:val="auto"/>
                <w:lang w:val="en-US" w:eastAsia="zh-CN"/>
              </w:rPr>
              <w:t>。</w:t>
            </w:r>
          </w:p>
          <w:p w14:paraId="101608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表3-</w:t>
            </w:r>
            <w:r>
              <w:rPr>
                <w:rFonts w:hint="eastAsia" w:ascii="Times New Roman" w:hAnsi="Times New Roman" w:eastAsia="宋体" w:cs="Times New Roman"/>
                <w:b/>
                <w:color w:val="auto"/>
                <w:kern w:val="0"/>
                <w:sz w:val="21"/>
                <w:szCs w:val="21"/>
                <w:lang w:val="en-US" w:eastAsia="zh-CN"/>
              </w:rPr>
              <w:t>1</w:t>
            </w:r>
            <w:r>
              <w:rPr>
                <w:rFonts w:hint="eastAsia" w:cs="Times New Roman"/>
                <w:b/>
                <w:color w:val="auto"/>
                <w:kern w:val="0"/>
                <w:sz w:val="21"/>
                <w:szCs w:val="21"/>
                <w:lang w:val="en-US" w:eastAsia="zh-CN"/>
              </w:rPr>
              <w:t>1</w:t>
            </w:r>
            <w:r>
              <w:rPr>
                <w:rFonts w:hint="default" w:ascii="Times New Roman" w:hAnsi="Times New Roman" w:eastAsia="宋体" w:cs="Times New Roman"/>
                <w:b/>
                <w:color w:val="auto"/>
                <w:kern w:val="0"/>
                <w:sz w:val="21"/>
                <w:szCs w:val="21"/>
              </w:rPr>
              <w:t xml:space="preserve">  本项目污染物排放量统计一览表  t/a</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165"/>
              <w:gridCol w:w="1961"/>
              <w:gridCol w:w="1370"/>
              <w:gridCol w:w="1572"/>
              <w:gridCol w:w="1549"/>
            </w:tblGrid>
            <w:tr w14:paraId="4A990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noWrap w:val="0"/>
                  <w:vAlign w:val="center"/>
                </w:tcPr>
                <w:p w14:paraId="24D1F9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类别</w:t>
                  </w:r>
                </w:p>
              </w:tc>
              <w:tc>
                <w:tcPr>
                  <w:tcW w:w="1752" w:type="pct"/>
                  <w:gridSpan w:val="2"/>
                  <w:noWrap w:val="0"/>
                  <w:vAlign w:val="center"/>
                </w:tcPr>
                <w:p w14:paraId="7F9C00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污染物名称</w:t>
                  </w:r>
                </w:p>
              </w:tc>
              <w:tc>
                <w:tcPr>
                  <w:tcW w:w="768" w:type="pct"/>
                  <w:noWrap w:val="0"/>
                  <w:vAlign w:val="center"/>
                </w:tcPr>
                <w:p w14:paraId="151A37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产生量</w:t>
                  </w:r>
                </w:p>
              </w:tc>
              <w:tc>
                <w:tcPr>
                  <w:tcW w:w="881" w:type="pct"/>
                  <w:noWrap w:val="0"/>
                  <w:vAlign w:val="center"/>
                </w:tcPr>
                <w:p w14:paraId="00AFD28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削减量</w:t>
                  </w:r>
                </w:p>
              </w:tc>
              <w:tc>
                <w:tcPr>
                  <w:tcW w:w="868" w:type="pct"/>
                  <w:noWrap w:val="0"/>
                  <w:vAlign w:val="center"/>
                </w:tcPr>
                <w:p w14:paraId="3A315D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排放量</w:t>
                  </w:r>
                </w:p>
              </w:tc>
            </w:tr>
            <w:tr w14:paraId="27F77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restart"/>
                  <w:noWrap w:val="0"/>
                  <w:vAlign w:val="center"/>
                </w:tcPr>
                <w:p w14:paraId="5F4FCF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w:t>
                  </w:r>
                </w:p>
              </w:tc>
              <w:tc>
                <w:tcPr>
                  <w:tcW w:w="653" w:type="pct"/>
                  <w:vMerge w:val="restart"/>
                  <w:noWrap w:val="0"/>
                  <w:vAlign w:val="center"/>
                </w:tcPr>
                <w:p w14:paraId="5CB5ED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有组织</w:t>
                  </w:r>
                </w:p>
              </w:tc>
              <w:tc>
                <w:tcPr>
                  <w:tcW w:w="1099" w:type="pct"/>
                  <w:noWrap w:val="0"/>
                  <w:vAlign w:val="center"/>
                </w:tcPr>
                <w:p w14:paraId="6443CD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颗粒物</w:t>
                  </w:r>
                </w:p>
              </w:tc>
              <w:tc>
                <w:tcPr>
                  <w:tcW w:w="768" w:type="pct"/>
                  <w:noWrap w:val="0"/>
                  <w:vAlign w:val="center"/>
                </w:tcPr>
                <w:p w14:paraId="0DC018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1.289</w:t>
                  </w:r>
                </w:p>
              </w:tc>
              <w:tc>
                <w:tcPr>
                  <w:tcW w:w="881" w:type="pct"/>
                  <w:noWrap w:val="0"/>
                  <w:vAlign w:val="center"/>
                </w:tcPr>
                <w:p w14:paraId="710C19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1.273</w:t>
                  </w:r>
                </w:p>
              </w:tc>
              <w:tc>
                <w:tcPr>
                  <w:tcW w:w="868" w:type="pct"/>
                  <w:noWrap w:val="0"/>
                  <w:vAlign w:val="center"/>
                </w:tcPr>
                <w:p w14:paraId="59CF09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0.016</w:t>
                  </w:r>
                </w:p>
              </w:tc>
            </w:tr>
            <w:tr w14:paraId="778B7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continue"/>
                  <w:noWrap w:val="0"/>
                  <w:vAlign w:val="center"/>
                </w:tcPr>
                <w:p w14:paraId="3E127D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653" w:type="pct"/>
                  <w:vMerge w:val="continue"/>
                  <w:noWrap w:val="0"/>
                  <w:vAlign w:val="center"/>
                </w:tcPr>
                <w:p w14:paraId="281533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1099" w:type="pct"/>
                  <w:noWrap w:val="0"/>
                  <w:vAlign w:val="center"/>
                </w:tcPr>
                <w:p w14:paraId="2A51B3CF">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VOCs</w:t>
                  </w:r>
                </w:p>
              </w:tc>
              <w:tc>
                <w:tcPr>
                  <w:tcW w:w="768" w:type="pct"/>
                  <w:noWrap w:val="0"/>
                  <w:vAlign w:val="center"/>
                </w:tcPr>
                <w:p w14:paraId="180C7D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0.578</w:t>
                  </w:r>
                </w:p>
              </w:tc>
              <w:tc>
                <w:tcPr>
                  <w:tcW w:w="881" w:type="pct"/>
                  <w:noWrap w:val="0"/>
                  <w:vAlign w:val="center"/>
                </w:tcPr>
                <w:p w14:paraId="711701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0.52</w:t>
                  </w:r>
                </w:p>
              </w:tc>
              <w:tc>
                <w:tcPr>
                  <w:tcW w:w="868" w:type="pct"/>
                  <w:noWrap w:val="0"/>
                  <w:vAlign w:val="center"/>
                </w:tcPr>
                <w:p w14:paraId="754CB0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0.058</w:t>
                  </w:r>
                </w:p>
              </w:tc>
            </w:tr>
            <w:tr w14:paraId="1E867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continue"/>
                  <w:noWrap w:val="0"/>
                  <w:vAlign w:val="center"/>
                </w:tcPr>
                <w:p w14:paraId="12D6EF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653" w:type="pct"/>
                  <w:vMerge w:val="continue"/>
                  <w:noWrap w:val="0"/>
                  <w:vAlign w:val="center"/>
                </w:tcPr>
                <w:p w14:paraId="28171B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1099" w:type="pct"/>
                  <w:noWrap w:val="0"/>
                  <w:vAlign w:val="center"/>
                </w:tcPr>
                <w:p w14:paraId="1B4AB9D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二硫化碳</w:t>
                  </w:r>
                </w:p>
              </w:tc>
              <w:tc>
                <w:tcPr>
                  <w:tcW w:w="768" w:type="pct"/>
                  <w:noWrap w:val="0"/>
                  <w:vAlign w:val="center"/>
                </w:tcPr>
                <w:p w14:paraId="27A95E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0.712</w:t>
                  </w:r>
                </w:p>
              </w:tc>
              <w:tc>
                <w:tcPr>
                  <w:tcW w:w="881" w:type="pct"/>
                  <w:noWrap w:val="0"/>
                  <w:vAlign w:val="center"/>
                </w:tcPr>
                <w:p w14:paraId="123C82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0.641</w:t>
                  </w:r>
                </w:p>
              </w:tc>
              <w:tc>
                <w:tcPr>
                  <w:tcW w:w="868" w:type="pct"/>
                  <w:noWrap w:val="0"/>
                  <w:vAlign w:val="center"/>
                </w:tcPr>
                <w:p w14:paraId="131CD5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0.071</w:t>
                  </w:r>
                </w:p>
              </w:tc>
            </w:tr>
            <w:tr w14:paraId="4E798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continue"/>
                  <w:noWrap w:val="0"/>
                  <w:vAlign w:val="center"/>
                </w:tcPr>
                <w:p w14:paraId="784DE7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653" w:type="pct"/>
                  <w:vMerge w:val="restart"/>
                  <w:noWrap w:val="0"/>
                  <w:vAlign w:val="center"/>
                </w:tcPr>
                <w:p w14:paraId="737208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无组织</w:t>
                  </w:r>
                </w:p>
              </w:tc>
              <w:tc>
                <w:tcPr>
                  <w:tcW w:w="1099" w:type="pct"/>
                  <w:shd w:val="clear" w:color="auto" w:fill="auto"/>
                  <w:noWrap w:val="0"/>
                  <w:vAlign w:val="center"/>
                </w:tcPr>
                <w:p w14:paraId="7D4C0F7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颗粒物</w:t>
                  </w:r>
                </w:p>
              </w:tc>
              <w:tc>
                <w:tcPr>
                  <w:tcW w:w="768" w:type="pct"/>
                  <w:shd w:val="clear" w:color="auto" w:fill="auto"/>
                  <w:noWrap w:val="0"/>
                  <w:vAlign w:val="center"/>
                </w:tcPr>
                <w:p w14:paraId="524E90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0.073</w:t>
                  </w:r>
                </w:p>
              </w:tc>
              <w:tc>
                <w:tcPr>
                  <w:tcW w:w="881" w:type="pct"/>
                  <w:noWrap w:val="0"/>
                  <w:vAlign w:val="center"/>
                </w:tcPr>
                <w:p w14:paraId="67F522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w:t>
                  </w:r>
                </w:p>
              </w:tc>
              <w:tc>
                <w:tcPr>
                  <w:tcW w:w="868" w:type="pct"/>
                  <w:shd w:val="clear" w:color="auto" w:fill="auto"/>
                  <w:noWrap w:val="0"/>
                  <w:vAlign w:val="center"/>
                </w:tcPr>
                <w:p w14:paraId="0A17BB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0.073</w:t>
                  </w:r>
                </w:p>
              </w:tc>
            </w:tr>
            <w:tr w14:paraId="67230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continue"/>
                  <w:noWrap w:val="0"/>
                  <w:vAlign w:val="center"/>
                </w:tcPr>
                <w:p w14:paraId="61B78E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653" w:type="pct"/>
                  <w:vMerge w:val="continue"/>
                  <w:noWrap w:val="0"/>
                  <w:vAlign w:val="center"/>
                </w:tcPr>
                <w:p w14:paraId="294D48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1099" w:type="pct"/>
                  <w:shd w:val="clear" w:color="auto" w:fill="auto"/>
                  <w:noWrap w:val="0"/>
                  <w:vAlign w:val="center"/>
                </w:tcPr>
                <w:p w14:paraId="73663D22">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VOCs</w:t>
                  </w:r>
                </w:p>
              </w:tc>
              <w:tc>
                <w:tcPr>
                  <w:tcW w:w="768" w:type="pct"/>
                  <w:shd w:val="clear" w:color="auto" w:fill="auto"/>
                  <w:noWrap w:val="0"/>
                  <w:vAlign w:val="center"/>
                </w:tcPr>
                <w:p w14:paraId="752256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0.03</w:t>
                  </w:r>
                </w:p>
              </w:tc>
              <w:tc>
                <w:tcPr>
                  <w:tcW w:w="881" w:type="pct"/>
                  <w:noWrap w:val="0"/>
                  <w:vAlign w:val="center"/>
                </w:tcPr>
                <w:p w14:paraId="4D6D13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w:t>
                  </w:r>
                </w:p>
              </w:tc>
              <w:tc>
                <w:tcPr>
                  <w:tcW w:w="868" w:type="pct"/>
                  <w:shd w:val="clear" w:color="auto" w:fill="auto"/>
                  <w:noWrap w:val="0"/>
                  <w:vAlign w:val="center"/>
                </w:tcPr>
                <w:p w14:paraId="4E996D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0.03</w:t>
                  </w:r>
                </w:p>
              </w:tc>
            </w:tr>
            <w:tr w14:paraId="44FBC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continue"/>
                  <w:noWrap w:val="0"/>
                  <w:vAlign w:val="center"/>
                </w:tcPr>
                <w:p w14:paraId="162E40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653" w:type="pct"/>
                  <w:vMerge w:val="continue"/>
                  <w:noWrap w:val="0"/>
                  <w:vAlign w:val="center"/>
                </w:tcPr>
                <w:p w14:paraId="218C7C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1099" w:type="pct"/>
                  <w:shd w:val="clear" w:color="auto" w:fill="auto"/>
                  <w:noWrap w:val="0"/>
                  <w:vAlign w:val="center"/>
                </w:tcPr>
                <w:p w14:paraId="0CD40017">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二硫化碳</w:t>
                  </w:r>
                </w:p>
              </w:tc>
              <w:tc>
                <w:tcPr>
                  <w:tcW w:w="768" w:type="pct"/>
                  <w:shd w:val="clear" w:color="auto" w:fill="auto"/>
                  <w:noWrap w:val="0"/>
                  <w:vAlign w:val="center"/>
                </w:tcPr>
                <w:p w14:paraId="49C5EB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0.038</w:t>
                  </w:r>
                </w:p>
              </w:tc>
              <w:tc>
                <w:tcPr>
                  <w:tcW w:w="881" w:type="pct"/>
                  <w:noWrap w:val="0"/>
                  <w:vAlign w:val="center"/>
                </w:tcPr>
                <w:p w14:paraId="6627BD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w:t>
                  </w:r>
                </w:p>
              </w:tc>
              <w:tc>
                <w:tcPr>
                  <w:tcW w:w="868" w:type="pct"/>
                  <w:shd w:val="clear" w:color="auto" w:fill="auto"/>
                  <w:noWrap w:val="0"/>
                  <w:vAlign w:val="center"/>
                </w:tcPr>
                <w:p w14:paraId="04F8FA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0.038</w:t>
                  </w:r>
                </w:p>
              </w:tc>
            </w:tr>
            <w:tr w14:paraId="5F9C84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continue"/>
                  <w:noWrap w:val="0"/>
                  <w:vAlign w:val="center"/>
                </w:tcPr>
                <w:p w14:paraId="463090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653" w:type="pct"/>
                  <w:vMerge w:val="restart"/>
                  <w:noWrap w:val="0"/>
                  <w:vAlign w:val="center"/>
                </w:tcPr>
                <w:p w14:paraId="6045A2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合计</w:t>
                  </w:r>
                </w:p>
              </w:tc>
              <w:tc>
                <w:tcPr>
                  <w:tcW w:w="1099" w:type="pct"/>
                  <w:shd w:val="clear" w:color="auto" w:fill="auto"/>
                  <w:noWrap w:val="0"/>
                  <w:vAlign w:val="center"/>
                </w:tcPr>
                <w:p w14:paraId="5AFCC7D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颗粒物</w:t>
                  </w:r>
                </w:p>
              </w:tc>
              <w:tc>
                <w:tcPr>
                  <w:tcW w:w="768" w:type="pct"/>
                  <w:noWrap w:val="0"/>
                  <w:vAlign w:val="center"/>
                </w:tcPr>
                <w:p w14:paraId="2C686D87">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1.362</w:t>
                  </w:r>
                </w:p>
              </w:tc>
              <w:tc>
                <w:tcPr>
                  <w:tcW w:w="881" w:type="pct"/>
                  <w:shd w:val="clear" w:color="auto" w:fill="auto"/>
                  <w:noWrap w:val="0"/>
                  <w:vAlign w:val="center"/>
                </w:tcPr>
                <w:p w14:paraId="65F87A9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1.273</w:t>
                  </w:r>
                </w:p>
              </w:tc>
              <w:tc>
                <w:tcPr>
                  <w:tcW w:w="868" w:type="pct"/>
                  <w:noWrap w:val="0"/>
                  <w:vAlign w:val="center"/>
                </w:tcPr>
                <w:p w14:paraId="0A8331CB">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0.089</w:t>
                  </w:r>
                </w:p>
              </w:tc>
            </w:tr>
            <w:tr w14:paraId="1FFB82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continue"/>
                  <w:noWrap w:val="0"/>
                  <w:vAlign w:val="center"/>
                </w:tcPr>
                <w:p w14:paraId="032282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653" w:type="pct"/>
                  <w:vMerge w:val="continue"/>
                  <w:noWrap w:val="0"/>
                  <w:vAlign w:val="center"/>
                </w:tcPr>
                <w:p w14:paraId="6DCDAB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1099" w:type="pct"/>
                  <w:shd w:val="clear" w:color="auto" w:fill="auto"/>
                  <w:noWrap w:val="0"/>
                  <w:vAlign w:val="center"/>
                </w:tcPr>
                <w:p w14:paraId="41ED072A">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VOCs</w:t>
                  </w:r>
                </w:p>
              </w:tc>
              <w:tc>
                <w:tcPr>
                  <w:tcW w:w="768" w:type="pct"/>
                  <w:noWrap w:val="0"/>
                  <w:vAlign w:val="center"/>
                </w:tcPr>
                <w:p w14:paraId="0AF8605F">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0.608</w:t>
                  </w:r>
                </w:p>
              </w:tc>
              <w:tc>
                <w:tcPr>
                  <w:tcW w:w="881" w:type="pct"/>
                  <w:shd w:val="clear" w:color="auto" w:fill="auto"/>
                  <w:noWrap w:val="0"/>
                  <w:vAlign w:val="center"/>
                </w:tcPr>
                <w:p w14:paraId="3203D74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0.52</w:t>
                  </w:r>
                </w:p>
              </w:tc>
              <w:tc>
                <w:tcPr>
                  <w:tcW w:w="868" w:type="pct"/>
                  <w:noWrap w:val="0"/>
                  <w:vAlign w:val="center"/>
                </w:tcPr>
                <w:p w14:paraId="4172E9F9">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0.088</w:t>
                  </w:r>
                </w:p>
              </w:tc>
            </w:tr>
            <w:tr w14:paraId="5E4D4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continue"/>
                  <w:noWrap w:val="0"/>
                  <w:vAlign w:val="center"/>
                </w:tcPr>
                <w:p w14:paraId="0F6964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653" w:type="pct"/>
                  <w:vMerge w:val="continue"/>
                  <w:noWrap w:val="0"/>
                  <w:vAlign w:val="center"/>
                </w:tcPr>
                <w:p w14:paraId="4FD647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1099" w:type="pct"/>
                  <w:shd w:val="clear" w:color="auto" w:fill="auto"/>
                  <w:noWrap w:val="0"/>
                  <w:vAlign w:val="center"/>
                </w:tcPr>
                <w:p w14:paraId="7C38CF18">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二硫化碳</w:t>
                  </w:r>
                </w:p>
              </w:tc>
              <w:tc>
                <w:tcPr>
                  <w:tcW w:w="768" w:type="pct"/>
                  <w:noWrap w:val="0"/>
                  <w:vAlign w:val="center"/>
                </w:tcPr>
                <w:p w14:paraId="72B2105A">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0.75</w:t>
                  </w:r>
                </w:p>
              </w:tc>
              <w:tc>
                <w:tcPr>
                  <w:tcW w:w="881" w:type="pct"/>
                  <w:shd w:val="clear" w:color="auto" w:fill="auto"/>
                  <w:noWrap w:val="0"/>
                  <w:vAlign w:val="center"/>
                </w:tcPr>
                <w:p w14:paraId="6F3FE4A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0.641</w:t>
                  </w:r>
                </w:p>
              </w:tc>
              <w:tc>
                <w:tcPr>
                  <w:tcW w:w="868" w:type="pct"/>
                  <w:noWrap w:val="0"/>
                  <w:vAlign w:val="center"/>
                </w:tcPr>
                <w:p w14:paraId="55BE22F2">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0.109</w:t>
                  </w:r>
                </w:p>
              </w:tc>
            </w:tr>
            <w:tr w14:paraId="4079A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restart"/>
                  <w:noWrap w:val="0"/>
                  <w:vAlign w:val="center"/>
                </w:tcPr>
                <w:p w14:paraId="273F39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w:t>
                  </w:r>
                </w:p>
              </w:tc>
              <w:tc>
                <w:tcPr>
                  <w:tcW w:w="1752" w:type="pct"/>
                  <w:gridSpan w:val="2"/>
                  <w:noWrap w:val="0"/>
                  <w:vAlign w:val="center"/>
                </w:tcPr>
                <w:p w14:paraId="3E5AEB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水量</w:t>
                  </w:r>
                </w:p>
              </w:tc>
              <w:tc>
                <w:tcPr>
                  <w:tcW w:w="768" w:type="pct"/>
                  <w:noWrap w:val="0"/>
                  <w:vAlign w:val="center"/>
                </w:tcPr>
                <w:p w14:paraId="54314B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720</w:t>
                  </w:r>
                </w:p>
              </w:tc>
              <w:tc>
                <w:tcPr>
                  <w:tcW w:w="881" w:type="pct"/>
                  <w:noWrap w:val="0"/>
                  <w:vAlign w:val="center"/>
                </w:tcPr>
                <w:p w14:paraId="74BE13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sz w:val="21"/>
                      <w:szCs w:val="21"/>
                      <w:lang w:val="en-US" w:eastAsia="zh-CN"/>
                    </w:rPr>
                    <w:t>/</w:t>
                  </w:r>
                </w:p>
              </w:tc>
              <w:tc>
                <w:tcPr>
                  <w:tcW w:w="868" w:type="pct"/>
                  <w:noWrap w:val="0"/>
                  <w:vAlign w:val="center"/>
                </w:tcPr>
                <w:p w14:paraId="4B34ED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720</w:t>
                  </w:r>
                </w:p>
              </w:tc>
            </w:tr>
            <w:tr w14:paraId="2650D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continue"/>
                  <w:noWrap w:val="0"/>
                  <w:vAlign w:val="center"/>
                </w:tcPr>
                <w:p w14:paraId="04997AB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1752" w:type="pct"/>
                  <w:gridSpan w:val="2"/>
                  <w:noWrap w:val="0"/>
                  <w:vAlign w:val="center"/>
                </w:tcPr>
                <w:p w14:paraId="4E4AA0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COD</w:t>
                  </w:r>
                </w:p>
              </w:tc>
              <w:tc>
                <w:tcPr>
                  <w:tcW w:w="768" w:type="pct"/>
                  <w:shd w:val="clear" w:color="auto" w:fill="auto"/>
                  <w:noWrap w:val="0"/>
                  <w:vAlign w:val="center"/>
                </w:tcPr>
                <w:p w14:paraId="757CAD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0.288</w:t>
                  </w:r>
                </w:p>
              </w:tc>
              <w:tc>
                <w:tcPr>
                  <w:tcW w:w="881" w:type="pct"/>
                  <w:noWrap w:val="0"/>
                  <w:vAlign w:val="center"/>
                </w:tcPr>
                <w:p w14:paraId="1892C2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sz w:val="21"/>
                      <w:szCs w:val="21"/>
                      <w:lang w:val="en-US" w:eastAsia="zh-CN"/>
                    </w:rPr>
                    <w:t>/</w:t>
                  </w:r>
                </w:p>
              </w:tc>
              <w:tc>
                <w:tcPr>
                  <w:tcW w:w="868" w:type="pct"/>
                  <w:shd w:val="clear" w:color="auto" w:fill="auto"/>
                  <w:noWrap w:val="0"/>
                  <w:vAlign w:val="center"/>
                </w:tcPr>
                <w:p w14:paraId="347569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0.288</w:t>
                  </w:r>
                </w:p>
              </w:tc>
            </w:tr>
            <w:tr w14:paraId="71F37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continue"/>
                  <w:noWrap w:val="0"/>
                  <w:vAlign w:val="center"/>
                </w:tcPr>
                <w:p w14:paraId="6ED4E4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1752" w:type="pct"/>
                  <w:gridSpan w:val="2"/>
                  <w:noWrap w:val="0"/>
                  <w:vAlign w:val="center"/>
                </w:tcPr>
                <w:p w14:paraId="48A156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SS</w:t>
                  </w:r>
                </w:p>
              </w:tc>
              <w:tc>
                <w:tcPr>
                  <w:tcW w:w="768" w:type="pct"/>
                  <w:shd w:val="clear" w:color="auto" w:fill="auto"/>
                  <w:noWrap w:val="0"/>
                  <w:vAlign w:val="center"/>
                </w:tcPr>
                <w:p w14:paraId="4D432E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0.216</w:t>
                  </w:r>
                </w:p>
              </w:tc>
              <w:tc>
                <w:tcPr>
                  <w:tcW w:w="881" w:type="pct"/>
                  <w:noWrap w:val="0"/>
                  <w:vAlign w:val="center"/>
                </w:tcPr>
                <w:p w14:paraId="2B9539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sz w:val="21"/>
                      <w:szCs w:val="21"/>
                      <w:lang w:val="en-US" w:eastAsia="zh-CN"/>
                    </w:rPr>
                    <w:t>/</w:t>
                  </w:r>
                </w:p>
              </w:tc>
              <w:tc>
                <w:tcPr>
                  <w:tcW w:w="868" w:type="pct"/>
                  <w:shd w:val="clear" w:color="auto" w:fill="auto"/>
                  <w:noWrap w:val="0"/>
                  <w:vAlign w:val="center"/>
                </w:tcPr>
                <w:p w14:paraId="259D0B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0.216</w:t>
                  </w:r>
                </w:p>
              </w:tc>
            </w:tr>
            <w:tr w14:paraId="180EE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continue"/>
                  <w:noWrap w:val="0"/>
                  <w:vAlign w:val="center"/>
                </w:tcPr>
                <w:p w14:paraId="3235813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1752" w:type="pct"/>
                  <w:gridSpan w:val="2"/>
                  <w:noWrap w:val="0"/>
                  <w:vAlign w:val="center"/>
                </w:tcPr>
                <w:p w14:paraId="50CAFE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NH</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-N</w:t>
                  </w:r>
                </w:p>
              </w:tc>
              <w:tc>
                <w:tcPr>
                  <w:tcW w:w="768" w:type="pct"/>
                  <w:shd w:val="clear" w:color="auto" w:fill="auto"/>
                  <w:noWrap w:val="0"/>
                  <w:vAlign w:val="center"/>
                </w:tcPr>
                <w:p w14:paraId="560BB5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881" w:type="pct"/>
                  <w:noWrap w:val="0"/>
                  <w:vAlign w:val="center"/>
                </w:tcPr>
                <w:p w14:paraId="527ADF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sz w:val="21"/>
                      <w:szCs w:val="21"/>
                      <w:lang w:val="en-US" w:eastAsia="zh-CN"/>
                    </w:rPr>
                    <w:t>/</w:t>
                  </w:r>
                </w:p>
              </w:tc>
              <w:tc>
                <w:tcPr>
                  <w:tcW w:w="868" w:type="pct"/>
                  <w:shd w:val="clear" w:color="auto" w:fill="auto"/>
                  <w:noWrap w:val="0"/>
                  <w:vAlign w:val="center"/>
                </w:tcPr>
                <w:p w14:paraId="2FA353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0.025</w:t>
                  </w:r>
                </w:p>
              </w:tc>
            </w:tr>
            <w:tr w14:paraId="16B67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continue"/>
                  <w:noWrap w:val="0"/>
                  <w:vAlign w:val="center"/>
                </w:tcPr>
                <w:p w14:paraId="5148B3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1752" w:type="pct"/>
                  <w:gridSpan w:val="2"/>
                  <w:noWrap w:val="0"/>
                  <w:vAlign w:val="center"/>
                </w:tcPr>
                <w:p w14:paraId="1CFCA8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TP</w:t>
                  </w:r>
                </w:p>
              </w:tc>
              <w:tc>
                <w:tcPr>
                  <w:tcW w:w="768" w:type="pct"/>
                  <w:shd w:val="clear" w:color="auto" w:fill="auto"/>
                  <w:noWrap w:val="0"/>
                  <w:vAlign w:val="center"/>
                </w:tcPr>
                <w:p w14:paraId="214653A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4</w:t>
                  </w:r>
                </w:p>
              </w:tc>
              <w:tc>
                <w:tcPr>
                  <w:tcW w:w="881" w:type="pct"/>
                  <w:noWrap w:val="0"/>
                  <w:vAlign w:val="center"/>
                </w:tcPr>
                <w:p w14:paraId="39A960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sz w:val="21"/>
                      <w:szCs w:val="21"/>
                      <w:lang w:val="en-US" w:eastAsia="zh-CN"/>
                    </w:rPr>
                    <w:t>/</w:t>
                  </w:r>
                </w:p>
              </w:tc>
              <w:tc>
                <w:tcPr>
                  <w:tcW w:w="868" w:type="pct"/>
                  <w:shd w:val="clear" w:color="auto" w:fill="auto"/>
                  <w:noWrap w:val="0"/>
                  <w:vAlign w:val="center"/>
                </w:tcPr>
                <w:p w14:paraId="13A8936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4</w:t>
                  </w:r>
                </w:p>
              </w:tc>
            </w:tr>
            <w:tr w14:paraId="2E6DA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pct"/>
                  <w:vMerge w:val="continue"/>
                  <w:noWrap w:val="0"/>
                  <w:vAlign w:val="center"/>
                </w:tcPr>
                <w:p w14:paraId="6051331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1752" w:type="pct"/>
                  <w:gridSpan w:val="2"/>
                  <w:noWrap w:val="0"/>
                  <w:vAlign w:val="center"/>
                </w:tcPr>
                <w:p w14:paraId="2CB02C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TN</w:t>
                  </w:r>
                </w:p>
              </w:tc>
              <w:tc>
                <w:tcPr>
                  <w:tcW w:w="768" w:type="pct"/>
                  <w:shd w:val="clear" w:color="auto" w:fill="auto"/>
                  <w:noWrap w:val="0"/>
                  <w:vAlign w:val="center"/>
                </w:tcPr>
                <w:p w14:paraId="7BB088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0.036</w:t>
                  </w:r>
                </w:p>
              </w:tc>
              <w:tc>
                <w:tcPr>
                  <w:tcW w:w="881" w:type="pct"/>
                  <w:noWrap w:val="0"/>
                  <w:vAlign w:val="center"/>
                </w:tcPr>
                <w:p w14:paraId="7F673C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sz w:val="21"/>
                      <w:szCs w:val="21"/>
                      <w:lang w:val="en-US" w:eastAsia="zh-CN"/>
                    </w:rPr>
                    <w:t>/</w:t>
                  </w:r>
                </w:p>
              </w:tc>
              <w:tc>
                <w:tcPr>
                  <w:tcW w:w="868" w:type="pct"/>
                  <w:shd w:val="clear" w:color="auto" w:fill="auto"/>
                  <w:noWrap w:val="0"/>
                  <w:vAlign w:val="center"/>
                </w:tcPr>
                <w:p w14:paraId="3CD450C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0.036</w:t>
                  </w:r>
                </w:p>
              </w:tc>
            </w:tr>
          </w:tbl>
          <w:p w14:paraId="70126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val="0"/>
                <w:bCs w:val="0"/>
                <w:color w:val="auto"/>
                <w:lang w:val="en-US" w:eastAsia="zh-CN"/>
              </w:rPr>
            </w:pPr>
            <w:r>
              <w:rPr>
                <w:rFonts w:hint="eastAsia" w:cs="Times New Roman"/>
                <w:b/>
                <w:bCs/>
                <w:color w:val="auto"/>
                <w:lang w:val="en-US" w:eastAsia="zh-CN"/>
              </w:rPr>
              <w:t>注：VOCs以非甲烷总烃表征。</w:t>
            </w:r>
          </w:p>
          <w:p w14:paraId="166277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kern w:val="0"/>
                <w:szCs w:val="21"/>
                <w:lang w:val="en-US" w:eastAsia="zh-CN"/>
              </w:rPr>
            </w:pPr>
          </w:p>
          <w:p w14:paraId="22410F16">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079D15E7">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40DE0C9D">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347FDE50">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29A3EDED">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3E75AEF6">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4576AA6D">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736AC4E6">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1AB208C9">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6FDF2DCD">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50A3307A">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2BC61529">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10B57B7F">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61765602">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0A147877">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71940694">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1CA60662">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4EE13948">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101FF1EB">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445B1845">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7E4F14C7">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4C2B00D0">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5A7C9FFD">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1791128B">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751730A9">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p w14:paraId="2690BEE9">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p>
        </w:tc>
      </w:tr>
    </w:tbl>
    <w:p w14:paraId="41EB9BFF">
      <w:pPr>
        <w:pStyle w:val="22"/>
        <w:keepNext w:val="0"/>
        <w:keepLines w:val="0"/>
        <w:pageBreakBefore w:val="0"/>
        <w:widowControl/>
        <w:kinsoku/>
        <w:wordWrap/>
        <w:overflowPunct/>
        <w:topLinePunct w:val="0"/>
        <w:autoSpaceDE/>
        <w:autoSpaceDN/>
        <w:bidi w:val="0"/>
        <w:adjustRightInd/>
        <w:snapToGrid/>
        <w:spacing w:beforeLines="50" w:beforeAutospacing="0" w:afterLines="50" w:afterAutospacing="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8" w:name="_Toc17938"/>
      <w:bookmarkStart w:id="9" w:name="_Toc1176"/>
      <w:r>
        <w:rPr>
          <w:rFonts w:hint="default" w:ascii="Times New Roman" w:hAnsi="Times New Roman" w:eastAsia="黑体" w:cs="Times New Roman"/>
          <w:snapToGrid w:val="0"/>
          <w:color w:val="auto"/>
          <w:sz w:val="30"/>
          <w:szCs w:val="30"/>
        </w:rPr>
        <w:t>四、主要环境影响和保护措施</w:t>
      </w:r>
      <w:bookmarkEnd w:id="8"/>
      <w:bookmarkEnd w:id="9"/>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5"/>
        <w:gridCol w:w="9038"/>
      </w:tblGrid>
      <w:tr w14:paraId="1C1E7E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745" w:type="dxa"/>
            <w:noWrap w:val="0"/>
            <w:tcMar>
              <w:left w:w="28" w:type="dxa"/>
              <w:right w:w="28" w:type="dxa"/>
            </w:tcMar>
            <w:vAlign w:val="center"/>
          </w:tcPr>
          <w:p w14:paraId="63FDC546">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2"/>
                <w:szCs w:val="22"/>
                <w:lang w:val="en-US" w:eastAsia="zh-CN" w:bidi="ar-SA"/>
              </w:rPr>
            </w:pPr>
            <w:r>
              <w:rPr>
                <w:rFonts w:hint="default" w:ascii="Times New Roman" w:hAnsi="Times New Roman" w:cs="Times New Roman"/>
                <w:b w:val="0"/>
                <w:bCs w:val="0"/>
                <w:color w:val="auto"/>
                <w:kern w:val="2"/>
                <w:sz w:val="21"/>
                <w:szCs w:val="21"/>
              </w:rPr>
              <w:t>施工期环境保护措施</w:t>
            </w:r>
          </w:p>
        </w:tc>
        <w:tc>
          <w:tcPr>
            <w:tcW w:w="9038" w:type="dxa"/>
            <w:noWrap w:val="0"/>
            <w:vAlign w:val="center"/>
          </w:tcPr>
          <w:p w14:paraId="7E4826F9">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jc w:val="both"/>
              <w:textAlignment w:val="auto"/>
              <w:rPr>
                <w:rFonts w:hint="default" w:ascii="Times New Roman" w:hAnsi="Times New Roman" w:eastAsia="宋体" w:cs="Times New Roman"/>
                <w:b w:val="0"/>
                <w:bCs w:val="0"/>
                <w:color w:val="auto"/>
                <w:kern w:val="0"/>
                <w:sz w:val="18"/>
                <w:szCs w:val="20"/>
                <w:lang w:val="en-US" w:eastAsia="zh-CN" w:bidi="ar-SA"/>
              </w:rPr>
            </w:pPr>
            <w:r>
              <w:rPr>
                <w:rFonts w:hint="default" w:ascii="Times New Roman" w:hAnsi="Times New Roman" w:eastAsia="宋体" w:cs="Times New Roman"/>
                <w:color w:val="auto"/>
                <w:kern w:val="2"/>
                <w:sz w:val="21"/>
                <w:szCs w:val="24"/>
                <w:lang w:val="en-US" w:eastAsia="zh-CN" w:bidi="ar-SA"/>
              </w:rPr>
              <w:t>本项目利用现有空置厂房进行生产。项目施工期主要为设备安装调试，施工期较短，工程量较小，对周围环境影响较小。</w:t>
            </w:r>
          </w:p>
        </w:tc>
      </w:tr>
      <w:tr w14:paraId="6543A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745" w:type="dxa"/>
            <w:noWrap w:val="0"/>
            <w:tcMar>
              <w:left w:w="28" w:type="dxa"/>
              <w:right w:w="28" w:type="dxa"/>
            </w:tcMar>
            <w:vAlign w:val="center"/>
          </w:tcPr>
          <w:p w14:paraId="3247B100">
            <w:pPr>
              <w:pStyle w:val="13"/>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color w:val="auto"/>
                <w:kern w:val="0"/>
                <w:sz w:val="28"/>
                <w:szCs w:val="28"/>
                <w:vertAlign w:val="baseline"/>
                <w:lang w:val="en-US" w:eastAsia="zh-CN" w:bidi="ar-SA"/>
              </w:rPr>
            </w:pPr>
            <w:r>
              <w:rPr>
                <w:rFonts w:hint="default" w:ascii="Times New Roman" w:hAnsi="Times New Roman" w:cs="Times New Roman"/>
                <w:b w:val="0"/>
                <w:bCs w:val="0"/>
                <w:color w:val="auto"/>
                <w:sz w:val="21"/>
                <w:szCs w:val="21"/>
              </w:rPr>
              <w:t>运营期环境影响和保护措施</w:t>
            </w:r>
          </w:p>
        </w:tc>
        <w:tc>
          <w:tcPr>
            <w:tcW w:w="9038" w:type="dxa"/>
            <w:noWrap w:val="0"/>
            <w:vAlign w:val="center"/>
          </w:tcPr>
          <w:p w14:paraId="72EDA3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1、废气</w:t>
            </w:r>
          </w:p>
          <w:p w14:paraId="29380F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（1）污染物产生情况</w:t>
            </w:r>
          </w:p>
          <w:p w14:paraId="56BB94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有组织废气：</w:t>
            </w:r>
          </w:p>
          <w:p w14:paraId="02048725">
            <w:pPr>
              <w:pStyle w:val="2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b/>
                <w:bCs/>
                <w:color w:val="auto"/>
                <w:lang w:val="en-US" w:eastAsia="zh-CN"/>
              </w:rPr>
              <w:t>①</w:t>
            </w:r>
            <w:r>
              <w:rPr>
                <w:rFonts w:hint="eastAsia" w:ascii="Times New Roman" w:hAnsi="Times New Roman" w:eastAsia="宋体" w:cs="Times New Roman"/>
                <w:b/>
                <w:bCs/>
                <w:color w:val="auto"/>
                <w:kern w:val="2"/>
                <w:sz w:val="21"/>
                <w:szCs w:val="24"/>
                <w:lang w:val="en-US" w:eastAsia="zh-CN" w:bidi="ar-SA"/>
              </w:rPr>
              <w:t>涂胶废气G1：</w:t>
            </w:r>
          </w:p>
          <w:p w14:paraId="1990EA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b w:val="0"/>
                <w:bCs w:val="0"/>
                <w:color w:val="auto"/>
                <w:lang w:val="en-US" w:eastAsia="zh-CN"/>
              </w:rPr>
            </w:pPr>
            <w:r>
              <w:rPr>
                <w:rFonts w:hint="eastAsia" w:ascii="Times New Roman" w:hAnsi="Times New Roman" w:eastAsia="宋体" w:cs="Times New Roman"/>
                <w:b w:val="0"/>
                <w:bCs w:val="0"/>
                <w:color w:val="auto"/>
                <w:lang w:val="en-US" w:eastAsia="zh-CN"/>
              </w:rPr>
              <w:t>本项目水性胶粘剂挥发组分全部挥发产生有机废气，以非甲烷总烃计；根据VOC检测报告（A2210031574101001E）可知VOCs含量为2g/L，即质量占比约为0.19%。本项目水性胶粘剂年用量为0.08t，</w:t>
            </w:r>
            <w:r>
              <w:rPr>
                <w:rFonts w:hint="eastAsia" w:cs="Times New Roman"/>
                <w:b w:val="0"/>
                <w:bCs w:val="0"/>
                <w:color w:val="auto"/>
                <w:szCs w:val="21"/>
                <w:lang w:val="en-US" w:eastAsia="zh-CN"/>
              </w:rPr>
              <w:t>非甲烷总烃产生量为1.52×10</w:t>
            </w:r>
            <w:r>
              <w:rPr>
                <w:rFonts w:hint="eastAsia" w:cs="Times New Roman"/>
                <w:b w:val="0"/>
                <w:bCs w:val="0"/>
                <w:color w:val="auto"/>
                <w:szCs w:val="21"/>
                <w:vertAlign w:val="superscript"/>
                <w:lang w:val="en-US" w:eastAsia="zh-CN"/>
              </w:rPr>
              <w:t>-4</w:t>
            </w:r>
            <w:r>
              <w:rPr>
                <w:rFonts w:hint="eastAsia" w:cs="Times New Roman"/>
                <w:b w:val="0"/>
                <w:bCs w:val="0"/>
                <w:color w:val="auto"/>
                <w:szCs w:val="21"/>
                <w:lang w:val="en-US" w:eastAsia="zh-CN"/>
              </w:rPr>
              <w:t>t/a</w:t>
            </w:r>
            <w:r>
              <w:rPr>
                <w:rFonts w:hint="eastAsia" w:cs="Times New Roman"/>
                <w:b w:val="0"/>
                <w:bCs w:val="0"/>
                <w:color w:val="auto"/>
                <w:lang w:val="en-US" w:eastAsia="zh-CN"/>
              </w:rPr>
              <w:t>。由于该工段</w:t>
            </w:r>
            <w:r>
              <w:rPr>
                <w:rFonts w:hint="eastAsia" w:cs="Times New Roman"/>
                <w:b w:val="0"/>
                <w:bCs w:val="0"/>
                <w:color w:val="auto"/>
                <w:szCs w:val="21"/>
                <w:lang w:val="en-US" w:eastAsia="zh-CN"/>
              </w:rPr>
              <w:t>非甲烷总烃</w:t>
            </w:r>
            <w:r>
              <w:rPr>
                <w:rFonts w:hint="eastAsia" w:cs="Times New Roman"/>
                <w:b w:val="0"/>
                <w:bCs w:val="0"/>
                <w:color w:val="auto"/>
                <w:lang w:val="en-US" w:eastAsia="zh-CN"/>
              </w:rPr>
              <w:t>产生量极少，故本项目不作定量分析。</w:t>
            </w:r>
          </w:p>
          <w:p w14:paraId="6867BC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lang w:val="en-US" w:eastAsia="zh-CN"/>
              </w:rPr>
            </w:pPr>
            <w:r>
              <w:rPr>
                <w:rFonts w:hint="eastAsia" w:cs="Times New Roman"/>
                <w:b w:val="0"/>
                <w:bCs w:val="0"/>
                <w:color w:val="auto"/>
                <w:lang w:val="en-US" w:eastAsia="zh-CN"/>
              </w:rPr>
              <w:t>本项目涂胶工段</w:t>
            </w:r>
            <w:r>
              <w:rPr>
                <w:rFonts w:hint="eastAsia" w:ascii="Times New Roman" w:hAnsi="Times New Roman" w:eastAsia="宋体" w:cs="Times New Roman"/>
                <w:color w:val="auto"/>
                <w:lang w:val="en-US" w:eastAsia="zh-CN"/>
              </w:rPr>
              <w:t>年工作时间600h，</w:t>
            </w:r>
            <w:r>
              <w:rPr>
                <w:rFonts w:hint="eastAsia" w:cs="Times New Roman"/>
                <w:b w:val="0"/>
                <w:bCs w:val="0"/>
                <w:color w:val="auto"/>
                <w:szCs w:val="21"/>
                <w:lang w:val="en-US" w:eastAsia="zh-CN"/>
              </w:rPr>
              <w:t>于炼胶房</w:t>
            </w:r>
            <w:r>
              <w:rPr>
                <w:rFonts w:hint="default" w:cs="Times New Roman"/>
                <w:b w:val="0"/>
                <w:bCs w:val="0"/>
                <w:color w:val="auto"/>
                <w:szCs w:val="21"/>
                <w:lang w:val="en-US" w:eastAsia="zh-CN"/>
              </w:rPr>
              <w:t>内进行</w:t>
            </w:r>
            <w:r>
              <w:rPr>
                <w:rFonts w:hint="eastAsia" w:ascii="Times New Roman" w:hAnsi="Times New Roman" w:eastAsia="宋体" w:cs="Times New Roman"/>
                <w:color w:val="auto"/>
                <w:lang w:val="en-US" w:eastAsia="zh-CN"/>
              </w:rPr>
              <w:t>。涂胶废气</w:t>
            </w:r>
            <w:r>
              <w:rPr>
                <w:rFonts w:hint="default" w:cs="Times New Roman"/>
                <w:b w:val="0"/>
                <w:bCs w:val="0"/>
                <w:color w:val="auto"/>
                <w:szCs w:val="21"/>
                <w:lang w:val="en-US" w:eastAsia="zh-CN"/>
              </w:rPr>
              <w:t>经</w:t>
            </w:r>
            <w:r>
              <w:rPr>
                <w:rFonts w:hint="eastAsia" w:cs="Times New Roman"/>
                <w:b w:val="0"/>
                <w:bCs w:val="0"/>
                <w:color w:val="auto"/>
                <w:szCs w:val="21"/>
                <w:lang w:val="en-US" w:eastAsia="zh-CN"/>
              </w:rPr>
              <w:t>密闭</w:t>
            </w:r>
            <w:r>
              <w:rPr>
                <w:rFonts w:hint="default" w:cs="Times New Roman"/>
                <w:b w:val="0"/>
                <w:bCs w:val="0"/>
                <w:color w:val="auto"/>
                <w:szCs w:val="21"/>
                <w:lang w:val="en-US" w:eastAsia="zh-CN"/>
              </w:rPr>
              <w:t>收集后通过一套“</w:t>
            </w:r>
            <w:r>
              <w:rPr>
                <w:rFonts w:hint="eastAsia" w:cs="Times New Roman"/>
                <w:b w:val="0"/>
                <w:bCs w:val="0"/>
                <w:color w:val="auto"/>
                <w:szCs w:val="21"/>
                <w:lang w:val="en-US" w:eastAsia="zh-CN"/>
              </w:rPr>
              <w:t>脉冲除尘+</w:t>
            </w:r>
            <w:r>
              <w:rPr>
                <w:rFonts w:hint="default" w:cs="Times New Roman"/>
                <w:b w:val="0"/>
                <w:bCs w:val="0"/>
                <w:color w:val="auto"/>
                <w:szCs w:val="21"/>
                <w:lang w:val="en-US" w:eastAsia="zh-CN"/>
              </w:rPr>
              <w:t>水喷淋+除雾+两级活性炭吸附”装置（TA00</w:t>
            </w:r>
            <w:r>
              <w:rPr>
                <w:rFonts w:hint="eastAsia" w:cs="Times New Roman"/>
                <w:b w:val="0"/>
                <w:bCs w:val="0"/>
                <w:color w:val="auto"/>
                <w:szCs w:val="21"/>
                <w:lang w:val="en-US" w:eastAsia="zh-CN"/>
              </w:rPr>
              <w:t>2</w:t>
            </w:r>
            <w:r>
              <w:rPr>
                <w:rFonts w:hint="default" w:cs="Times New Roman"/>
                <w:b w:val="0"/>
                <w:bCs w:val="0"/>
                <w:color w:val="auto"/>
                <w:szCs w:val="21"/>
                <w:lang w:val="en-US" w:eastAsia="zh-CN"/>
              </w:rPr>
              <w:t>）处理，尾气通过一根15m高排气筒（DA002）排放</w:t>
            </w:r>
            <w:r>
              <w:rPr>
                <w:rFonts w:hint="default" w:ascii="Times New Roman" w:hAnsi="Times New Roman" w:eastAsia="宋体" w:cs="Times New Roman"/>
                <w:color w:val="auto"/>
                <w:lang w:val="en-US" w:eastAsia="zh-CN"/>
              </w:rPr>
              <w:t>。</w:t>
            </w:r>
          </w:p>
          <w:p w14:paraId="6F084E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color w:val="auto"/>
                <w:lang w:val="en-US" w:eastAsia="zh-CN"/>
              </w:rPr>
              <w:t>本项目采用的</w:t>
            </w:r>
            <w:r>
              <w:rPr>
                <w:rFonts w:hint="eastAsia" w:ascii="Times New Roman" w:hAnsi="Times New Roman" w:eastAsia="宋体" w:cs="Times New Roman"/>
                <w:color w:val="auto"/>
                <w:lang w:val="en-US" w:eastAsia="zh-CN"/>
              </w:rPr>
              <w:t>“两级活性炭吸附”</w:t>
            </w:r>
            <w:r>
              <w:rPr>
                <w:rFonts w:hint="default" w:ascii="Times New Roman" w:hAnsi="Times New Roman" w:eastAsia="宋体" w:cs="Times New Roman"/>
                <w:color w:val="auto"/>
                <w:lang w:val="en-US" w:eastAsia="zh-CN"/>
              </w:rPr>
              <w:t>工艺为可行性技术</w:t>
            </w:r>
            <w:r>
              <w:rPr>
                <w:rFonts w:hint="eastAsia" w:ascii="Times New Roman" w:hAnsi="Times New Roman" w:eastAsia="宋体" w:cs="Times New Roman"/>
                <w:color w:val="auto"/>
                <w:lang w:val="en-US" w:eastAsia="zh-CN"/>
              </w:rPr>
              <w:t>，处理能力为</w:t>
            </w:r>
            <w:r>
              <w:rPr>
                <w:rFonts w:hint="eastAsia" w:cs="Times New Roman"/>
                <w:color w:val="auto"/>
                <w:lang w:val="en-US" w:eastAsia="zh-CN"/>
              </w:rPr>
              <w:t>15000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/h</w:t>
            </w:r>
            <w:r>
              <w:rPr>
                <w:rFonts w:hint="eastAsia" w:ascii="Times New Roman" w:hAnsi="Times New Roman" w:eastAsia="宋体" w:cs="Times New Roman"/>
                <w:color w:val="auto"/>
                <w:lang w:val="en-US" w:eastAsia="zh-CN"/>
              </w:rPr>
              <w:t>。</w:t>
            </w:r>
          </w:p>
          <w:p w14:paraId="5C842F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cs="Times New Roman"/>
                <w:b/>
                <w:bCs/>
                <w:color w:val="auto"/>
                <w:lang w:val="en-US" w:eastAsia="zh-CN"/>
              </w:rPr>
            </w:pPr>
            <w:r>
              <w:rPr>
                <w:rFonts w:hint="eastAsia" w:cs="Times New Roman"/>
                <w:b/>
                <w:bCs/>
                <w:color w:val="auto"/>
                <w:lang w:val="en-US" w:eastAsia="zh-CN"/>
              </w:rPr>
              <w:t>根据《排污许可证申请与核发技术规范 橡胶和塑料制品工业》（HJ1122-2020）、《橡胶制品生产过程中废气污染物的排放系数》（施晓亮，橡胶工业2016年第63卷）中美国橡胶制造者协会（RMA）对橡胶制品中31类橡胶原料或轮胎生产加工过程各类废气污染物排放系数的测试结果、《空气污染物排放系数汇编》（俗称AP-42）、《橡胶制品工业工艺废气排放因子探讨》（四川环境，2013年第32卷）以及《橡胶制品工业含硫恶臭气体分析与评价》（丁学峰等，《环境科学导刊》2014年第3期）中橡胶制品生产过程中硫化氢的产排污系数研究，确定项目炼胶过程产污因子主要为非甲烷总烃、硫化氢、二硫化碳。</w:t>
            </w:r>
          </w:p>
          <w:p w14:paraId="7D5811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kern w:val="2"/>
                <w:sz w:val="21"/>
                <w:szCs w:val="24"/>
                <w:lang w:val="en-US" w:eastAsia="zh-CN" w:bidi="ar-SA"/>
              </w:rPr>
              <w:t>②</w:t>
            </w:r>
            <w:r>
              <w:rPr>
                <w:rFonts w:hint="eastAsia" w:cs="Times New Roman"/>
                <w:b/>
                <w:bCs/>
                <w:color w:val="auto"/>
                <w:lang w:val="en-US" w:eastAsia="zh-CN"/>
              </w:rPr>
              <w:t>密炼废气G2、开炼废气G3、硫化废气G4</w:t>
            </w:r>
            <w:r>
              <w:rPr>
                <w:rFonts w:hint="eastAsia" w:ascii="Times New Roman" w:hAnsi="Times New Roman" w:eastAsia="宋体" w:cs="Times New Roman"/>
                <w:b/>
                <w:bCs/>
                <w:color w:val="auto"/>
                <w:lang w:val="en-US" w:eastAsia="zh-CN"/>
              </w:rPr>
              <w:t>：</w:t>
            </w:r>
          </w:p>
          <w:p w14:paraId="1B545D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cs="Times New Roman"/>
                <w:b w:val="0"/>
                <w:bCs w:val="0"/>
                <w:color w:val="auto"/>
                <w:szCs w:val="21"/>
                <w:lang w:val="en-US" w:eastAsia="zh-CN"/>
              </w:rPr>
            </w:pPr>
            <w:r>
              <w:rPr>
                <w:rFonts w:hint="default" w:cs="Times New Roman"/>
                <w:b/>
                <w:bCs/>
                <w:color w:val="auto"/>
                <w:szCs w:val="21"/>
                <w:lang w:val="en-US" w:eastAsia="zh-CN"/>
              </w:rPr>
              <w:t>项目密炼过程加入粉料（促进剂等辅料），因此密炼过程中</w:t>
            </w:r>
            <w:r>
              <w:rPr>
                <w:rFonts w:hint="eastAsia" w:cs="Times New Roman"/>
                <w:b/>
                <w:bCs/>
                <w:color w:val="auto"/>
                <w:szCs w:val="21"/>
                <w:lang w:val="en-US" w:eastAsia="zh-CN"/>
              </w:rPr>
              <w:t>还需</w:t>
            </w:r>
            <w:r>
              <w:rPr>
                <w:rFonts w:hint="default" w:cs="Times New Roman"/>
                <w:b/>
                <w:bCs/>
                <w:color w:val="auto"/>
                <w:szCs w:val="21"/>
                <w:lang w:val="en-US" w:eastAsia="zh-CN"/>
              </w:rPr>
              <w:t>考虑颗粒物</w:t>
            </w:r>
            <w:r>
              <w:rPr>
                <w:rFonts w:hint="eastAsia" w:cs="Times New Roman"/>
                <w:b/>
                <w:bCs/>
                <w:color w:val="auto"/>
                <w:szCs w:val="21"/>
                <w:lang w:val="en-US" w:eastAsia="zh-CN"/>
              </w:rPr>
              <w:t>。</w:t>
            </w:r>
            <w:r>
              <w:rPr>
                <w:rFonts w:hint="eastAsia" w:cs="Times New Roman"/>
                <w:b w:val="0"/>
                <w:bCs w:val="0"/>
                <w:color w:val="auto"/>
                <w:szCs w:val="21"/>
                <w:lang w:val="en-US" w:eastAsia="zh-CN"/>
              </w:rPr>
              <w:t>根据《排污许可证申请与核发技术规范 橡胶和塑料制品工业》（HJ1122-2020）</w:t>
            </w:r>
            <w:r>
              <w:rPr>
                <w:rFonts w:hint="eastAsia" w:cs="Times New Roman"/>
                <w:b w:val="0"/>
                <w:bCs w:val="0"/>
                <w:color w:val="auto"/>
                <w:kern w:val="2"/>
                <w:sz w:val="21"/>
                <w:szCs w:val="21"/>
                <w:lang w:val="en-US" w:eastAsia="zh-CN" w:bidi="ar-SA"/>
              </w:rPr>
              <w:t>-混炼、硫化工段</w:t>
            </w:r>
            <w:r>
              <w:rPr>
                <w:rFonts w:hint="eastAsia" w:cs="Times New Roman"/>
                <w:b w:val="0"/>
                <w:bCs w:val="0"/>
                <w:color w:val="auto"/>
                <w:szCs w:val="21"/>
                <w:lang w:val="en-US" w:eastAsia="zh-CN"/>
              </w:rPr>
              <w:t>，颗粒物产污系数为10.074kg/t-三胶，非甲烷总烃产污系数为4.898kg/t-三胶。</w:t>
            </w:r>
            <w:r>
              <w:rPr>
                <w:rFonts w:hint="default" w:cs="Times New Roman"/>
                <w:b w:val="0"/>
                <w:bCs w:val="0"/>
                <w:color w:val="auto"/>
                <w:szCs w:val="21"/>
                <w:lang w:val="en-US" w:eastAsia="zh-CN"/>
              </w:rPr>
              <w:t>本项目</w:t>
            </w:r>
            <w:r>
              <w:rPr>
                <w:rFonts w:hint="eastAsia" w:cs="Times New Roman"/>
                <w:b w:val="0"/>
                <w:bCs w:val="0"/>
                <w:color w:val="auto"/>
                <w:lang w:val="en-US" w:eastAsia="zh-CN"/>
              </w:rPr>
              <w:t>生胶</w:t>
            </w:r>
            <w:r>
              <w:rPr>
                <w:rFonts w:hint="default" w:cs="Times New Roman"/>
                <w:b w:val="0"/>
                <w:bCs w:val="0"/>
                <w:color w:val="auto"/>
                <w:szCs w:val="21"/>
                <w:lang w:val="en-US" w:eastAsia="zh-CN"/>
              </w:rPr>
              <w:t>用量为</w:t>
            </w:r>
            <w:r>
              <w:rPr>
                <w:rFonts w:hint="eastAsia" w:cs="Times New Roman"/>
                <w:b w:val="0"/>
                <w:bCs w:val="0"/>
                <w:color w:val="auto"/>
                <w:szCs w:val="21"/>
                <w:lang w:val="en-US" w:eastAsia="zh-CN"/>
              </w:rPr>
              <w:t>12</w:t>
            </w:r>
            <w:r>
              <w:rPr>
                <w:rFonts w:hint="default" w:cs="Times New Roman"/>
                <w:b w:val="0"/>
                <w:bCs w:val="0"/>
                <w:color w:val="auto"/>
                <w:szCs w:val="21"/>
                <w:lang w:val="en-US" w:eastAsia="zh-CN"/>
              </w:rPr>
              <w:t>0t/a，</w:t>
            </w:r>
            <w:r>
              <w:rPr>
                <w:rFonts w:hint="eastAsia" w:cs="Times New Roman"/>
                <w:b w:val="0"/>
                <w:bCs w:val="0"/>
                <w:color w:val="auto"/>
                <w:szCs w:val="21"/>
                <w:lang w:val="en-US" w:eastAsia="zh-CN"/>
              </w:rPr>
              <w:t>辅料用量为4.3t/a，则</w:t>
            </w:r>
            <w:r>
              <w:rPr>
                <w:rFonts w:hint="default" w:cs="Times New Roman"/>
                <w:b w:val="0"/>
                <w:bCs w:val="0"/>
                <w:color w:val="auto"/>
                <w:szCs w:val="21"/>
                <w:lang w:val="en-US" w:eastAsia="zh-CN"/>
              </w:rPr>
              <w:t>颗粒物产生量为</w:t>
            </w:r>
            <w:r>
              <w:rPr>
                <w:rFonts w:hint="eastAsia" w:cs="Times New Roman"/>
                <w:b w:val="0"/>
                <w:bCs w:val="0"/>
                <w:color w:val="auto"/>
                <w:szCs w:val="21"/>
                <w:lang w:val="en-US" w:eastAsia="zh-CN"/>
              </w:rPr>
              <w:t>1.252</w:t>
            </w:r>
            <w:r>
              <w:rPr>
                <w:rFonts w:hint="default" w:cs="Times New Roman"/>
                <w:b w:val="0"/>
                <w:bCs w:val="0"/>
                <w:color w:val="auto"/>
                <w:szCs w:val="21"/>
                <w:lang w:val="en-US" w:eastAsia="zh-CN"/>
              </w:rPr>
              <w:t>t/a</w:t>
            </w:r>
            <w:r>
              <w:rPr>
                <w:rFonts w:hint="eastAsia" w:cs="Times New Roman"/>
                <w:b w:val="0"/>
                <w:bCs w:val="0"/>
                <w:color w:val="auto"/>
                <w:szCs w:val="21"/>
                <w:lang w:val="en-US" w:eastAsia="zh-CN"/>
              </w:rPr>
              <w:t>，非甲烷总烃产生量为0.609t/a</w:t>
            </w:r>
            <w:r>
              <w:rPr>
                <w:rFonts w:hint="default" w:cs="Times New Roman"/>
                <w:b w:val="0"/>
                <w:bCs w:val="0"/>
                <w:color w:val="auto"/>
                <w:szCs w:val="21"/>
                <w:lang w:val="en-US" w:eastAsia="zh-CN"/>
              </w:rPr>
              <w:t>。</w:t>
            </w:r>
            <w:r>
              <w:rPr>
                <w:rFonts w:hint="eastAsia" w:cs="Times New Roman"/>
                <w:b w:val="0"/>
                <w:bCs w:val="0"/>
                <w:color w:val="auto"/>
                <w:szCs w:val="21"/>
                <w:lang w:val="en-US" w:eastAsia="zh-CN"/>
              </w:rPr>
              <w:t>参考《橡胶制品工业工艺废气排放因子探讨》（四川环境，2013年第32卷）、《橡胶制品工业含硫恶臭气体分析与评价》（丁学峰等，《环境科学导刊》2014年第3期），炼胶工段硫化氢的产物系数为3.2×10</w:t>
            </w:r>
            <w:r>
              <w:rPr>
                <w:rFonts w:hint="eastAsia" w:cs="Times New Roman"/>
                <w:b w:val="0"/>
                <w:bCs w:val="0"/>
                <w:color w:val="auto"/>
                <w:szCs w:val="21"/>
                <w:vertAlign w:val="superscript"/>
                <w:lang w:val="en-US" w:eastAsia="zh-CN"/>
              </w:rPr>
              <w:t>-8</w:t>
            </w:r>
            <w:r>
              <w:rPr>
                <w:rFonts w:hint="eastAsia" w:cs="Times New Roman"/>
                <w:b w:val="0"/>
                <w:bCs w:val="0"/>
                <w:color w:val="auto"/>
                <w:szCs w:val="21"/>
                <w:lang w:val="en-US" w:eastAsia="zh-CN"/>
              </w:rPr>
              <w:t>t/t-胶，硫化工段硫化氢的产物系数为1.36×10</w:t>
            </w:r>
            <w:r>
              <w:rPr>
                <w:rFonts w:hint="eastAsia" w:cs="Times New Roman"/>
                <w:b w:val="0"/>
                <w:bCs w:val="0"/>
                <w:color w:val="auto"/>
                <w:szCs w:val="21"/>
                <w:vertAlign w:val="superscript"/>
                <w:lang w:val="en-US" w:eastAsia="zh-CN"/>
              </w:rPr>
              <w:t>-7</w:t>
            </w:r>
            <w:r>
              <w:rPr>
                <w:rFonts w:hint="eastAsia" w:cs="Times New Roman"/>
                <w:b w:val="0"/>
                <w:bCs w:val="0"/>
                <w:color w:val="auto"/>
                <w:szCs w:val="21"/>
                <w:lang w:val="en-US" w:eastAsia="zh-CN"/>
              </w:rPr>
              <w:t>t/t-胶，则炼胶工段硫化氢产生量为5.9×10</w:t>
            </w:r>
            <w:r>
              <w:rPr>
                <w:rFonts w:hint="eastAsia" w:cs="Times New Roman"/>
                <w:b w:val="0"/>
                <w:bCs w:val="0"/>
                <w:color w:val="auto"/>
                <w:szCs w:val="21"/>
                <w:vertAlign w:val="superscript"/>
                <w:lang w:val="en-US" w:eastAsia="zh-CN"/>
              </w:rPr>
              <w:t>-6</w:t>
            </w:r>
            <w:r>
              <w:rPr>
                <w:rFonts w:hint="eastAsia" w:cs="Times New Roman"/>
                <w:b w:val="0"/>
                <w:bCs w:val="0"/>
                <w:color w:val="auto"/>
                <w:szCs w:val="21"/>
                <w:lang w:val="en-US" w:eastAsia="zh-CN"/>
              </w:rPr>
              <w:t>t，硫化工段硫化氢产生量为2.5×10</w:t>
            </w:r>
            <w:r>
              <w:rPr>
                <w:rFonts w:hint="eastAsia" w:cs="Times New Roman"/>
                <w:b w:val="0"/>
                <w:bCs w:val="0"/>
                <w:color w:val="auto"/>
                <w:szCs w:val="21"/>
                <w:vertAlign w:val="superscript"/>
                <w:lang w:val="en-US" w:eastAsia="zh-CN"/>
              </w:rPr>
              <w:t>-5</w:t>
            </w:r>
            <w:r>
              <w:rPr>
                <w:rFonts w:hint="eastAsia" w:cs="Times New Roman"/>
                <w:b w:val="0"/>
                <w:bCs w:val="0"/>
                <w:color w:val="auto"/>
                <w:szCs w:val="21"/>
                <w:lang w:val="en-US" w:eastAsia="zh-CN"/>
              </w:rPr>
              <w:t>t。</w:t>
            </w:r>
            <w:r>
              <w:rPr>
                <w:rFonts w:hint="eastAsia" w:cs="Times New Roman"/>
                <w:b w:val="0"/>
                <w:bCs w:val="0"/>
                <w:color w:val="auto"/>
                <w:lang w:val="en-US" w:eastAsia="zh-CN"/>
              </w:rPr>
              <w:t>由于上述工段</w:t>
            </w:r>
            <w:r>
              <w:rPr>
                <w:rFonts w:hint="eastAsia" w:cs="Times New Roman"/>
                <w:b w:val="0"/>
                <w:bCs w:val="0"/>
                <w:color w:val="auto"/>
                <w:szCs w:val="21"/>
                <w:lang w:val="en-US" w:eastAsia="zh-CN"/>
              </w:rPr>
              <w:t>硫化氢</w:t>
            </w:r>
            <w:r>
              <w:rPr>
                <w:rFonts w:hint="eastAsia" w:cs="Times New Roman"/>
                <w:b w:val="0"/>
                <w:bCs w:val="0"/>
                <w:color w:val="auto"/>
                <w:lang w:val="en-US" w:eastAsia="zh-CN"/>
              </w:rPr>
              <w:t>产生量极少，故本项目不作定量分析。参考《橡胶制品生产过程中废气污染物的排放系数》（施晓亮，橡胶工业2016年第63卷），橡胶在混炼过程中二硫化碳的最大排放系数为103mg/kg，在硫化罐硫化过程中二硫化碳的最大排放系数为5930mg/kg，排放系数以加工消耗的橡胶原料所排放的污染物质量表示，则炼胶工段二硫化碳产生量为0.013t/a，硫化工段二硫化碳产生量为0.737t/a。</w:t>
            </w:r>
          </w:p>
          <w:p w14:paraId="1DC814DB">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cs="Times New Roman"/>
                <w:b w:val="0"/>
                <w:bCs w:val="0"/>
                <w:color w:val="auto"/>
                <w:szCs w:val="21"/>
                <w:lang w:val="en-US" w:eastAsia="zh-CN"/>
              </w:rPr>
            </w:pPr>
            <w:r>
              <w:rPr>
                <w:rFonts w:hint="default" w:cs="Times New Roman"/>
                <w:b w:val="0"/>
                <w:bCs w:val="0"/>
                <w:color w:val="auto"/>
                <w:szCs w:val="21"/>
                <w:lang w:val="en-US" w:eastAsia="zh-CN"/>
              </w:rPr>
              <w:t>本项目</w:t>
            </w:r>
            <w:r>
              <w:rPr>
                <w:rFonts w:hint="eastAsia" w:cs="Times New Roman"/>
                <w:b w:val="0"/>
                <w:bCs w:val="0"/>
                <w:color w:val="auto"/>
                <w:szCs w:val="21"/>
                <w:lang w:val="en-US" w:eastAsia="zh-CN"/>
              </w:rPr>
              <w:t>炼胶、硫化</w:t>
            </w:r>
            <w:r>
              <w:rPr>
                <w:rFonts w:hint="default" w:cs="Times New Roman"/>
                <w:b w:val="0"/>
                <w:bCs w:val="0"/>
                <w:color w:val="auto"/>
                <w:szCs w:val="21"/>
                <w:lang w:val="en-US" w:eastAsia="zh-CN"/>
              </w:rPr>
              <w:t>工段</w:t>
            </w:r>
            <w:r>
              <w:rPr>
                <w:rFonts w:hint="eastAsia" w:ascii="Times New Roman" w:hAnsi="Times New Roman" w:eastAsia="宋体" w:cs="Times New Roman"/>
                <w:color w:val="auto"/>
                <w:lang w:val="en-US" w:eastAsia="zh-CN"/>
              </w:rPr>
              <w:t>年工作时间</w:t>
            </w:r>
            <w:r>
              <w:rPr>
                <w:rFonts w:hint="eastAsia" w:cs="Times New Roman"/>
                <w:color w:val="auto"/>
                <w:lang w:val="en-US" w:eastAsia="zh-CN"/>
              </w:rPr>
              <w:t>3000h</w:t>
            </w:r>
            <w:r>
              <w:rPr>
                <w:rFonts w:hint="default" w:cs="Times New Roman"/>
                <w:b w:val="0"/>
                <w:bCs w:val="0"/>
                <w:color w:val="auto"/>
                <w:szCs w:val="21"/>
                <w:lang w:val="en-US" w:eastAsia="zh-CN"/>
              </w:rPr>
              <w:t>，</w:t>
            </w:r>
            <w:r>
              <w:rPr>
                <w:rFonts w:hint="eastAsia" w:cs="Times New Roman"/>
                <w:b w:val="0"/>
                <w:bCs w:val="0"/>
                <w:color w:val="auto"/>
                <w:szCs w:val="21"/>
                <w:lang w:val="en-US" w:eastAsia="zh-CN"/>
              </w:rPr>
              <w:t>于炼胶房内进行。炼胶、硫化</w:t>
            </w:r>
            <w:r>
              <w:rPr>
                <w:rFonts w:hint="default" w:cs="Times New Roman"/>
                <w:b w:val="0"/>
                <w:bCs w:val="0"/>
                <w:color w:val="auto"/>
                <w:szCs w:val="21"/>
                <w:lang w:val="en-US" w:eastAsia="zh-CN"/>
              </w:rPr>
              <w:t>废气</w:t>
            </w:r>
            <w:r>
              <w:rPr>
                <w:rFonts w:hint="eastAsia" w:cs="Times New Roman"/>
                <w:b w:val="0"/>
                <w:bCs w:val="0"/>
                <w:color w:val="auto"/>
                <w:szCs w:val="21"/>
                <w:lang w:val="en-US" w:eastAsia="zh-CN"/>
              </w:rPr>
              <w:t>经密闭收集</w:t>
            </w:r>
            <w:r>
              <w:rPr>
                <w:rFonts w:hint="default" w:cs="Times New Roman"/>
                <w:b w:val="0"/>
                <w:bCs w:val="0"/>
                <w:color w:val="auto"/>
                <w:szCs w:val="21"/>
                <w:lang w:val="en-US" w:eastAsia="zh-CN"/>
              </w:rPr>
              <w:t>收集</w:t>
            </w:r>
            <w:r>
              <w:rPr>
                <w:rFonts w:hint="eastAsia" w:cs="Times New Roman"/>
                <w:b w:val="0"/>
                <w:bCs w:val="0"/>
                <w:color w:val="auto"/>
                <w:szCs w:val="21"/>
                <w:lang w:val="en-US" w:eastAsia="zh-CN"/>
              </w:rPr>
              <w:t>（捕集率95%）</w:t>
            </w:r>
            <w:r>
              <w:rPr>
                <w:rFonts w:hint="default" w:cs="Times New Roman"/>
                <w:b w:val="0"/>
                <w:bCs w:val="0"/>
                <w:color w:val="auto"/>
                <w:szCs w:val="21"/>
                <w:lang w:val="en-US" w:eastAsia="zh-CN"/>
              </w:rPr>
              <w:t>后通过一套“</w:t>
            </w:r>
            <w:r>
              <w:rPr>
                <w:rFonts w:hint="eastAsia" w:cs="Times New Roman"/>
                <w:b w:val="0"/>
                <w:bCs w:val="0"/>
                <w:color w:val="auto"/>
                <w:szCs w:val="21"/>
                <w:lang w:val="en-US" w:eastAsia="zh-CN"/>
              </w:rPr>
              <w:t>脉冲除尘+</w:t>
            </w:r>
            <w:r>
              <w:rPr>
                <w:rFonts w:hint="default" w:cs="Times New Roman"/>
                <w:b w:val="0"/>
                <w:bCs w:val="0"/>
                <w:color w:val="auto"/>
                <w:szCs w:val="21"/>
                <w:lang w:val="en-US" w:eastAsia="zh-CN"/>
              </w:rPr>
              <w:t>水喷淋+除雾+两级活性炭吸附”装置（TA00</w:t>
            </w:r>
            <w:r>
              <w:rPr>
                <w:rFonts w:hint="eastAsia" w:cs="Times New Roman"/>
                <w:b w:val="0"/>
                <w:bCs w:val="0"/>
                <w:color w:val="auto"/>
                <w:szCs w:val="21"/>
                <w:lang w:val="en-US" w:eastAsia="zh-CN"/>
              </w:rPr>
              <w:t>2</w:t>
            </w:r>
            <w:r>
              <w:rPr>
                <w:rFonts w:hint="default" w:cs="Times New Roman"/>
                <w:b w:val="0"/>
                <w:bCs w:val="0"/>
                <w:color w:val="auto"/>
                <w:szCs w:val="21"/>
                <w:lang w:val="en-US" w:eastAsia="zh-CN"/>
              </w:rPr>
              <w:t>）处理，尾气通过一根15m高排气筒（DA002）排放</w:t>
            </w:r>
            <w:r>
              <w:rPr>
                <w:rFonts w:hint="default" w:ascii="Times New Roman" w:hAnsi="Times New Roman" w:eastAsia="宋体" w:cs="Times New Roman"/>
                <w:color w:val="auto"/>
                <w:lang w:val="en-US" w:eastAsia="zh-CN"/>
              </w:rPr>
              <w:t>。</w:t>
            </w:r>
          </w:p>
          <w:p w14:paraId="282F69A3">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cs="Times New Roman"/>
                <w:b w:val="0"/>
                <w:bCs w:val="0"/>
                <w:color w:val="auto"/>
                <w:szCs w:val="21"/>
                <w:lang w:val="en-US" w:eastAsia="zh-CN"/>
              </w:rPr>
            </w:pPr>
            <w:r>
              <w:rPr>
                <w:rFonts w:hint="default" w:cs="Times New Roman"/>
                <w:b w:val="0"/>
                <w:bCs w:val="0"/>
                <w:color w:val="auto"/>
                <w:szCs w:val="21"/>
                <w:lang w:val="en-US" w:eastAsia="zh-CN"/>
              </w:rPr>
              <w:t>本项目采用的</w:t>
            </w:r>
            <w:r>
              <w:rPr>
                <w:rFonts w:hint="eastAsia" w:cs="Times New Roman"/>
                <w:b w:val="0"/>
                <w:bCs w:val="0"/>
                <w:color w:val="auto"/>
                <w:szCs w:val="21"/>
                <w:lang w:val="en-US" w:eastAsia="zh-CN"/>
              </w:rPr>
              <w:t>“</w:t>
            </w:r>
            <w:r>
              <w:rPr>
                <w:rFonts w:hint="eastAsia" w:ascii="Times New Roman" w:hAnsi="Times New Roman" w:eastAsia="宋体" w:cs="Times New Roman"/>
                <w:color w:val="auto"/>
                <w:lang w:val="en-US" w:eastAsia="zh-CN"/>
              </w:rPr>
              <w:t>脉冲除尘</w:t>
            </w:r>
            <w:r>
              <w:rPr>
                <w:rFonts w:hint="eastAsia" w:cs="Times New Roman"/>
                <w:b w:val="0"/>
                <w:bCs w:val="0"/>
                <w:color w:val="auto"/>
                <w:szCs w:val="21"/>
                <w:lang w:val="en-US" w:eastAsia="zh-CN"/>
              </w:rPr>
              <w:t>+水喷淋+除雾+两级活性炭吸附”</w:t>
            </w:r>
            <w:r>
              <w:rPr>
                <w:rFonts w:hint="default" w:cs="Times New Roman"/>
                <w:b w:val="0"/>
                <w:bCs w:val="0"/>
                <w:color w:val="auto"/>
                <w:szCs w:val="21"/>
                <w:lang w:val="en-US" w:eastAsia="zh-CN"/>
              </w:rPr>
              <w:t>为可行性技术，装置处理能力为</w:t>
            </w:r>
            <w:r>
              <w:rPr>
                <w:rFonts w:hint="eastAsia" w:cs="Times New Roman"/>
                <w:b w:val="0"/>
                <w:bCs w:val="0"/>
                <w:color w:val="auto"/>
                <w:szCs w:val="21"/>
                <w:lang w:val="en-US" w:eastAsia="zh-CN"/>
              </w:rPr>
              <w:t>15000</w:t>
            </w:r>
            <w:r>
              <w:rPr>
                <w:rFonts w:hint="default" w:cs="Times New Roman"/>
                <w:b w:val="0"/>
                <w:bCs w:val="0"/>
                <w:color w:val="auto"/>
                <w:szCs w:val="21"/>
                <w:lang w:val="en-US" w:eastAsia="zh-CN"/>
              </w:rPr>
              <w:t>m</w:t>
            </w:r>
            <w:r>
              <w:rPr>
                <w:rFonts w:hint="default" w:cs="Times New Roman"/>
                <w:b w:val="0"/>
                <w:bCs w:val="0"/>
                <w:color w:val="auto"/>
                <w:szCs w:val="21"/>
                <w:vertAlign w:val="superscript"/>
                <w:lang w:val="en-US" w:eastAsia="zh-CN"/>
              </w:rPr>
              <w:t>3</w:t>
            </w:r>
            <w:r>
              <w:rPr>
                <w:rFonts w:hint="default" w:cs="Times New Roman"/>
                <w:b w:val="0"/>
                <w:bCs w:val="0"/>
                <w:color w:val="auto"/>
                <w:szCs w:val="21"/>
                <w:lang w:val="en-US" w:eastAsia="zh-CN"/>
              </w:rPr>
              <w:t>/h，</w:t>
            </w:r>
            <w:r>
              <w:rPr>
                <w:rFonts w:hint="eastAsia" w:cs="Times New Roman"/>
                <w:b w:val="0"/>
                <w:bCs w:val="0"/>
                <w:color w:val="auto"/>
                <w:szCs w:val="21"/>
                <w:lang w:val="en-US" w:eastAsia="zh-CN"/>
              </w:rPr>
              <w:t>其中颗粒物</w:t>
            </w:r>
            <w:r>
              <w:rPr>
                <w:rFonts w:hint="default" w:cs="Times New Roman"/>
                <w:b w:val="0"/>
                <w:bCs w:val="0"/>
                <w:color w:val="auto"/>
                <w:szCs w:val="21"/>
                <w:lang w:val="en-US" w:eastAsia="zh-CN"/>
              </w:rPr>
              <w:t>去除率为9</w:t>
            </w:r>
            <w:r>
              <w:rPr>
                <w:rFonts w:hint="eastAsia" w:cs="Times New Roman"/>
                <w:b w:val="0"/>
                <w:bCs w:val="0"/>
                <w:color w:val="auto"/>
                <w:szCs w:val="21"/>
                <w:lang w:val="en-US" w:eastAsia="zh-CN"/>
              </w:rPr>
              <w:t>9.5</w:t>
            </w:r>
            <w:r>
              <w:rPr>
                <w:rFonts w:hint="default" w:cs="Times New Roman"/>
                <w:b w:val="0"/>
                <w:bCs w:val="0"/>
                <w:color w:val="auto"/>
                <w:szCs w:val="21"/>
                <w:lang w:val="en-US" w:eastAsia="zh-CN"/>
              </w:rPr>
              <w:t>%</w:t>
            </w:r>
            <w:r>
              <w:rPr>
                <w:rFonts w:hint="eastAsia" w:cs="Times New Roman"/>
                <w:b w:val="0"/>
                <w:bCs w:val="0"/>
                <w:color w:val="auto"/>
                <w:szCs w:val="21"/>
                <w:lang w:val="en-US" w:eastAsia="zh-CN"/>
              </w:rPr>
              <w:t>，非甲烷总烃去除率90%，参照《应用再生活性炭回收二硫化碳废气简介》（戴善华）：活性炭对二硫化碳的去除率约为90%</w:t>
            </w:r>
            <w:r>
              <w:rPr>
                <w:rFonts w:hint="default" w:cs="Times New Roman"/>
                <w:b w:val="0"/>
                <w:bCs w:val="0"/>
                <w:color w:val="auto"/>
                <w:szCs w:val="21"/>
                <w:lang w:val="en-US" w:eastAsia="zh-CN"/>
              </w:rPr>
              <w:t>。</w:t>
            </w:r>
          </w:p>
          <w:p w14:paraId="7DC723FE">
            <w:pPr>
              <w:keepNext w:val="0"/>
              <w:keepLines w:val="0"/>
              <w:suppressLineNumbers w:val="0"/>
              <w:adjustRightInd w:val="0"/>
              <w:snapToGrid w:val="0"/>
              <w:spacing w:before="0" w:beforeAutospacing="0" w:after="0" w:afterAutospacing="0" w:line="360" w:lineRule="auto"/>
              <w:ind w:left="0" w:right="0" w:firstLine="422" w:firstLineChars="200"/>
              <w:jc w:val="both"/>
              <w:rPr>
                <w:rFonts w:hint="eastAsia" w:ascii="Times New Roman" w:hAnsi="Times New Roman" w:eastAsia="宋体" w:cs="Times New Roman"/>
                <w:b/>
                <w:bCs/>
                <w:color w:val="auto"/>
                <w:szCs w:val="21"/>
                <w:lang w:val="en-US" w:eastAsia="zh-CN"/>
              </w:rPr>
            </w:pPr>
            <w:r>
              <w:rPr>
                <w:rFonts w:hint="eastAsia" w:cs="Times New Roman"/>
                <w:b/>
                <w:bCs/>
                <w:color w:val="auto"/>
                <w:lang w:val="en-US" w:eastAsia="zh-CN"/>
              </w:rPr>
              <w:t>③</w:t>
            </w:r>
            <w:r>
              <w:rPr>
                <w:rFonts w:hint="eastAsia" w:ascii="Times New Roman" w:hAnsi="Times New Roman" w:eastAsia="宋体" w:cs="Times New Roman"/>
                <w:b/>
                <w:bCs/>
                <w:color w:val="auto"/>
                <w:szCs w:val="21"/>
                <w:lang w:val="en-US" w:eastAsia="zh-CN"/>
              </w:rPr>
              <w:t>磨圆粉尘G</w:t>
            </w:r>
            <w:r>
              <w:rPr>
                <w:rFonts w:hint="eastAsia" w:cs="Times New Roman"/>
                <w:b/>
                <w:bCs/>
                <w:color w:val="auto"/>
                <w:szCs w:val="21"/>
                <w:lang w:val="en-US" w:eastAsia="zh-CN"/>
              </w:rPr>
              <w:t>5</w:t>
            </w:r>
            <w:r>
              <w:rPr>
                <w:rFonts w:hint="eastAsia" w:ascii="Times New Roman" w:hAnsi="Times New Roman" w:eastAsia="宋体" w:cs="Times New Roman"/>
                <w:b/>
                <w:bCs/>
                <w:color w:val="auto"/>
                <w:szCs w:val="21"/>
                <w:lang w:val="en-US" w:eastAsia="zh-CN"/>
              </w:rPr>
              <w:t>：</w:t>
            </w:r>
          </w:p>
          <w:p w14:paraId="164AC806">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本项目仅部分胶辊需进行磨圆，根据建设单位提供资料，所需磨圆胶辊约50t/a，参考</w:t>
            </w:r>
            <w:r>
              <w:rPr>
                <w:rFonts w:hint="eastAsia" w:cs="Times New Roman"/>
                <w:b w:val="0"/>
                <w:bCs w:val="0"/>
                <w:color w:val="auto"/>
                <w:szCs w:val="21"/>
                <w:lang w:val="en-US" w:eastAsia="zh-CN"/>
              </w:rPr>
              <w:t>《排放源统计调查产排污核算方法和系数手册》-33-37，431-434机械行业系数手册-预处理-打磨工段，颗粒物产污系数为2.19kg/t原料，则磨圆工段颗粒物产生量为0.11t/a。</w:t>
            </w:r>
          </w:p>
          <w:p w14:paraId="1E553C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b w:val="0"/>
                <w:bCs w:val="0"/>
                <w:color w:val="auto"/>
                <w:lang w:val="en-US" w:eastAsia="zh-CN"/>
              </w:rPr>
            </w:pPr>
            <w:r>
              <w:rPr>
                <w:rFonts w:hint="eastAsia" w:ascii="Times New Roman" w:hAnsi="Times New Roman" w:eastAsia="宋体" w:cs="Times New Roman"/>
                <w:b w:val="0"/>
                <w:bCs w:val="0"/>
                <w:color w:val="auto"/>
                <w:szCs w:val="21"/>
                <w:lang w:val="en-US" w:eastAsia="zh-CN"/>
              </w:rPr>
              <w:t>磨圆</w:t>
            </w:r>
            <w:r>
              <w:rPr>
                <w:rFonts w:hint="eastAsia" w:cs="Times New Roman"/>
                <w:b w:val="0"/>
                <w:bCs w:val="0"/>
                <w:color w:val="auto"/>
                <w:lang w:val="en-US" w:eastAsia="zh-CN"/>
              </w:rPr>
              <w:t>工段年工作时间1500h，</w:t>
            </w:r>
            <w:r>
              <w:rPr>
                <w:rFonts w:hint="eastAsia" w:ascii="Times New Roman" w:hAnsi="Times New Roman" w:eastAsia="宋体" w:cs="Times New Roman"/>
                <w:b w:val="0"/>
                <w:bCs w:val="0"/>
                <w:color w:val="auto"/>
                <w:szCs w:val="21"/>
                <w:lang w:val="en-US" w:eastAsia="zh-CN"/>
              </w:rPr>
              <w:t>磨圆</w:t>
            </w:r>
            <w:r>
              <w:rPr>
                <w:rFonts w:hint="eastAsia" w:cs="Times New Roman"/>
                <w:b w:val="0"/>
                <w:bCs w:val="0"/>
                <w:color w:val="auto"/>
                <w:lang w:val="en-US" w:eastAsia="zh-CN"/>
              </w:rPr>
              <w:t>粉尘顶部设集气罩+垂帘（捕集率90%）进行收集后通过一套“袋式除尘”装置（TA001）处理，尾气通过一根15m高排气筒（DA001）排放</w:t>
            </w:r>
            <w:r>
              <w:rPr>
                <w:rFonts w:hint="default" w:ascii="Times New Roman" w:hAnsi="Times New Roman" w:eastAsia="宋体" w:cs="Times New Roman"/>
                <w:b w:val="0"/>
                <w:bCs w:val="0"/>
                <w:color w:val="auto"/>
                <w:lang w:val="en-US" w:eastAsia="zh-CN"/>
              </w:rPr>
              <w:t>。</w:t>
            </w:r>
          </w:p>
          <w:p w14:paraId="4809C651">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cs="Times New Roman"/>
                <w:b w:val="0"/>
                <w:bCs w:val="0"/>
                <w:color w:val="auto"/>
                <w:szCs w:val="21"/>
                <w:lang w:val="en-US" w:eastAsia="zh-CN"/>
              </w:rPr>
            </w:pPr>
            <w:r>
              <w:rPr>
                <w:rFonts w:hint="default" w:cs="Times New Roman"/>
                <w:b w:val="0"/>
                <w:bCs w:val="0"/>
                <w:color w:val="auto"/>
                <w:szCs w:val="21"/>
                <w:lang w:val="en-US" w:eastAsia="zh-CN"/>
              </w:rPr>
              <w:t>本项目采用的</w:t>
            </w:r>
            <w:r>
              <w:rPr>
                <w:rFonts w:hint="eastAsia" w:cs="Times New Roman"/>
                <w:b w:val="0"/>
                <w:bCs w:val="0"/>
                <w:color w:val="auto"/>
                <w:szCs w:val="21"/>
                <w:lang w:val="en-US" w:eastAsia="zh-CN"/>
              </w:rPr>
              <w:t>“袋式除尘”</w:t>
            </w:r>
            <w:r>
              <w:rPr>
                <w:rFonts w:hint="default" w:cs="Times New Roman"/>
                <w:b w:val="0"/>
                <w:bCs w:val="0"/>
                <w:color w:val="auto"/>
                <w:szCs w:val="21"/>
                <w:lang w:val="en-US" w:eastAsia="zh-CN"/>
              </w:rPr>
              <w:t>为可行性技术，装置处理能力为</w:t>
            </w:r>
            <w:r>
              <w:rPr>
                <w:rFonts w:hint="eastAsia" w:cs="Times New Roman"/>
                <w:b w:val="0"/>
                <w:bCs w:val="0"/>
                <w:color w:val="auto"/>
                <w:szCs w:val="21"/>
                <w:lang w:val="en-US" w:eastAsia="zh-CN"/>
              </w:rPr>
              <w:t>5000</w:t>
            </w:r>
            <w:r>
              <w:rPr>
                <w:rFonts w:hint="default" w:cs="Times New Roman"/>
                <w:b w:val="0"/>
                <w:bCs w:val="0"/>
                <w:color w:val="auto"/>
                <w:szCs w:val="21"/>
                <w:lang w:val="en-US" w:eastAsia="zh-CN"/>
              </w:rPr>
              <w:t>m</w:t>
            </w:r>
            <w:r>
              <w:rPr>
                <w:rFonts w:hint="default" w:cs="Times New Roman"/>
                <w:b w:val="0"/>
                <w:bCs w:val="0"/>
                <w:color w:val="auto"/>
                <w:szCs w:val="21"/>
                <w:vertAlign w:val="superscript"/>
                <w:lang w:val="en-US" w:eastAsia="zh-CN"/>
              </w:rPr>
              <w:t>3</w:t>
            </w:r>
            <w:r>
              <w:rPr>
                <w:rFonts w:hint="default" w:cs="Times New Roman"/>
                <w:b w:val="0"/>
                <w:bCs w:val="0"/>
                <w:color w:val="auto"/>
                <w:szCs w:val="21"/>
                <w:lang w:val="en-US" w:eastAsia="zh-CN"/>
              </w:rPr>
              <w:t>/h，</w:t>
            </w:r>
            <w:r>
              <w:rPr>
                <w:rFonts w:hint="eastAsia" w:cs="Times New Roman"/>
                <w:b w:val="0"/>
                <w:bCs w:val="0"/>
                <w:color w:val="auto"/>
                <w:szCs w:val="21"/>
                <w:lang w:val="en-US" w:eastAsia="zh-CN"/>
              </w:rPr>
              <w:t>颗粒物</w:t>
            </w:r>
            <w:r>
              <w:rPr>
                <w:rFonts w:hint="default" w:cs="Times New Roman"/>
                <w:b w:val="0"/>
                <w:bCs w:val="0"/>
                <w:color w:val="auto"/>
                <w:szCs w:val="21"/>
                <w:lang w:val="en-US" w:eastAsia="zh-CN"/>
              </w:rPr>
              <w:t>去除率为9</w:t>
            </w:r>
            <w:r>
              <w:rPr>
                <w:rFonts w:hint="eastAsia" w:cs="Times New Roman"/>
                <w:b w:val="0"/>
                <w:bCs w:val="0"/>
                <w:color w:val="auto"/>
                <w:szCs w:val="21"/>
                <w:lang w:val="en-US" w:eastAsia="zh-CN"/>
              </w:rPr>
              <w:t>0</w:t>
            </w:r>
            <w:r>
              <w:rPr>
                <w:rFonts w:hint="default" w:cs="Times New Roman"/>
                <w:b w:val="0"/>
                <w:bCs w:val="0"/>
                <w:color w:val="auto"/>
                <w:szCs w:val="21"/>
                <w:lang w:val="en-US" w:eastAsia="zh-CN"/>
              </w:rPr>
              <w:t>%。</w:t>
            </w:r>
          </w:p>
          <w:p w14:paraId="638494AD">
            <w:pPr>
              <w:keepNext w:val="0"/>
              <w:keepLines w:val="0"/>
              <w:suppressLineNumbers w:val="0"/>
              <w:adjustRightInd w:val="0"/>
              <w:snapToGrid w:val="0"/>
              <w:spacing w:before="0" w:beforeAutospacing="0" w:after="0" w:afterAutospacing="0" w:line="360" w:lineRule="auto"/>
              <w:ind w:left="0" w:right="0" w:firstLine="422" w:firstLineChars="200"/>
              <w:jc w:val="both"/>
              <w:rPr>
                <w:rFonts w:hint="default" w:eastAsia="宋体" w:cs="Times New Roman"/>
                <w:b/>
                <w:bCs/>
                <w:color w:val="auto"/>
                <w:szCs w:val="21"/>
                <w:lang w:val="en-US" w:eastAsia="zh-CN"/>
              </w:rPr>
            </w:pPr>
            <w:r>
              <w:rPr>
                <w:rFonts w:hint="eastAsia" w:cs="Times New Roman"/>
                <w:b/>
                <w:bCs/>
                <w:color w:val="auto"/>
                <w:szCs w:val="21"/>
                <w:lang w:val="en-US" w:eastAsia="zh-CN"/>
              </w:rPr>
              <w:t>④</w:t>
            </w:r>
            <w:r>
              <w:rPr>
                <w:rFonts w:hint="eastAsia" w:eastAsia="宋体" w:cs="Times New Roman"/>
                <w:b/>
                <w:bCs/>
                <w:color w:val="auto"/>
                <w:szCs w:val="21"/>
                <w:lang w:val="en-US" w:eastAsia="zh-CN"/>
              </w:rPr>
              <w:t>危废仓库废气</w:t>
            </w:r>
          </w:p>
          <w:p w14:paraId="7E719396">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b w:val="0"/>
                <w:bCs w:val="0"/>
                <w:color w:val="auto"/>
                <w:szCs w:val="21"/>
                <w:lang w:val="en-US" w:eastAsia="zh-CN"/>
              </w:rPr>
            </w:pPr>
            <w:r>
              <w:rPr>
                <w:rFonts w:hint="eastAsia" w:eastAsia="宋体" w:cs="Times New Roman"/>
                <w:b w:val="0"/>
                <w:bCs w:val="0"/>
                <w:color w:val="auto"/>
                <w:szCs w:val="21"/>
                <w:lang w:val="en-US" w:eastAsia="zh-CN"/>
              </w:rPr>
              <w:t>全厂产生的危险废物包括含胶劳保用品、废活性炭、喷淋废液、废切削液、废包装桶，其中废切削液、喷淋废液均存放于密闭桶内，含胶劳保用品、废活性炭均存放于密封袋中。因此各类危险废物挥发产生有机废气量极小，故本项目仅做定性分析，原则上无需对危废仓库废气进行收集处理。</w:t>
            </w:r>
          </w:p>
          <w:p w14:paraId="6F7E89B8">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32D56292">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1734DA5E">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62D91E06">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06AE59C4">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6FE3ECB2">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1EFB9910">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1301A9B3">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648A0E96">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5E1FB1D2">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047AC00C">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44E953E5">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2413CD10">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747A77FE">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1E8AFE98">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3612DF4E">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234F1900">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51E34008">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72ACAB02">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025E0715">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696AEA71">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2577C1EE">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63B8C985">
            <w:pPr>
              <w:pStyle w:val="34"/>
              <w:keepNext w:val="0"/>
              <w:keepLines w:val="0"/>
              <w:suppressLineNumbers w:val="0"/>
              <w:spacing w:before="0" w:beforeAutospacing="0" w:after="0" w:afterAutospacing="0"/>
              <w:ind w:left="0" w:right="0"/>
              <w:rPr>
                <w:rFonts w:hint="eastAsia" w:cs="Times New Roman"/>
                <w:color w:val="auto"/>
                <w:lang w:val="en-US" w:eastAsia="zh-CN"/>
              </w:rPr>
            </w:pPr>
          </w:p>
          <w:p w14:paraId="6E43A03D">
            <w:pPr>
              <w:pStyle w:val="34"/>
              <w:keepNext w:val="0"/>
              <w:keepLines w:val="0"/>
              <w:suppressLineNumbers w:val="0"/>
              <w:spacing w:before="0" w:beforeAutospacing="0" w:after="0" w:afterAutospacing="0"/>
              <w:ind w:left="0" w:leftChars="0" w:right="0" w:firstLine="0" w:firstLineChars="0"/>
              <w:rPr>
                <w:rFonts w:hint="eastAsia" w:cs="Times New Roman"/>
                <w:color w:val="auto"/>
                <w:lang w:val="en-US" w:eastAsia="zh-CN"/>
              </w:rPr>
            </w:pPr>
          </w:p>
        </w:tc>
      </w:tr>
    </w:tbl>
    <w:p w14:paraId="00063F97">
      <w:pPr>
        <w:adjustRightInd w:val="0"/>
        <w:snapToGrid w:val="0"/>
        <w:jc w:val="center"/>
        <w:rPr>
          <w:rFonts w:hint="default" w:ascii="Times New Roman" w:hAnsi="Times New Roman" w:cs="Times New Roman"/>
          <w:b w:val="0"/>
          <w:bCs w:val="0"/>
          <w:color w:val="auto"/>
          <w:sz w:val="21"/>
          <w:szCs w:val="21"/>
        </w:rPr>
        <w:sectPr>
          <w:pgSz w:w="11907" w:h="16840"/>
          <w:pgMar w:top="1191" w:right="1400" w:bottom="1417" w:left="1088"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8"/>
        <w:tblW w:w="0" w:type="auto"/>
        <w:tblInd w:w="-1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4041"/>
      </w:tblGrid>
      <w:tr w14:paraId="6C54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44" w:hRule="atLeast"/>
        </w:trPr>
        <w:tc>
          <w:tcPr>
            <w:tcW w:w="721" w:type="dxa"/>
            <w:noWrap w:val="0"/>
            <w:vAlign w:val="center"/>
          </w:tcPr>
          <w:p w14:paraId="3A37C4DB">
            <w:pPr>
              <w:pStyle w:val="13"/>
              <w:keepNext w:val="0"/>
              <w:keepLines w:val="0"/>
              <w:numPr>
                <w:ilvl w:val="0"/>
                <w:numId w:val="0"/>
              </w:numPr>
              <w:suppressLineNumbers w:val="0"/>
              <w:spacing w:before="0" w:beforeAutospacing="0" w:after="0" w:afterAutospacing="0"/>
              <w:ind w:left="0" w:right="0"/>
              <w:jc w:val="center"/>
              <w:rPr>
                <w:rFonts w:hint="default" w:ascii="Times New Roman" w:hAnsi="Times New Roman" w:cs="Times New Roman"/>
                <w:b/>
                <w:color w:val="auto"/>
                <w:kern w:val="0"/>
                <w:sz w:val="28"/>
                <w:szCs w:val="28"/>
                <w:vertAlign w:val="baseline"/>
              </w:rPr>
            </w:pPr>
            <w:r>
              <w:rPr>
                <w:rFonts w:hint="default" w:ascii="Times New Roman" w:hAnsi="Times New Roman" w:cs="Times New Roman"/>
                <w:b w:val="0"/>
                <w:bCs w:val="0"/>
                <w:color w:val="auto"/>
                <w:sz w:val="21"/>
                <w:szCs w:val="21"/>
              </w:rPr>
              <w:t>运营期环境影响和保护措施</w:t>
            </w:r>
          </w:p>
        </w:tc>
        <w:tc>
          <w:tcPr>
            <w:tcW w:w="14041" w:type="dxa"/>
            <w:noWrap w:val="0"/>
            <w:vAlign w:val="top"/>
          </w:tcPr>
          <w:p w14:paraId="318ACCFF">
            <w:pPr>
              <w:pStyle w:val="8"/>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260" w:lineRule="auto"/>
              <w:ind w:left="0" w:right="113" w:firstLine="420" w:firstLineChars="200"/>
              <w:jc w:val="both"/>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本项目有组织废气产</w:t>
            </w:r>
            <w:r>
              <w:rPr>
                <w:rFonts w:hint="eastAsia" w:cs="Times New Roman"/>
                <w:b w:val="0"/>
                <w:bCs/>
                <w:color w:val="auto"/>
                <w:sz w:val="21"/>
                <w:szCs w:val="21"/>
                <w:lang w:val="en-US" w:eastAsia="zh-CN"/>
              </w:rPr>
              <w:t>排</w:t>
            </w:r>
            <w:r>
              <w:rPr>
                <w:rFonts w:hint="default" w:ascii="Times New Roman" w:hAnsi="Times New Roman" w:eastAsia="宋体" w:cs="Times New Roman"/>
                <w:b w:val="0"/>
                <w:bCs/>
                <w:color w:val="auto"/>
                <w:sz w:val="21"/>
                <w:szCs w:val="21"/>
                <w:lang w:val="en-US" w:eastAsia="zh-CN"/>
              </w:rPr>
              <w:t>情况见表4-1</w:t>
            </w:r>
            <w:r>
              <w:rPr>
                <w:rFonts w:hint="eastAsia" w:cs="Times New Roman"/>
                <w:b w:val="0"/>
                <w:bCs/>
                <w:color w:val="auto"/>
                <w:sz w:val="21"/>
                <w:szCs w:val="21"/>
                <w:lang w:val="en-US" w:eastAsia="zh-CN"/>
              </w:rPr>
              <w:t>、表4-2</w:t>
            </w:r>
            <w:r>
              <w:rPr>
                <w:rFonts w:hint="default" w:ascii="Times New Roman" w:hAnsi="Times New Roman" w:eastAsia="宋体" w:cs="Times New Roman"/>
                <w:b w:val="0"/>
                <w:bCs/>
                <w:color w:val="auto"/>
                <w:sz w:val="21"/>
                <w:szCs w:val="21"/>
                <w:lang w:val="en-US" w:eastAsia="zh-CN"/>
              </w:rPr>
              <w:t>。</w:t>
            </w:r>
          </w:p>
          <w:p w14:paraId="36A5120B">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4-1</w:t>
            </w:r>
            <w:r>
              <w:rPr>
                <w:rFonts w:hint="default" w:ascii="Times New Roman" w:hAnsi="Times New Roman" w:eastAsia="宋体" w:cs="Times New Roman"/>
                <w:b/>
                <w:color w:val="auto"/>
                <w:sz w:val="21"/>
                <w:szCs w:val="21"/>
              </w:rPr>
              <w:t xml:space="preserve">  本项目有组织废气产</w:t>
            </w:r>
            <w:r>
              <w:rPr>
                <w:rFonts w:hint="eastAsia" w:cs="Times New Roman"/>
                <w:b/>
                <w:color w:val="auto"/>
                <w:sz w:val="21"/>
                <w:szCs w:val="21"/>
                <w:lang w:val="en-US" w:eastAsia="zh-CN"/>
              </w:rPr>
              <w:t>生</w:t>
            </w:r>
            <w:r>
              <w:rPr>
                <w:rFonts w:hint="default" w:ascii="Times New Roman" w:hAnsi="Times New Roman" w:eastAsia="宋体" w:cs="Times New Roman"/>
                <w:b/>
                <w:color w:val="auto"/>
                <w:sz w:val="21"/>
                <w:szCs w:val="21"/>
                <w:lang w:eastAsia="zh-CN"/>
              </w:rPr>
              <w:t>情况一览</w:t>
            </w:r>
            <w:r>
              <w:rPr>
                <w:rFonts w:hint="default" w:ascii="Times New Roman" w:hAnsi="Times New Roman" w:eastAsia="宋体" w:cs="Times New Roman"/>
                <w:b/>
                <w:color w:val="auto"/>
                <w:sz w:val="21"/>
                <w:szCs w:val="21"/>
              </w:rPr>
              <w:t>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34"/>
              <w:gridCol w:w="1714"/>
              <w:gridCol w:w="2115"/>
              <w:gridCol w:w="2118"/>
              <w:gridCol w:w="2115"/>
              <w:gridCol w:w="2124"/>
            </w:tblGrid>
            <w:tr w14:paraId="7F3E1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4" w:type="pct"/>
                  <w:vMerge w:val="restart"/>
                  <w:noWrap w:val="0"/>
                  <w:vAlign w:val="center"/>
                </w:tcPr>
                <w:p w14:paraId="7AD68D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污染源名称</w:t>
                  </w:r>
                </w:p>
              </w:tc>
              <w:tc>
                <w:tcPr>
                  <w:tcW w:w="620" w:type="pct"/>
                  <w:vMerge w:val="restart"/>
                  <w:noWrap w:val="0"/>
                  <w:vAlign w:val="center"/>
                </w:tcPr>
                <w:p w14:paraId="3ECEAE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废气量m</w:t>
                  </w:r>
                  <w:r>
                    <w:rPr>
                      <w:rFonts w:hint="default" w:ascii="Times New Roman" w:hAnsi="Times New Roman" w:eastAsia="仿宋" w:cs="Times New Roman"/>
                      <w:color w:val="auto"/>
                      <w:kern w:val="0"/>
                      <w:sz w:val="21"/>
                      <w:szCs w:val="21"/>
                      <w:vertAlign w:val="superscript"/>
                      <w:lang w:val="en-US" w:eastAsia="zh-CN" w:bidi="ar-SA"/>
                    </w:rPr>
                    <w:t>3</w:t>
                  </w:r>
                  <w:r>
                    <w:rPr>
                      <w:rFonts w:hint="default" w:ascii="Times New Roman" w:hAnsi="Times New Roman" w:eastAsia="仿宋" w:cs="Times New Roman"/>
                      <w:color w:val="auto"/>
                      <w:kern w:val="0"/>
                      <w:sz w:val="21"/>
                      <w:szCs w:val="21"/>
                      <w:lang w:val="en-US" w:eastAsia="zh-CN" w:bidi="ar-SA"/>
                    </w:rPr>
                    <w:t>/h</w:t>
                  </w:r>
                </w:p>
              </w:tc>
              <w:tc>
                <w:tcPr>
                  <w:tcW w:w="3065" w:type="pct"/>
                  <w:gridSpan w:val="4"/>
                  <w:noWrap w:val="0"/>
                  <w:vAlign w:val="center"/>
                </w:tcPr>
                <w:p w14:paraId="107135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产生情况</w:t>
                  </w:r>
                </w:p>
              </w:tc>
            </w:tr>
            <w:tr w14:paraId="6FE3A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4" w:type="pct"/>
                  <w:vMerge w:val="continue"/>
                  <w:noWrap w:val="0"/>
                  <w:vAlign w:val="center"/>
                </w:tcPr>
                <w:p w14:paraId="344459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620" w:type="pct"/>
                  <w:vMerge w:val="continue"/>
                  <w:noWrap w:val="0"/>
                  <w:vAlign w:val="center"/>
                </w:tcPr>
                <w:p w14:paraId="6136AE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765" w:type="pct"/>
                  <w:noWrap w:val="0"/>
                  <w:vAlign w:val="center"/>
                </w:tcPr>
                <w:p w14:paraId="038008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污染因子</w:t>
                  </w:r>
                </w:p>
              </w:tc>
              <w:tc>
                <w:tcPr>
                  <w:tcW w:w="766" w:type="pct"/>
                  <w:noWrap w:val="0"/>
                  <w:vAlign w:val="center"/>
                </w:tcPr>
                <w:p w14:paraId="79B9BF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浓度mg/m</w:t>
                  </w:r>
                  <w:r>
                    <w:rPr>
                      <w:rFonts w:hint="default" w:ascii="Times New Roman" w:hAnsi="Times New Roman" w:eastAsia="仿宋" w:cs="Times New Roman"/>
                      <w:color w:val="auto"/>
                      <w:kern w:val="0"/>
                      <w:sz w:val="21"/>
                      <w:szCs w:val="21"/>
                      <w:vertAlign w:val="superscript"/>
                      <w:lang w:val="en-US" w:eastAsia="zh-CN" w:bidi="ar-SA"/>
                    </w:rPr>
                    <w:t>3</w:t>
                  </w:r>
                </w:p>
              </w:tc>
              <w:tc>
                <w:tcPr>
                  <w:tcW w:w="765" w:type="pct"/>
                  <w:noWrap w:val="0"/>
                  <w:vAlign w:val="center"/>
                </w:tcPr>
                <w:p w14:paraId="040CDB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速率kg/h</w:t>
                  </w:r>
                </w:p>
              </w:tc>
              <w:tc>
                <w:tcPr>
                  <w:tcW w:w="768" w:type="pct"/>
                  <w:noWrap w:val="0"/>
                  <w:vAlign w:val="center"/>
                </w:tcPr>
                <w:p w14:paraId="2F1AD1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产生量t/a</w:t>
                  </w:r>
                </w:p>
              </w:tc>
            </w:tr>
            <w:tr w14:paraId="089C5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4" w:type="pct"/>
                  <w:noWrap w:val="0"/>
                  <w:vAlign w:val="center"/>
                </w:tcPr>
                <w:p w14:paraId="7A338CF9">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磨圆粉尘G5</w:t>
                  </w:r>
                </w:p>
              </w:tc>
              <w:tc>
                <w:tcPr>
                  <w:tcW w:w="620" w:type="pct"/>
                  <w:noWrap w:val="0"/>
                  <w:vAlign w:val="center"/>
                </w:tcPr>
                <w:p w14:paraId="1EC938B4">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5000（1500h）</w:t>
                  </w:r>
                </w:p>
              </w:tc>
              <w:tc>
                <w:tcPr>
                  <w:tcW w:w="765" w:type="pct"/>
                  <w:noWrap w:val="0"/>
                  <w:vAlign w:val="center"/>
                </w:tcPr>
                <w:p w14:paraId="490571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颗粒物</w:t>
                  </w:r>
                </w:p>
              </w:tc>
              <w:tc>
                <w:tcPr>
                  <w:tcW w:w="766" w:type="pct"/>
                  <w:noWrap w:val="0"/>
                  <w:vAlign w:val="center"/>
                </w:tcPr>
                <w:p w14:paraId="2CCA20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13.14</w:t>
                  </w:r>
                </w:p>
              </w:tc>
              <w:tc>
                <w:tcPr>
                  <w:tcW w:w="765" w:type="pct"/>
                  <w:noWrap w:val="0"/>
                  <w:vAlign w:val="center"/>
                </w:tcPr>
                <w:p w14:paraId="6763AA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0.066</w:t>
                  </w:r>
                </w:p>
              </w:tc>
              <w:tc>
                <w:tcPr>
                  <w:tcW w:w="768" w:type="pct"/>
                  <w:noWrap w:val="0"/>
                  <w:vAlign w:val="center"/>
                </w:tcPr>
                <w:p w14:paraId="68F2FB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0.099</w:t>
                  </w:r>
                </w:p>
              </w:tc>
            </w:tr>
            <w:tr w14:paraId="301FF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4" w:type="pct"/>
                  <w:vMerge w:val="restart"/>
                  <w:noWrap w:val="0"/>
                  <w:vAlign w:val="center"/>
                </w:tcPr>
                <w:p w14:paraId="480753AE">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炼胶废气G2、G3、硫化废气G4</w:t>
                  </w:r>
                </w:p>
              </w:tc>
              <w:tc>
                <w:tcPr>
                  <w:tcW w:w="620" w:type="pct"/>
                  <w:vMerge w:val="restart"/>
                  <w:noWrap w:val="0"/>
                  <w:vAlign w:val="center"/>
                </w:tcPr>
                <w:p w14:paraId="65DE7EA9">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15000（3000h）</w:t>
                  </w:r>
                </w:p>
              </w:tc>
              <w:tc>
                <w:tcPr>
                  <w:tcW w:w="765" w:type="pct"/>
                  <w:noWrap w:val="0"/>
                  <w:vAlign w:val="center"/>
                </w:tcPr>
                <w:p w14:paraId="64325F9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颗粒物</w:t>
                  </w:r>
                </w:p>
              </w:tc>
              <w:tc>
                <w:tcPr>
                  <w:tcW w:w="766" w:type="pct"/>
                  <w:noWrap w:val="0"/>
                  <w:vAlign w:val="center"/>
                </w:tcPr>
                <w:p w14:paraId="769B8397">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26.435</w:t>
                  </w:r>
                </w:p>
              </w:tc>
              <w:tc>
                <w:tcPr>
                  <w:tcW w:w="765" w:type="pct"/>
                  <w:noWrap w:val="0"/>
                  <w:vAlign w:val="center"/>
                </w:tcPr>
                <w:p w14:paraId="7E0ABB11">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0.397</w:t>
                  </w:r>
                </w:p>
              </w:tc>
              <w:tc>
                <w:tcPr>
                  <w:tcW w:w="768" w:type="pct"/>
                  <w:noWrap w:val="0"/>
                  <w:vAlign w:val="center"/>
                </w:tcPr>
                <w:p w14:paraId="57FB2EF8">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1.19</w:t>
                  </w:r>
                </w:p>
              </w:tc>
            </w:tr>
            <w:tr w14:paraId="7B039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4" w:type="pct"/>
                  <w:vMerge w:val="continue"/>
                  <w:noWrap w:val="0"/>
                  <w:vAlign w:val="center"/>
                </w:tcPr>
                <w:p w14:paraId="25844934">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p>
              </w:tc>
              <w:tc>
                <w:tcPr>
                  <w:tcW w:w="620" w:type="pct"/>
                  <w:vMerge w:val="continue"/>
                  <w:noWrap w:val="0"/>
                  <w:vAlign w:val="center"/>
                </w:tcPr>
                <w:p w14:paraId="5CB47C8C">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p>
              </w:tc>
              <w:tc>
                <w:tcPr>
                  <w:tcW w:w="765" w:type="pct"/>
                  <w:noWrap w:val="0"/>
                  <w:vAlign w:val="center"/>
                </w:tcPr>
                <w:p w14:paraId="7080C930">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非甲烷总烃</w:t>
                  </w:r>
                </w:p>
              </w:tc>
              <w:tc>
                <w:tcPr>
                  <w:tcW w:w="766" w:type="pct"/>
                  <w:noWrap w:val="0"/>
                  <w:vAlign w:val="center"/>
                </w:tcPr>
                <w:p w14:paraId="6306CC41">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12.853</w:t>
                  </w:r>
                </w:p>
              </w:tc>
              <w:tc>
                <w:tcPr>
                  <w:tcW w:w="765" w:type="pct"/>
                  <w:noWrap w:val="0"/>
                  <w:vAlign w:val="center"/>
                </w:tcPr>
                <w:p w14:paraId="6E96D6CF">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0.193</w:t>
                  </w:r>
                </w:p>
              </w:tc>
              <w:tc>
                <w:tcPr>
                  <w:tcW w:w="768" w:type="pct"/>
                  <w:noWrap w:val="0"/>
                  <w:vAlign w:val="center"/>
                </w:tcPr>
                <w:p w14:paraId="42891269">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0.578</w:t>
                  </w:r>
                </w:p>
              </w:tc>
            </w:tr>
            <w:tr w14:paraId="39000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4" w:type="pct"/>
                  <w:vMerge w:val="continue"/>
                  <w:noWrap w:val="0"/>
                  <w:vAlign w:val="center"/>
                </w:tcPr>
                <w:p w14:paraId="07D33C31">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p>
              </w:tc>
              <w:tc>
                <w:tcPr>
                  <w:tcW w:w="620" w:type="pct"/>
                  <w:vMerge w:val="continue"/>
                  <w:noWrap w:val="0"/>
                  <w:vAlign w:val="center"/>
                </w:tcPr>
                <w:p w14:paraId="050D68D3">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p>
              </w:tc>
              <w:tc>
                <w:tcPr>
                  <w:tcW w:w="765" w:type="pct"/>
                  <w:noWrap w:val="0"/>
                  <w:vAlign w:val="center"/>
                </w:tcPr>
                <w:p w14:paraId="7DDF8BDD">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二硫化碳</w:t>
                  </w:r>
                </w:p>
              </w:tc>
              <w:tc>
                <w:tcPr>
                  <w:tcW w:w="766" w:type="pct"/>
                  <w:noWrap w:val="0"/>
                  <w:vAlign w:val="center"/>
                </w:tcPr>
                <w:p w14:paraId="11C46086">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15.831</w:t>
                  </w:r>
                </w:p>
              </w:tc>
              <w:tc>
                <w:tcPr>
                  <w:tcW w:w="765" w:type="pct"/>
                  <w:noWrap w:val="0"/>
                  <w:vAlign w:val="center"/>
                </w:tcPr>
                <w:p w14:paraId="3ADF3F05">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0.237</w:t>
                  </w:r>
                </w:p>
              </w:tc>
              <w:tc>
                <w:tcPr>
                  <w:tcW w:w="768" w:type="pct"/>
                  <w:noWrap w:val="0"/>
                  <w:vAlign w:val="center"/>
                </w:tcPr>
                <w:p w14:paraId="74C67F38">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0.712</w:t>
                  </w:r>
                </w:p>
              </w:tc>
            </w:tr>
          </w:tbl>
          <w:p w14:paraId="1B7B6BF3">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4-</w:t>
            </w:r>
            <w:r>
              <w:rPr>
                <w:rFonts w:hint="eastAsia"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 xml:space="preserve">  本项目有组织废气</w:t>
            </w:r>
            <w:r>
              <w:rPr>
                <w:rFonts w:hint="eastAsia" w:ascii="Times New Roman" w:hAnsi="Times New Roman" w:eastAsia="宋体" w:cs="Times New Roman"/>
                <w:b/>
                <w:color w:val="auto"/>
                <w:sz w:val="21"/>
                <w:szCs w:val="21"/>
                <w:lang w:val="en-US" w:eastAsia="zh-CN"/>
              </w:rPr>
              <w:t>排放</w:t>
            </w:r>
            <w:r>
              <w:rPr>
                <w:rFonts w:hint="default" w:ascii="Times New Roman" w:hAnsi="Times New Roman" w:eastAsia="宋体" w:cs="Times New Roman"/>
                <w:b/>
                <w:color w:val="auto"/>
                <w:sz w:val="21"/>
                <w:szCs w:val="21"/>
                <w:lang w:eastAsia="zh-CN"/>
              </w:rPr>
              <w:t>情况一览</w:t>
            </w:r>
            <w:r>
              <w:rPr>
                <w:rFonts w:hint="default" w:ascii="Times New Roman" w:hAnsi="Times New Roman" w:eastAsia="宋体" w:cs="Times New Roman"/>
                <w:b/>
                <w:color w:val="auto"/>
                <w:sz w:val="21"/>
                <w:szCs w:val="21"/>
              </w:rPr>
              <w:t>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1086"/>
              <w:gridCol w:w="1272"/>
              <w:gridCol w:w="1242"/>
              <w:gridCol w:w="1129"/>
              <w:gridCol w:w="1186"/>
              <w:gridCol w:w="2271"/>
              <w:gridCol w:w="1229"/>
              <w:gridCol w:w="1043"/>
              <w:gridCol w:w="1288"/>
            </w:tblGrid>
            <w:tr w14:paraId="4DD45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0" w:type="pct"/>
                  <w:vMerge w:val="restart"/>
                  <w:noWrap w:val="0"/>
                  <w:vAlign w:val="center"/>
                </w:tcPr>
                <w:p w14:paraId="4B598D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污染源名称</w:t>
                  </w:r>
                </w:p>
              </w:tc>
              <w:tc>
                <w:tcPr>
                  <w:tcW w:w="392" w:type="pct"/>
                  <w:vMerge w:val="restart"/>
                  <w:noWrap w:val="0"/>
                  <w:vAlign w:val="center"/>
                </w:tcPr>
                <w:p w14:paraId="799538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废气量m</w:t>
                  </w:r>
                  <w:r>
                    <w:rPr>
                      <w:rFonts w:hint="default" w:ascii="Times New Roman" w:hAnsi="Times New Roman" w:eastAsia="仿宋" w:cs="Times New Roman"/>
                      <w:color w:val="auto"/>
                      <w:kern w:val="0"/>
                      <w:sz w:val="21"/>
                      <w:szCs w:val="21"/>
                      <w:vertAlign w:val="superscript"/>
                      <w:lang w:val="en-US" w:eastAsia="zh-CN" w:bidi="ar-SA"/>
                    </w:rPr>
                    <w:t>3</w:t>
                  </w:r>
                  <w:r>
                    <w:rPr>
                      <w:rFonts w:hint="default" w:ascii="Times New Roman" w:hAnsi="Times New Roman" w:eastAsia="仿宋" w:cs="Times New Roman"/>
                      <w:color w:val="auto"/>
                      <w:kern w:val="0"/>
                      <w:sz w:val="21"/>
                      <w:szCs w:val="21"/>
                      <w:lang w:val="en-US" w:eastAsia="zh-CN" w:bidi="ar-SA"/>
                    </w:rPr>
                    <w:t>/h</w:t>
                  </w:r>
                </w:p>
              </w:tc>
              <w:tc>
                <w:tcPr>
                  <w:tcW w:w="1747" w:type="pct"/>
                  <w:gridSpan w:val="4"/>
                  <w:noWrap w:val="0"/>
                  <w:vAlign w:val="center"/>
                </w:tcPr>
                <w:p w14:paraId="0B8AFD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排放</w:t>
                  </w:r>
                  <w:r>
                    <w:rPr>
                      <w:rFonts w:hint="default" w:ascii="Times New Roman" w:hAnsi="Times New Roman" w:eastAsia="仿宋" w:cs="Times New Roman"/>
                      <w:color w:val="auto"/>
                      <w:kern w:val="0"/>
                      <w:sz w:val="21"/>
                      <w:szCs w:val="21"/>
                      <w:lang w:val="en-US" w:eastAsia="zh-CN" w:bidi="ar-SA"/>
                    </w:rPr>
                    <w:t>情况</w:t>
                  </w:r>
                </w:p>
              </w:tc>
              <w:tc>
                <w:tcPr>
                  <w:tcW w:w="821" w:type="pct"/>
                  <w:vMerge w:val="restart"/>
                  <w:noWrap w:val="0"/>
                  <w:vAlign w:val="center"/>
                </w:tcPr>
                <w:p w14:paraId="58279B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治理措施</w:t>
                  </w:r>
                </w:p>
              </w:tc>
              <w:tc>
                <w:tcPr>
                  <w:tcW w:w="822" w:type="pct"/>
                  <w:gridSpan w:val="2"/>
                  <w:noWrap w:val="0"/>
                  <w:vAlign w:val="center"/>
                </w:tcPr>
                <w:p w14:paraId="39F7FCD3">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执行标准</w:t>
                  </w:r>
                </w:p>
              </w:tc>
              <w:tc>
                <w:tcPr>
                  <w:tcW w:w="466" w:type="pct"/>
                  <w:vMerge w:val="restart"/>
                  <w:noWrap w:val="0"/>
                  <w:vAlign w:val="center"/>
                </w:tcPr>
                <w:p w14:paraId="0CF5CE91">
                  <w:pPr>
                    <w:keepNext w:val="0"/>
                    <w:keepLines w:val="0"/>
                    <w:widowControl/>
                    <w:suppressLineNumbers w:val="0"/>
                    <w:spacing w:before="0" w:beforeAutospacing="0" w:after="0" w:afterAutospacing="0" w:line="280" w:lineRule="atLeast"/>
                    <w:ind w:left="0" w:right="0"/>
                    <w:jc w:val="center"/>
                    <w:textAlignment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排气筒编号</w:t>
                  </w:r>
                </w:p>
              </w:tc>
            </w:tr>
            <w:tr w14:paraId="6B3901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0" w:type="pct"/>
                  <w:vMerge w:val="continue"/>
                  <w:noWrap w:val="0"/>
                  <w:vAlign w:val="center"/>
                </w:tcPr>
                <w:p w14:paraId="40941C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392" w:type="pct"/>
                  <w:vMerge w:val="continue"/>
                  <w:noWrap w:val="0"/>
                  <w:vAlign w:val="center"/>
                </w:tcPr>
                <w:p w14:paraId="5006A2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460" w:type="pct"/>
                  <w:noWrap w:val="0"/>
                  <w:vAlign w:val="center"/>
                </w:tcPr>
                <w:p w14:paraId="2BD588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污染因子</w:t>
                  </w:r>
                </w:p>
              </w:tc>
              <w:tc>
                <w:tcPr>
                  <w:tcW w:w="449" w:type="pct"/>
                  <w:noWrap w:val="0"/>
                  <w:vAlign w:val="center"/>
                </w:tcPr>
                <w:p w14:paraId="2629D5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浓度mg/m</w:t>
                  </w:r>
                  <w:r>
                    <w:rPr>
                      <w:rFonts w:hint="default" w:ascii="Times New Roman" w:hAnsi="Times New Roman" w:eastAsia="仿宋" w:cs="Times New Roman"/>
                      <w:color w:val="auto"/>
                      <w:kern w:val="0"/>
                      <w:sz w:val="21"/>
                      <w:szCs w:val="21"/>
                      <w:vertAlign w:val="superscript"/>
                      <w:lang w:val="en-US" w:eastAsia="zh-CN" w:bidi="ar-SA"/>
                    </w:rPr>
                    <w:t>3</w:t>
                  </w:r>
                </w:p>
              </w:tc>
              <w:tc>
                <w:tcPr>
                  <w:tcW w:w="408" w:type="pct"/>
                  <w:noWrap w:val="0"/>
                  <w:vAlign w:val="center"/>
                </w:tcPr>
                <w:p w14:paraId="619138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速率kg/h</w:t>
                  </w:r>
                </w:p>
              </w:tc>
              <w:tc>
                <w:tcPr>
                  <w:tcW w:w="429" w:type="pct"/>
                  <w:noWrap w:val="0"/>
                  <w:vAlign w:val="center"/>
                </w:tcPr>
                <w:p w14:paraId="60F123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排放</w:t>
                  </w:r>
                  <w:r>
                    <w:rPr>
                      <w:rFonts w:hint="default" w:ascii="Times New Roman" w:hAnsi="Times New Roman" w:eastAsia="仿宋" w:cs="Times New Roman"/>
                      <w:color w:val="auto"/>
                      <w:kern w:val="0"/>
                      <w:sz w:val="21"/>
                      <w:szCs w:val="21"/>
                      <w:lang w:val="en-US" w:eastAsia="zh-CN" w:bidi="ar-SA"/>
                    </w:rPr>
                    <w:t>量t/a</w:t>
                  </w:r>
                </w:p>
              </w:tc>
              <w:tc>
                <w:tcPr>
                  <w:tcW w:w="821" w:type="pct"/>
                  <w:vMerge w:val="continue"/>
                  <w:noWrap w:val="0"/>
                  <w:vAlign w:val="center"/>
                </w:tcPr>
                <w:p w14:paraId="001107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444" w:type="pct"/>
                  <w:noWrap w:val="0"/>
                  <w:vAlign w:val="center"/>
                </w:tcPr>
                <w:p w14:paraId="7438DC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浓度mg/m</w:t>
                  </w:r>
                  <w:r>
                    <w:rPr>
                      <w:rFonts w:hint="default" w:ascii="Times New Roman" w:hAnsi="Times New Roman" w:eastAsia="仿宋" w:cs="Times New Roman"/>
                      <w:color w:val="auto"/>
                      <w:kern w:val="0"/>
                      <w:sz w:val="21"/>
                      <w:szCs w:val="21"/>
                      <w:vertAlign w:val="superscript"/>
                      <w:lang w:val="en-US" w:eastAsia="zh-CN" w:bidi="ar-SA"/>
                    </w:rPr>
                    <w:t>3</w:t>
                  </w:r>
                </w:p>
              </w:tc>
              <w:tc>
                <w:tcPr>
                  <w:tcW w:w="377" w:type="pct"/>
                  <w:noWrap w:val="0"/>
                  <w:vAlign w:val="center"/>
                </w:tcPr>
                <w:p w14:paraId="74A621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速率kg/h</w:t>
                  </w:r>
                </w:p>
              </w:tc>
              <w:tc>
                <w:tcPr>
                  <w:tcW w:w="466" w:type="pct"/>
                  <w:vMerge w:val="continue"/>
                  <w:noWrap w:val="0"/>
                  <w:vAlign w:val="center"/>
                </w:tcPr>
                <w:p w14:paraId="687B978A">
                  <w:pPr>
                    <w:keepNext w:val="0"/>
                    <w:keepLines w:val="0"/>
                    <w:suppressLineNumbers w:val="0"/>
                    <w:spacing w:before="0" w:beforeAutospacing="0" w:after="0" w:afterAutospacing="0" w:line="280" w:lineRule="atLeast"/>
                    <w:ind w:left="0" w:right="0"/>
                    <w:jc w:val="center"/>
                    <w:textAlignment w:val="center"/>
                    <w:rPr>
                      <w:rFonts w:hint="default" w:ascii="Times New Roman" w:hAnsi="Times New Roman" w:eastAsia="仿宋" w:cs="Times New Roman"/>
                      <w:color w:val="auto"/>
                      <w:sz w:val="21"/>
                      <w:szCs w:val="21"/>
                    </w:rPr>
                  </w:pPr>
                </w:p>
              </w:tc>
            </w:tr>
            <w:tr w14:paraId="40100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0" w:type="pct"/>
                  <w:shd w:val="clear" w:color="auto" w:fill="auto"/>
                  <w:noWrap w:val="0"/>
                  <w:vAlign w:val="center"/>
                </w:tcPr>
                <w:p w14:paraId="529B9D3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磨圆粉尘G6</w:t>
                  </w:r>
                </w:p>
              </w:tc>
              <w:tc>
                <w:tcPr>
                  <w:tcW w:w="392" w:type="pct"/>
                  <w:shd w:val="clear" w:color="auto" w:fill="auto"/>
                  <w:noWrap w:val="0"/>
                  <w:vAlign w:val="center"/>
                </w:tcPr>
                <w:p w14:paraId="23F0D2A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5000（1500h）</w:t>
                  </w:r>
                </w:p>
              </w:tc>
              <w:tc>
                <w:tcPr>
                  <w:tcW w:w="460" w:type="pct"/>
                  <w:shd w:val="clear" w:color="auto" w:fill="auto"/>
                  <w:noWrap w:val="0"/>
                  <w:vAlign w:val="center"/>
                </w:tcPr>
                <w:p w14:paraId="26E4FC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颗粒物</w:t>
                  </w:r>
                </w:p>
              </w:tc>
              <w:tc>
                <w:tcPr>
                  <w:tcW w:w="449" w:type="pct"/>
                  <w:shd w:val="clear" w:color="auto" w:fill="auto"/>
                  <w:noWrap w:val="0"/>
                  <w:vAlign w:val="center"/>
                </w:tcPr>
                <w:p w14:paraId="7F2BEA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1.314</w:t>
                  </w:r>
                </w:p>
              </w:tc>
              <w:tc>
                <w:tcPr>
                  <w:tcW w:w="408" w:type="pct"/>
                  <w:shd w:val="clear" w:color="auto" w:fill="auto"/>
                  <w:noWrap w:val="0"/>
                  <w:vAlign w:val="center"/>
                </w:tcPr>
                <w:p w14:paraId="4BF248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0.007</w:t>
                  </w:r>
                </w:p>
              </w:tc>
              <w:tc>
                <w:tcPr>
                  <w:tcW w:w="429" w:type="pct"/>
                  <w:shd w:val="clear" w:color="auto" w:fill="auto"/>
                  <w:noWrap w:val="0"/>
                  <w:vAlign w:val="center"/>
                </w:tcPr>
                <w:p w14:paraId="085C932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w:t>
                  </w:r>
                </w:p>
              </w:tc>
              <w:tc>
                <w:tcPr>
                  <w:tcW w:w="821" w:type="pct"/>
                  <w:noWrap w:val="0"/>
                  <w:vAlign w:val="center"/>
                </w:tcPr>
                <w:p w14:paraId="29830D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袋式</w:t>
                  </w:r>
                  <w:r>
                    <w:rPr>
                      <w:rFonts w:hint="eastAsia" w:ascii="Times New Roman" w:hAnsi="Times New Roman" w:eastAsia="仿宋" w:cs="Times New Roman"/>
                      <w:color w:val="auto"/>
                      <w:kern w:val="0"/>
                      <w:sz w:val="21"/>
                      <w:szCs w:val="21"/>
                      <w:lang w:val="en-US" w:eastAsia="zh-CN" w:bidi="ar-SA"/>
                    </w:rPr>
                    <w:t>除尘</w:t>
                  </w:r>
                </w:p>
              </w:tc>
              <w:tc>
                <w:tcPr>
                  <w:tcW w:w="444" w:type="pct"/>
                  <w:noWrap w:val="0"/>
                  <w:vAlign w:val="center"/>
                </w:tcPr>
                <w:p w14:paraId="2B4CDA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20</w:t>
                  </w:r>
                </w:p>
              </w:tc>
              <w:tc>
                <w:tcPr>
                  <w:tcW w:w="377" w:type="pct"/>
                  <w:noWrap w:val="0"/>
                  <w:vAlign w:val="center"/>
                </w:tcPr>
                <w:p w14:paraId="72FFB9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1</w:t>
                  </w:r>
                </w:p>
              </w:tc>
              <w:tc>
                <w:tcPr>
                  <w:tcW w:w="466" w:type="pct"/>
                  <w:noWrap w:val="0"/>
                  <w:vAlign w:val="center"/>
                </w:tcPr>
                <w:p w14:paraId="69119F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DA001</w:t>
                  </w:r>
                </w:p>
              </w:tc>
            </w:tr>
            <w:tr w14:paraId="7265E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0" w:type="pct"/>
                  <w:vMerge w:val="restart"/>
                  <w:noWrap w:val="0"/>
                  <w:vAlign w:val="center"/>
                </w:tcPr>
                <w:p w14:paraId="541D05A4">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炼胶废气G3、G4、硫化废气G5</w:t>
                  </w:r>
                </w:p>
              </w:tc>
              <w:tc>
                <w:tcPr>
                  <w:tcW w:w="392" w:type="pct"/>
                  <w:vMerge w:val="restart"/>
                  <w:noWrap w:val="0"/>
                  <w:vAlign w:val="center"/>
                </w:tcPr>
                <w:p w14:paraId="0F3C2DBD">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15000（3000h）</w:t>
                  </w:r>
                </w:p>
              </w:tc>
              <w:tc>
                <w:tcPr>
                  <w:tcW w:w="460" w:type="pct"/>
                  <w:noWrap w:val="0"/>
                  <w:vAlign w:val="center"/>
                </w:tcPr>
                <w:p w14:paraId="75CA647D">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颗粒物</w:t>
                  </w:r>
                </w:p>
              </w:tc>
              <w:tc>
                <w:tcPr>
                  <w:tcW w:w="449" w:type="pct"/>
                  <w:noWrap w:val="0"/>
                  <w:vAlign w:val="center"/>
                </w:tcPr>
                <w:p w14:paraId="09D5A6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0.132</w:t>
                  </w:r>
                </w:p>
              </w:tc>
              <w:tc>
                <w:tcPr>
                  <w:tcW w:w="408" w:type="pct"/>
                  <w:noWrap w:val="0"/>
                  <w:vAlign w:val="center"/>
                </w:tcPr>
                <w:p w14:paraId="2E7FB2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429" w:type="pct"/>
                  <w:noWrap w:val="0"/>
                  <w:vAlign w:val="center"/>
                </w:tcPr>
                <w:p w14:paraId="14BD61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821" w:type="pct"/>
                  <w:vMerge w:val="restart"/>
                  <w:noWrap w:val="0"/>
                  <w:vAlign w:val="center"/>
                </w:tcPr>
                <w:p w14:paraId="4F9917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脉冲除尘+水喷淋+除雾+两级活性炭吸附</w:t>
                  </w:r>
                </w:p>
              </w:tc>
              <w:tc>
                <w:tcPr>
                  <w:tcW w:w="444" w:type="pct"/>
                  <w:shd w:val="clear" w:color="auto" w:fill="auto"/>
                  <w:noWrap w:val="0"/>
                  <w:vAlign w:val="center"/>
                </w:tcPr>
                <w:p w14:paraId="4E8DAAD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12</w:t>
                  </w:r>
                </w:p>
              </w:tc>
              <w:tc>
                <w:tcPr>
                  <w:tcW w:w="377" w:type="pct"/>
                  <w:shd w:val="clear" w:color="auto" w:fill="auto"/>
                  <w:noWrap w:val="0"/>
                  <w:vAlign w:val="center"/>
                </w:tcPr>
                <w:p w14:paraId="419132F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w:t>
                  </w:r>
                </w:p>
              </w:tc>
              <w:tc>
                <w:tcPr>
                  <w:tcW w:w="466" w:type="pct"/>
                  <w:vMerge w:val="restart"/>
                  <w:noWrap w:val="0"/>
                  <w:vAlign w:val="center"/>
                </w:tcPr>
                <w:p w14:paraId="4123C4A7">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DA002</w:t>
                  </w:r>
                </w:p>
              </w:tc>
            </w:tr>
            <w:tr w14:paraId="19D32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0" w:type="pct"/>
                  <w:vMerge w:val="continue"/>
                  <w:noWrap w:val="0"/>
                  <w:vAlign w:val="center"/>
                </w:tcPr>
                <w:p w14:paraId="50C53B2A">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p>
              </w:tc>
              <w:tc>
                <w:tcPr>
                  <w:tcW w:w="392" w:type="pct"/>
                  <w:vMerge w:val="continue"/>
                  <w:noWrap w:val="0"/>
                  <w:vAlign w:val="center"/>
                </w:tcPr>
                <w:p w14:paraId="49E511ED">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p>
              </w:tc>
              <w:tc>
                <w:tcPr>
                  <w:tcW w:w="460" w:type="pct"/>
                  <w:noWrap w:val="0"/>
                  <w:vAlign w:val="center"/>
                </w:tcPr>
                <w:p w14:paraId="2728DE9E">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非甲烷总烃</w:t>
                  </w:r>
                </w:p>
              </w:tc>
              <w:tc>
                <w:tcPr>
                  <w:tcW w:w="449" w:type="pct"/>
                  <w:noWrap w:val="0"/>
                  <w:vAlign w:val="center"/>
                </w:tcPr>
                <w:p w14:paraId="3FAB2B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1.285</w:t>
                  </w:r>
                </w:p>
              </w:tc>
              <w:tc>
                <w:tcPr>
                  <w:tcW w:w="408" w:type="pct"/>
                  <w:noWrap w:val="0"/>
                  <w:vAlign w:val="center"/>
                </w:tcPr>
                <w:p w14:paraId="28C9A0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0.019</w:t>
                  </w:r>
                </w:p>
              </w:tc>
              <w:tc>
                <w:tcPr>
                  <w:tcW w:w="429" w:type="pct"/>
                  <w:noWrap w:val="0"/>
                  <w:vAlign w:val="center"/>
                </w:tcPr>
                <w:p w14:paraId="1E6F32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0.058</w:t>
                  </w:r>
                </w:p>
              </w:tc>
              <w:tc>
                <w:tcPr>
                  <w:tcW w:w="821" w:type="pct"/>
                  <w:vMerge w:val="continue"/>
                  <w:noWrap w:val="0"/>
                  <w:vAlign w:val="center"/>
                </w:tcPr>
                <w:p w14:paraId="4B08B5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1"/>
                      <w:szCs w:val="21"/>
                      <w:u w:val="none"/>
                      <w:lang w:val="en-US" w:eastAsia="zh-CN" w:bidi="ar"/>
                    </w:rPr>
                  </w:pPr>
                </w:p>
              </w:tc>
              <w:tc>
                <w:tcPr>
                  <w:tcW w:w="444" w:type="pct"/>
                  <w:shd w:val="clear" w:color="auto" w:fill="auto"/>
                  <w:noWrap w:val="0"/>
                  <w:vAlign w:val="center"/>
                </w:tcPr>
                <w:p w14:paraId="0AC942B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10</w:t>
                  </w:r>
                </w:p>
              </w:tc>
              <w:tc>
                <w:tcPr>
                  <w:tcW w:w="377" w:type="pct"/>
                  <w:shd w:val="clear" w:color="auto" w:fill="auto"/>
                  <w:noWrap w:val="0"/>
                  <w:vAlign w:val="center"/>
                </w:tcPr>
                <w:p w14:paraId="7D08CF5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466" w:type="pct"/>
                  <w:vMerge w:val="continue"/>
                  <w:noWrap w:val="0"/>
                  <w:vAlign w:val="center"/>
                </w:tcPr>
                <w:p w14:paraId="5390BBE2">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p>
              </w:tc>
            </w:tr>
            <w:tr w14:paraId="29B64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0" w:type="pct"/>
                  <w:vMerge w:val="continue"/>
                  <w:noWrap w:val="0"/>
                  <w:vAlign w:val="center"/>
                </w:tcPr>
                <w:p w14:paraId="5E1AD776">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p>
              </w:tc>
              <w:tc>
                <w:tcPr>
                  <w:tcW w:w="392" w:type="pct"/>
                  <w:vMerge w:val="continue"/>
                  <w:noWrap w:val="0"/>
                  <w:vAlign w:val="center"/>
                </w:tcPr>
                <w:p w14:paraId="718B53D9">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p>
              </w:tc>
              <w:tc>
                <w:tcPr>
                  <w:tcW w:w="460" w:type="pct"/>
                  <w:noWrap w:val="0"/>
                  <w:vAlign w:val="center"/>
                </w:tcPr>
                <w:p w14:paraId="5590148A">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二硫化碳</w:t>
                  </w:r>
                </w:p>
              </w:tc>
              <w:tc>
                <w:tcPr>
                  <w:tcW w:w="449" w:type="pct"/>
                  <w:noWrap w:val="0"/>
                  <w:vAlign w:val="center"/>
                </w:tcPr>
                <w:p w14:paraId="1AD6BE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1.583</w:t>
                  </w:r>
                </w:p>
              </w:tc>
              <w:tc>
                <w:tcPr>
                  <w:tcW w:w="408" w:type="pct"/>
                  <w:noWrap w:val="0"/>
                  <w:vAlign w:val="center"/>
                </w:tcPr>
                <w:p w14:paraId="51A980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429" w:type="pct"/>
                  <w:noWrap w:val="0"/>
                  <w:vAlign w:val="center"/>
                </w:tcPr>
                <w:p w14:paraId="3FFE53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0.071</w:t>
                  </w:r>
                </w:p>
              </w:tc>
              <w:tc>
                <w:tcPr>
                  <w:tcW w:w="821" w:type="pct"/>
                  <w:vMerge w:val="continue"/>
                  <w:noWrap w:val="0"/>
                  <w:vAlign w:val="center"/>
                </w:tcPr>
                <w:p w14:paraId="515A8FB8">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p>
              </w:tc>
              <w:tc>
                <w:tcPr>
                  <w:tcW w:w="444" w:type="pct"/>
                  <w:shd w:val="clear" w:color="auto" w:fill="auto"/>
                  <w:noWrap w:val="0"/>
                  <w:vAlign w:val="center"/>
                </w:tcPr>
                <w:p w14:paraId="5DF9C72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377" w:type="pct"/>
                  <w:shd w:val="clear" w:color="auto" w:fill="auto"/>
                  <w:noWrap w:val="0"/>
                  <w:vAlign w:val="center"/>
                </w:tcPr>
                <w:p w14:paraId="35132B5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2.7</w:t>
                  </w:r>
                </w:p>
              </w:tc>
              <w:tc>
                <w:tcPr>
                  <w:tcW w:w="466" w:type="pct"/>
                  <w:vMerge w:val="continue"/>
                  <w:noWrap w:val="0"/>
                  <w:vAlign w:val="center"/>
                </w:tcPr>
                <w:p w14:paraId="2A3FD3A4">
                  <w:pPr>
                    <w:keepNext w:val="0"/>
                    <w:keepLines w:val="0"/>
                    <w:widowControl/>
                    <w:suppressLineNumbers w:val="0"/>
                    <w:spacing w:before="0" w:beforeAutospacing="0" w:after="0" w:afterAutospacing="0"/>
                    <w:ind w:left="0" w:right="0"/>
                    <w:jc w:val="center"/>
                    <w:textAlignment w:val="center"/>
                    <w:rPr>
                      <w:rFonts w:hint="eastAsia" w:eastAsia="仿宋" w:cs="Times New Roman"/>
                      <w:color w:val="auto"/>
                      <w:kern w:val="0"/>
                      <w:sz w:val="21"/>
                      <w:szCs w:val="21"/>
                      <w:lang w:val="en-US" w:eastAsia="zh-CN" w:bidi="ar-SA"/>
                    </w:rPr>
                  </w:pPr>
                </w:p>
              </w:tc>
            </w:tr>
          </w:tbl>
          <w:p w14:paraId="21E4BCB5">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4-</w:t>
            </w:r>
            <w:r>
              <w:rPr>
                <w:rFonts w:hint="eastAsia" w:cs="Times New Roman"/>
                <w:b/>
                <w:color w:val="auto"/>
                <w:sz w:val="21"/>
                <w:szCs w:val="21"/>
                <w:lang w:val="en-US" w:eastAsia="zh-CN"/>
              </w:rPr>
              <w:t>3</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eastAsia="zh-CN"/>
              </w:rPr>
              <w:t>废气排放口基本情况一览表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878"/>
              <w:gridCol w:w="860"/>
              <w:gridCol w:w="1318"/>
              <w:gridCol w:w="683"/>
              <w:gridCol w:w="1011"/>
              <w:gridCol w:w="2294"/>
              <w:gridCol w:w="6773"/>
            </w:tblGrid>
            <w:tr w14:paraId="25E15BE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317" w:type="pct"/>
                  <w:vMerge w:val="restart"/>
                  <w:noWrap w:val="0"/>
                  <w:vAlign w:val="center"/>
                </w:tcPr>
                <w:p w14:paraId="75E008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排气筒编号</w:t>
                  </w:r>
                </w:p>
              </w:tc>
              <w:tc>
                <w:tcPr>
                  <w:tcW w:w="2231" w:type="pct"/>
                  <w:gridSpan w:val="5"/>
                  <w:tcBorders>
                    <w:right w:val="single" w:color="auto" w:sz="4" w:space="0"/>
                  </w:tcBorders>
                  <w:noWrap w:val="0"/>
                  <w:vAlign w:val="center"/>
                </w:tcPr>
                <w:p w14:paraId="6A5593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排气筒参数</w:t>
                  </w:r>
                </w:p>
              </w:tc>
              <w:tc>
                <w:tcPr>
                  <w:tcW w:w="2450" w:type="pct"/>
                  <w:vMerge w:val="restart"/>
                  <w:noWrap w:val="0"/>
                  <w:vAlign w:val="center"/>
                </w:tcPr>
                <w:p w14:paraId="07E4F5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排放标准</w:t>
                  </w:r>
                </w:p>
              </w:tc>
            </w:tr>
            <w:tr w14:paraId="6EFFF12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317" w:type="pct"/>
                  <w:vMerge w:val="continue"/>
                  <w:noWrap w:val="0"/>
                  <w:vAlign w:val="center"/>
                </w:tcPr>
                <w:p w14:paraId="74C863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311" w:type="pct"/>
                  <w:noWrap w:val="0"/>
                  <w:vAlign w:val="center"/>
                </w:tcPr>
                <w:p w14:paraId="18BDF2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高度m</w:t>
                  </w:r>
                </w:p>
              </w:tc>
              <w:tc>
                <w:tcPr>
                  <w:tcW w:w="476" w:type="pct"/>
                  <w:noWrap w:val="0"/>
                  <w:vAlign w:val="center"/>
                </w:tcPr>
                <w:p w14:paraId="718196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出口内径m</w:t>
                  </w:r>
                </w:p>
              </w:tc>
              <w:tc>
                <w:tcPr>
                  <w:tcW w:w="247" w:type="pct"/>
                  <w:tcBorders>
                    <w:right w:val="single" w:color="auto" w:sz="4" w:space="0"/>
                  </w:tcBorders>
                  <w:noWrap w:val="0"/>
                  <w:vAlign w:val="center"/>
                </w:tcPr>
                <w:p w14:paraId="1CD20A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温度℃</w:t>
                  </w:r>
                </w:p>
              </w:tc>
              <w:tc>
                <w:tcPr>
                  <w:tcW w:w="365" w:type="pct"/>
                  <w:tcBorders>
                    <w:left w:val="single" w:color="auto" w:sz="4" w:space="0"/>
                    <w:right w:val="single" w:color="auto" w:sz="4" w:space="0"/>
                  </w:tcBorders>
                  <w:noWrap w:val="0"/>
                  <w:vAlign w:val="center"/>
                </w:tcPr>
                <w:p w14:paraId="011FF3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类型</w:t>
                  </w:r>
                </w:p>
              </w:tc>
              <w:tc>
                <w:tcPr>
                  <w:tcW w:w="830" w:type="pct"/>
                  <w:tcBorders>
                    <w:left w:val="single" w:color="auto" w:sz="4" w:space="0"/>
                    <w:right w:val="single" w:color="auto" w:sz="4" w:space="0"/>
                  </w:tcBorders>
                  <w:noWrap w:val="0"/>
                  <w:vAlign w:val="center"/>
                </w:tcPr>
                <w:p w14:paraId="29F72B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地理坐标</w:t>
                  </w:r>
                </w:p>
              </w:tc>
              <w:tc>
                <w:tcPr>
                  <w:tcW w:w="2450" w:type="pct"/>
                  <w:vMerge w:val="continue"/>
                  <w:noWrap w:val="0"/>
                  <w:vAlign w:val="center"/>
                </w:tcPr>
                <w:p w14:paraId="6A2007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r>
            <w:tr w14:paraId="532EE0E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317" w:type="pct"/>
                  <w:noWrap w:val="0"/>
                  <w:vAlign w:val="center"/>
                </w:tcPr>
                <w:p w14:paraId="1F533A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DA001</w:t>
                  </w:r>
                </w:p>
              </w:tc>
              <w:tc>
                <w:tcPr>
                  <w:tcW w:w="311" w:type="pct"/>
                  <w:noWrap w:val="0"/>
                  <w:vAlign w:val="center"/>
                </w:tcPr>
                <w:p w14:paraId="21EC93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15</w:t>
                  </w:r>
                </w:p>
              </w:tc>
              <w:tc>
                <w:tcPr>
                  <w:tcW w:w="476" w:type="pct"/>
                  <w:noWrap w:val="0"/>
                  <w:vAlign w:val="center"/>
                </w:tcPr>
                <w:p w14:paraId="16C662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0.3</w:t>
                  </w:r>
                </w:p>
              </w:tc>
              <w:tc>
                <w:tcPr>
                  <w:tcW w:w="247" w:type="pct"/>
                  <w:tcBorders>
                    <w:right w:val="single" w:color="auto" w:sz="4" w:space="0"/>
                  </w:tcBorders>
                  <w:noWrap w:val="0"/>
                  <w:vAlign w:val="center"/>
                </w:tcPr>
                <w:p w14:paraId="5D2CBE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20</w:t>
                  </w:r>
                </w:p>
              </w:tc>
              <w:tc>
                <w:tcPr>
                  <w:tcW w:w="365" w:type="pct"/>
                  <w:tcBorders>
                    <w:left w:val="single" w:color="auto" w:sz="4" w:space="0"/>
                    <w:right w:val="single" w:color="auto" w:sz="4" w:space="0"/>
                  </w:tcBorders>
                  <w:noWrap w:val="0"/>
                  <w:vAlign w:val="center"/>
                </w:tcPr>
                <w:p w14:paraId="396715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一般</w:t>
                  </w:r>
                </w:p>
                <w:p w14:paraId="025A24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排放口</w:t>
                  </w:r>
                </w:p>
              </w:tc>
              <w:tc>
                <w:tcPr>
                  <w:tcW w:w="830" w:type="pct"/>
                  <w:tcBorders>
                    <w:left w:val="single" w:color="auto" w:sz="4" w:space="0"/>
                    <w:right w:val="single" w:color="auto" w:sz="4" w:space="0"/>
                  </w:tcBorders>
                  <w:noWrap w:val="0"/>
                  <w:vAlign w:val="center"/>
                </w:tcPr>
                <w:p w14:paraId="427C52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经度：119°29'06.126"；</w:t>
                  </w:r>
                </w:p>
                <w:p w14:paraId="1EEACC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纬度：31°42'33.249"</w:t>
                  </w:r>
                </w:p>
              </w:tc>
              <w:tc>
                <w:tcPr>
                  <w:tcW w:w="2450" w:type="pct"/>
                  <w:noWrap w:val="0"/>
                  <w:vAlign w:val="center"/>
                </w:tcPr>
                <w:p w14:paraId="0086FB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《大气污染物综合排放标准》（DB32/4041-2021）</w:t>
                  </w:r>
                  <w:r>
                    <w:rPr>
                      <w:rFonts w:hint="eastAsia" w:eastAsia="仿宋" w:cs="Times New Roman"/>
                      <w:color w:val="auto"/>
                      <w:kern w:val="0"/>
                      <w:sz w:val="21"/>
                      <w:szCs w:val="21"/>
                      <w:lang w:val="en-US" w:eastAsia="zh-CN" w:bidi="ar-SA"/>
                    </w:rPr>
                    <w:t>表1限值</w:t>
                  </w:r>
                </w:p>
              </w:tc>
            </w:tr>
            <w:tr w14:paraId="451EF63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317" w:type="pct"/>
                  <w:noWrap w:val="0"/>
                  <w:vAlign w:val="center"/>
                </w:tcPr>
                <w:p w14:paraId="4D7A2DDE">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DA002</w:t>
                  </w:r>
                </w:p>
              </w:tc>
              <w:tc>
                <w:tcPr>
                  <w:tcW w:w="311" w:type="pct"/>
                  <w:noWrap w:val="0"/>
                  <w:vAlign w:val="center"/>
                </w:tcPr>
                <w:p w14:paraId="16E35518">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15</w:t>
                  </w:r>
                </w:p>
              </w:tc>
              <w:tc>
                <w:tcPr>
                  <w:tcW w:w="476" w:type="pct"/>
                  <w:noWrap w:val="0"/>
                  <w:vAlign w:val="center"/>
                </w:tcPr>
                <w:p w14:paraId="025563E9">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0.55</w:t>
                  </w:r>
                </w:p>
              </w:tc>
              <w:tc>
                <w:tcPr>
                  <w:tcW w:w="247" w:type="pct"/>
                  <w:tcBorders>
                    <w:right w:val="single" w:color="auto" w:sz="4" w:space="0"/>
                  </w:tcBorders>
                  <w:noWrap w:val="0"/>
                  <w:vAlign w:val="center"/>
                </w:tcPr>
                <w:p w14:paraId="0F1976A8">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20</w:t>
                  </w:r>
                </w:p>
              </w:tc>
              <w:tc>
                <w:tcPr>
                  <w:tcW w:w="365" w:type="pct"/>
                  <w:tcBorders>
                    <w:left w:val="single" w:color="auto" w:sz="4" w:space="0"/>
                    <w:right w:val="single" w:color="auto" w:sz="4" w:space="0"/>
                  </w:tcBorders>
                  <w:noWrap w:val="0"/>
                  <w:vAlign w:val="center"/>
                </w:tcPr>
                <w:p w14:paraId="69423D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一般</w:t>
                  </w:r>
                </w:p>
                <w:p w14:paraId="4610D8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排放口</w:t>
                  </w:r>
                </w:p>
              </w:tc>
              <w:tc>
                <w:tcPr>
                  <w:tcW w:w="830" w:type="pct"/>
                  <w:tcBorders>
                    <w:left w:val="single" w:color="auto" w:sz="4" w:space="0"/>
                    <w:right w:val="single" w:color="auto" w:sz="4" w:space="0"/>
                  </w:tcBorders>
                  <w:noWrap w:val="0"/>
                  <w:vAlign w:val="center"/>
                </w:tcPr>
                <w:p w14:paraId="6A8654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经度：119°29'05.904"；纬度：31°42'34.646"</w:t>
                  </w:r>
                </w:p>
              </w:tc>
              <w:tc>
                <w:tcPr>
                  <w:tcW w:w="2450" w:type="pct"/>
                  <w:noWrap w:val="0"/>
                  <w:vAlign w:val="center"/>
                </w:tcPr>
                <w:p w14:paraId="25F2A1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Cs w:val="21"/>
                      <w:lang w:val="en-US"/>
                    </w:rPr>
                    <w:t>《橡胶制品工业污染物排放标准》（GB 27632-2011）表</w:t>
                  </w:r>
                  <w:r>
                    <w:rPr>
                      <w:rFonts w:hint="eastAsia" w:ascii="Times New Roman" w:hAnsi="Times New Roman" w:eastAsia="仿宋" w:cs="Times New Roman"/>
                      <w:color w:val="auto"/>
                      <w:szCs w:val="21"/>
                      <w:lang w:val="en-US" w:eastAsia="zh-CN"/>
                    </w:rPr>
                    <w:t>5</w:t>
                  </w:r>
                  <w:r>
                    <w:rPr>
                      <w:rFonts w:hint="default" w:ascii="Times New Roman" w:hAnsi="Times New Roman" w:eastAsia="仿宋" w:cs="Times New Roman"/>
                      <w:color w:val="auto"/>
                      <w:szCs w:val="21"/>
                      <w:lang w:val="en-US" w:eastAsia="zh-CN"/>
                    </w:rPr>
                    <w:t>限值</w:t>
                  </w:r>
                  <w:r>
                    <w:rPr>
                      <w:rFonts w:hint="eastAsia" w:ascii="Times New Roman" w:hAnsi="Times New Roman" w:eastAsia="仿宋" w:cs="Times New Roman"/>
                      <w:color w:val="auto"/>
                      <w:szCs w:val="21"/>
                      <w:lang w:val="en-US" w:eastAsia="zh-CN"/>
                    </w:rPr>
                    <w:t>、</w:t>
                  </w:r>
                  <w:r>
                    <w:rPr>
                      <w:rFonts w:hint="eastAsia" w:eastAsia="仿宋" w:cs="Times New Roman"/>
                      <w:color w:val="auto"/>
                      <w:szCs w:val="21"/>
                      <w:lang w:val="en-US" w:eastAsia="zh-CN"/>
                    </w:rPr>
                    <w:t>《</w:t>
                  </w:r>
                  <w:r>
                    <w:rPr>
                      <w:rFonts w:hint="default" w:ascii="Times New Roman" w:hAnsi="Times New Roman" w:eastAsia="仿宋" w:cs="Times New Roman"/>
                      <w:color w:val="auto"/>
                      <w:szCs w:val="21"/>
                      <w:lang w:val="en-US" w:eastAsia="zh-CN"/>
                    </w:rPr>
                    <w:t>恶臭污染物排放标准》（GB14554-93）表2二级标准</w:t>
                  </w:r>
                  <w:r>
                    <w:rPr>
                      <w:rFonts w:hint="eastAsia" w:eastAsia="仿宋" w:cs="Times New Roman"/>
                      <w:color w:val="auto"/>
                      <w:szCs w:val="21"/>
                      <w:lang w:val="en-US" w:eastAsia="zh-CN"/>
                    </w:rPr>
                    <w:t>-</w:t>
                  </w:r>
                  <w:r>
                    <w:rPr>
                      <w:rFonts w:hint="default" w:ascii="Times New Roman" w:hAnsi="Times New Roman" w:eastAsia="仿宋" w:cs="Times New Roman"/>
                      <w:color w:val="auto"/>
                      <w:szCs w:val="21"/>
                      <w:lang w:val="en-US" w:eastAsia="zh-CN"/>
                    </w:rPr>
                    <w:t>新改扩建标准</w:t>
                  </w:r>
                </w:p>
              </w:tc>
            </w:tr>
          </w:tbl>
          <w:p w14:paraId="1164B37C">
            <w:pPr>
              <w:pStyle w:val="2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color w:val="auto"/>
              </w:rPr>
            </w:pPr>
          </w:p>
        </w:tc>
      </w:tr>
    </w:tbl>
    <w:p w14:paraId="3F5234EF">
      <w:pPr>
        <w:adjustRightInd w:val="0"/>
        <w:snapToGrid w:val="0"/>
        <w:jc w:val="center"/>
        <w:rPr>
          <w:rFonts w:hint="default" w:ascii="Times New Roman" w:hAnsi="Times New Roman" w:cs="Times New Roman"/>
          <w:b w:val="0"/>
          <w:bCs w:val="0"/>
          <w:color w:val="auto"/>
          <w:sz w:val="21"/>
          <w:szCs w:val="21"/>
        </w:rPr>
        <w:sectPr>
          <w:pgSz w:w="16840" w:h="11907" w:orient="landscape"/>
          <w:pgMar w:top="1088" w:right="1191" w:bottom="1400" w:left="1417"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5"/>
        <w:gridCol w:w="9038"/>
      </w:tblGrid>
      <w:tr w14:paraId="22408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745" w:type="dxa"/>
            <w:noWrap w:val="0"/>
            <w:tcMar>
              <w:left w:w="28" w:type="dxa"/>
              <w:right w:w="28" w:type="dxa"/>
            </w:tcMar>
            <w:vAlign w:val="center"/>
          </w:tcPr>
          <w:p w14:paraId="5F675A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2"/>
                <w:szCs w:val="22"/>
              </w:rPr>
            </w:pPr>
            <w:r>
              <w:rPr>
                <w:rFonts w:hint="default" w:ascii="Times New Roman" w:hAnsi="Times New Roman" w:cs="Times New Roman"/>
                <w:b w:val="0"/>
                <w:bCs w:val="0"/>
                <w:color w:val="auto"/>
                <w:sz w:val="21"/>
                <w:szCs w:val="21"/>
              </w:rPr>
              <w:t>运营期环境影响和保护措施</w:t>
            </w:r>
          </w:p>
        </w:tc>
        <w:tc>
          <w:tcPr>
            <w:tcW w:w="9038" w:type="dxa"/>
            <w:noWrap w:val="0"/>
            <w:vAlign w:val="center"/>
          </w:tcPr>
          <w:p w14:paraId="2745EB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无组织废气：</w:t>
            </w:r>
          </w:p>
          <w:p w14:paraId="78684A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未捕集的废气</w:t>
            </w:r>
            <w:r>
              <w:rPr>
                <w:rFonts w:hint="eastAsia" w:cs="Times New Roman"/>
                <w:b/>
                <w:bCs/>
                <w:color w:val="auto"/>
                <w:lang w:val="en-US" w:eastAsia="zh-CN"/>
              </w:rPr>
              <w:t>：</w:t>
            </w:r>
          </w:p>
          <w:p w14:paraId="395BEB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本项目未捕集的炼胶粉尘无组织排放量为0.062t/a，未捕集的磨圆粉尘无组织排放量为0.011t/a，故</w:t>
            </w:r>
            <w:r>
              <w:rPr>
                <w:rFonts w:hint="default" w:ascii="Times New Roman" w:hAnsi="Times New Roman" w:eastAsia="宋体" w:cs="Times New Roman"/>
                <w:b w:val="0"/>
                <w:bCs w:val="0"/>
                <w:color w:val="auto"/>
                <w:lang w:val="en-US" w:eastAsia="zh-CN"/>
              </w:rPr>
              <w:t>本项目未被捕集的</w:t>
            </w:r>
            <w:r>
              <w:rPr>
                <w:rFonts w:hint="eastAsia" w:cs="Times New Roman"/>
                <w:b w:val="0"/>
                <w:bCs w:val="0"/>
                <w:color w:val="auto"/>
                <w:lang w:val="en-US" w:eastAsia="zh-CN"/>
              </w:rPr>
              <w:t>颗粒物约0.073t/a、非甲烷总烃约0.03t/a、二硫化碳约0.038t/a，</w:t>
            </w:r>
            <w:r>
              <w:rPr>
                <w:rFonts w:hint="default" w:ascii="Times New Roman" w:hAnsi="Times New Roman" w:eastAsia="宋体" w:cs="Times New Roman"/>
                <w:b w:val="0"/>
                <w:bCs w:val="0"/>
                <w:color w:val="auto"/>
                <w:lang w:val="en-US" w:eastAsia="zh-CN"/>
              </w:rPr>
              <w:t>车间内无组织排放。</w:t>
            </w:r>
          </w:p>
          <w:p w14:paraId="01DD00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本项目无组织废气产</w:t>
            </w:r>
            <w:r>
              <w:rPr>
                <w:rFonts w:hint="eastAsia" w:cs="Times New Roman"/>
                <w:b w:val="0"/>
                <w:bCs w:val="0"/>
                <w:color w:val="auto"/>
                <w:lang w:val="en-US" w:eastAsia="zh-CN"/>
              </w:rPr>
              <w:t>排</w:t>
            </w:r>
            <w:r>
              <w:rPr>
                <w:rFonts w:hint="default" w:ascii="Times New Roman" w:hAnsi="Times New Roman" w:eastAsia="宋体" w:cs="Times New Roman"/>
                <w:b w:val="0"/>
                <w:bCs w:val="0"/>
                <w:color w:val="auto"/>
                <w:lang w:val="en-US" w:eastAsia="zh-CN"/>
              </w:rPr>
              <w:t>情况见下表：</w:t>
            </w:r>
          </w:p>
          <w:p w14:paraId="491EF62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kern w:val="0"/>
                <w:sz w:val="21"/>
                <w:szCs w:val="21"/>
                <w:lang w:val="en-US" w:eastAsia="zh-CN"/>
              </w:rPr>
              <w:t>4-</w:t>
            </w:r>
            <w:r>
              <w:rPr>
                <w:rFonts w:hint="eastAsia" w:cs="Times New Roman"/>
                <w:b/>
                <w:color w:val="auto"/>
                <w:kern w:val="0"/>
                <w:sz w:val="21"/>
                <w:szCs w:val="21"/>
                <w:lang w:val="en-US" w:eastAsia="zh-CN"/>
              </w:rPr>
              <w:t>4</w:t>
            </w:r>
            <w:r>
              <w:rPr>
                <w:rFonts w:hint="default" w:ascii="Times New Roman" w:hAnsi="Times New Roman" w:eastAsia="宋体" w:cs="Times New Roman"/>
                <w:b/>
                <w:color w:val="auto"/>
                <w:kern w:val="0"/>
                <w:sz w:val="21"/>
                <w:szCs w:val="21"/>
              </w:rPr>
              <w:t xml:space="preserve">  </w:t>
            </w:r>
            <w:r>
              <w:rPr>
                <w:rFonts w:hint="default" w:ascii="Times New Roman" w:hAnsi="Times New Roman" w:eastAsia="宋体" w:cs="Times New Roman"/>
                <w:b/>
                <w:color w:val="auto"/>
                <w:kern w:val="0"/>
                <w:sz w:val="21"/>
                <w:szCs w:val="21"/>
                <w:lang w:eastAsia="zh-CN"/>
              </w:rPr>
              <w:t>本项目</w:t>
            </w:r>
            <w:r>
              <w:rPr>
                <w:rFonts w:hint="default" w:ascii="Times New Roman" w:hAnsi="Times New Roman" w:eastAsia="宋体" w:cs="Times New Roman"/>
                <w:b/>
                <w:color w:val="auto"/>
                <w:kern w:val="0"/>
                <w:sz w:val="21"/>
                <w:szCs w:val="21"/>
              </w:rPr>
              <w:t>无组织废气产</w:t>
            </w:r>
            <w:r>
              <w:rPr>
                <w:rFonts w:hint="default" w:ascii="Times New Roman" w:hAnsi="Times New Roman" w:eastAsia="宋体" w:cs="Times New Roman"/>
                <w:b/>
                <w:color w:val="auto"/>
                <w:kern w:val="0"/>
                <w:sz w:val="21"/>
                <w:szCs w:val="21"/>
                <w:lang w:eastAsia="zh-CN"/>
              </w:rPr>
              <w:t>排情况一览</w:t>
            </w:r>
            <w:r>
              <w:rPr>
                <w:rFonts w:hint="default" w:ascii="Times New Roman" w:hAnsi="Times New Roman" w:eastAsia="宋体" w:cs="Times New Roman"/>
                <w:b/>
                <w:color w:val="auto"/>
                <w:kern w:val="0"/>
                <w:sz w:val="21"/>
                <w:szCs w:val="21"/>
              </w:rPr>
              <w:t>表</w:t>
            </w:r>
          </w:p>
          <w:tbl>
            <w:tblPr>
              <w:tblStyle w:val="27"/>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965"/>
              <w:gridCol w:w="1364"/>
              <w:gridCol w:w="1363"/>
              <w:gridCol w:w="1050"/>
              <w:gridCol w:w="1122"/>
              <w:gridCol w:w="1208"/>
              <w:gridCol w:w="1085"/>
            </w:tblGrid>
            <w:tr w14:paraId="27ADF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71" w:type="pct"/>
                  <w:noWrap w:val="0"/>
                  <w:vAlign w:val="center"/>
                </w:tcPr>
                <w:p w14:paraId="6858B7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废气来源</w:t>
                  </w:r>
                </w:p>
              </w:tc>
              <w:tc>
                <w:tcPr>
                  <w:tcW w:w="547" w:type="pct"/>
                  <w:noWrap w:val="0"/>
                  <w:vAlign w:val="center"/>
                </w:tcPr>
                <w:p w14:paraId="367B67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产生</w:t>
                  </w:r>
                </w:p>
                <w:p w14:paraId="3A2487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工段</w:t>
                  </w:r>
                </w:p>
              </w:tc>
              <w:tc>
                <w:tcPr>
                  <w:tcW w:w="774" w:type="pct"/>
                  <w:noWrap w:val="0"/>
                  <w:vAlign w:val="center"/>
                </w:tcPr>
                <w:p w14:paraId="169FC4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废气因子</w:t>
                  </w:r>
                </w:p>
              </w:tc>
              <w:tc>
                <w:tcPr>
                  <w:tcW w:w="773" w:type="pct"/>
                  <w:noWrap w:val="0"/>
                  <w:vAlign w:val="center"/>
                </w:tcPr>
                <w:p w14:paraId="3D48BF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产生量(t/a)</w:t>
                  </w:r>
                </w:p>
              </w:tc>
              <w:tc>
                <w:tcPr>
                  <w:tcW w:w="595" w:type="pct"/>
                  <w:noWrap w:val="0"/>
                  <w:vAlign w:val="center"/>
                </w:tcPr>
                <w:p w14:paraId="789DFA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产生速率(kg/h)</w:t>
                  </w:r>
                </w:p>
              </w:tc>
              <w:tc>
                <w:tcPr>
                  <w:tcW w:w="636" w:type="pct"/>
                  <w:noWrap w:val="0"/>
                  <w:vAlign w:val="center"/>
                </w:tcPr>
                <w:p w14:paraId="0306B7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治理</w:t>
                  </w:r>
                </w:p>
                <w:p w14:paraId="06C41D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措施</w:t>
                  </w:r>
                </w:p>
              </w:tc>
              <w:tc>
                <w:tcPr>
                  <w:tcW w:w="685" w:type="pct"/>
                  <w:noWrap w:val="0"/>
                  <w:vAlign w:val="center"/>
                </w:tcPr>
                <w:p w14:paraId="361089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排放量(t/a)</w:t>
                  </w:r>
                </w:p>
              </w:tc>
              <w:tc>
                <w:tcPr>
                  <w:tcW w:w="615" w:type="pct"/>
                  <w:noWrap w:val="0"/>
                  <w:vAlign w:val="center"/>
                </w:tcPr>
                <w:p w14:paraId="3761D1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排放速率(kg/h)</w:t>
                  </w:r>
                </w:p>
              </w:tc>
            </w:tr>
            <w:tr w14:paraId="0879D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71" w:type="pct"/>
                  <w:vMerge w:val="restart"/>
                  <w:noWrap w:val="0"/>
                  <w:vAlign w:val="center"/>
                </w:tcPr>
                <w:p w14:paraId="22FFE3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生产车间</w:t>
                  </w:r>
                </w:p>
              </w:tc>
              <w:tc>
                <w:tcPr>
                  <w:tcW w:w="547" w:type="pct"/>
                  <w:vMerge w:val="restart"/>
                  <w:noWrap w:val="0"/>
                  <w:vAlign w:val="center"/>
                </w:tcPr>
                <w:p w14:paraId="0550BA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未捕集的废气</w:t>
                  </w:r>
                </w:p>
              </w:tc>
              <w:tc>
                <w:tcPr>
                  <w:tcW w:w="774" w:type="pct"/>
                  <w:noWrap w:val="0"/>
                  <w:vAlign w:val="center"/>
                </w:tcPr>
                <w:p w14:paraId="72CF9F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颗粒物</w:t>
                  </w:r>
                </w:p>
              </w:tc>
              <w:tc>
                <w:tcPr>
                  <w:tcW w:w="773" w:type="pct"/>
                  <w:noWrap w:val="0"/>
                  <w:vAlign w:val="center"/>
                </w:tcPr>
                <w:p w14:paraId="2A1EA3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0.073</w:t>
                  </w:r>
                </w:p>
              </w:tc>
              <w:tc>
                <w:tcPr>
                  <w:tcW w:w="595" w:type="pct"/>
                  <w:noWrap w:val="0"/>
                  <w:vAlign w:val="center"/>
                </w:tcPr>
                <w:p w14:paraId="24596F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0.028</w:t>
                  </w:r>
                </w:p>
              </w:tc>
              <w:tc>
                <w:tcPr>
                  <w:tcW w:w="636" w:type="pct"/>
                  <w:noWrap w:val="0"/>
                  <w:vAlign w:val="center"/>
                </w:tcPr>
                <w:p w14:paraId="5845D6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w:t>
                  </w:r>
                </w:p>
              </w:tc>
              <w:tc>
                <w:tcPr>
                  <w:tcW w:w="1208" w:type="dxa"/>
                  <w:shd w:val="clear" w:color="auto" w:fill="auto"/>
                  <w:noWrap w:val="0"/>
                  <w:vAlign w:val="center"/>
                </w:tcPr>
                <w:p w14:paraId="15B98A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0.073</w:t>
                  </w:r>
                </w:p>
              </w:tc>
              <w:tc>
                <w:tcPr>
                  <w:tcW w:w="1085" w:type="dxa"/>
                  <w:shd w:val="clear" w:color="auto" w:fill="auto"/>
                  <w:noWrap w:val="0"/>
                  <w:vAlign w:val="center"/>
                </w:tcPr>
                <w:p w14:paraId="7359F6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0.028</w:t>
                  </w:r>
                </w:p>
              </w:tc>
            </w:tr>
            <w:tr w14:paraId="66904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71" w:type="pct"/>
                  <w:vMerge w:val="continue"/>
                  <w:noWrap w:val="0"/>
                  <w:vAlign w:val="center"/>
                </w:tcPr>
                <w:p w14:paraId="1000EE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仿宋" w:cs="Times New Roman"/>
                      <w:color w:val="auto"/>
                      <w:kern w:val="0"/>
                      <w:sz w:val="21"/>
                      <w:szCs w:val="21"/>
                      <w:lang w:val="en-US" w:eastAsia="zh-CN" w:bidi="ar-SA"/>
                    </w:rPr>
                  </w:pPr>
                </w:p>
              </w:tc>
              <w:tc>
                <w:tcPr>
                  <w:tcW w:w="547" w:type="pct"/>
                  <w:vMerge w:val="continue"/>
                  <w:noWrap w:val="0"/>
                  <w:vAlign w:val="center"/>
                </w:tcPr>
                <w:p w14:paraId="0E9711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774" w:type="pct"/>
                  <w:noWrap w:val="0"/>
                  <w:vAlign w:val="center"/>
                </w:tcPr>
                <w:p w14:paraId="34C657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非甲烷总烃</w:t>
                  </w:r>
                </w:p>
              </w:tc>
              <w:tc>
                <w:tcPr>
                  <w:tcW w:w="773" w:type="pct"/>
                  <w:noWrap w:val="0"/>
                  <w:vAlign w:val="center"/>
                </w:tcPr>
                <w:p w14:paraId="5C3C7F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0.03</w:t>
                  </w:r>
                </w:p>
              </w:tc>
              <w:tc>
                <w:tcPr>
                  <w:tcW w:w="595" w:type="pct"/>
                  <w:noWrap w:val="0"/>
                  <w:vAlign w:val="center"/>
                </w:tcPr>
                <w:p w14:paraId="06A25E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0.01</w:t>
                  </w:r>
                </w:p>
              </w:tc>
              <w:tc>
                <w:tcPr>
                  <w:tcW w:w="636" w:type="pct"/>
                  <w:noWrap w:val="0"/>
                  <w:vAlign w:val="center"/>
                </w:tcPr>
                <w:p w14:paraId="3A2895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685" w:type="pct"/>
                  <w:shd w:val="clear" w:color="auto" w:fill="auto"/>
                  <w:noWrap w:val="0"/>
                  <w:vAlign w:val="center"/>
                </w:tcPr>
                <w:p w14:paraId="027318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0.03</w:t>
                  </w:r>
                </w:p>
              </w:tc>
              <w:tc>
                <w:tcPr>
                  <w:tcW w:w="615" w:type="pct"/>
                  <w:shd w:val="clear" w:color="auto" w:fill="auto"/>
                  <w:noWrap w:val="0"/>
                  <w:vAlign w:val="center"/>
                </w:tcPr>
                <w:p w14:paraId="0A565A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0.01</w:t>
                  </w:r>
                </w:p>
              </w:tc>
            </w:tr>
            <w:tr w14:paraId="6A6A8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71" w:type="pct"/>
                  <w:vMerge w:val="continue"/>
                  <w:noWrap w:val="0"/>
                  <w:vAlign w:val="center"/>
                </w:tcPr>
                <w:p w14:paraId="515F8E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仿宋" w:cs="Times New Roman"/>
                      <w:color w:val="auto"/>
                      <w:kern w:val="0"/>
                      <w:sz w:val="21"/>
                      <w:szCs w:val="21"/>
                      <w:lang w:val="en-US" w:eastAsia="zh-CN" w:bidi="ar-SA"/>
                    </w:rPr>
                  </w:pPr>
                </w:p>
              </w:tc>
              <w:tc>
                <w:tcPr>
                  <w:tcW w:w="547" w:type="pct"/>
                  <w:vMerge w:val="continue"/>
                  <w:noWrap w:val="0"/>
                  <w:vAlign w:val="center"/>
                </w:tcPr>
                <w:p w14:paraId="20D08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774" w:type="pct"/>
                  <w:noWrap w:val="0"/>
                  <w:vAlign w:val="center"/>
                </w:tcPr>
                <w:p w14:paraId="237CCE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二硫化碳</w:t>
                  </w:r>
                </w:p>
              </w:tc>
              <w:tc>
                <w:tcPr>
                  <w:tcW w:w="773" w:type="pct"/>
                  <w:noWrap w:val="0"/>
                  <w:vAlign w:val="center"/>
                </w:tcPr>
                <w:p w14:paraId="57CA74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0.038</w:t>
                  </w:r>
                </w:p>
              </w:tc>
              <w:tc>
                <w:tcPr>
                  <w:tcW w:w="595" w:type="pct"/>
                  <w:noWrap w:val="0"/>
                  <w:vAlign w:val="center"/>
                </w:tcPr>
                <w:p w14:paraId="36A681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0.013</w:t>
                  </w:r>
                </w:p>
              </w:tc>
              <w:tc>
                <w:tcPr>
                  <w:tcW w:w="636" w:type="pct"/>
                  <w:noWrap w:val="0"/>
                  <w:vAlign w:val="center"/>
                </w:tcPr>
                <w:p w14:paraId="37DC33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w:t>
                  </w:r>
                </w:p>
              </w:tc>
              <w:tc>
                <w:tcPr>
                  <w:tcW w:w="685" w:type="pct"/>
                  <w:shd w:val="clear" w:color="auto" w:fill="auto"/>
                  <w:noWrap w:val="0"/>
                  <w:vAlign w:val="center"/>
                </w:tcPr>
                <w:p w14:paraId="5A0548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0.038</w:t>
                  </w:r>
                </w:p>
              </w:tc>
              <w:tc>
                <w:tcPr>
                  <w:tcW w:w="615" w:type="pct"/>
                  <w:shd w:val="clear" w:color="auto" w:fill="auto"/>
                  <w:noWrap w:val="0"/>
                  <w:vAlign w:val="center"/>
                </w:tcPr>
                <w:p w14:paraId="0B44CB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0.013</w:t>
                  </w:r>
                </w:p>
              </w:tc>
            </w:tr>
          </w:tbl>
          <w:p w14:paraId="6F0162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lang w:val="en-US" w:eastAsia="zh-CN"/>
              </w:rPr>
            </w:pPr>
          </w:p>
          <w:p w14:paraId="651D6F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lang w:val="en-US" w:eastAsia="zh-CN"/>
              </w:rPr>
            </w:pPr>
          </w:p>
          <w:p w14:paraId="2406FEA4">
            <w:pPr>
              <w:pStyle w:val="4"/>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62123A2E">
            <w:pPr>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4ACCEEAA">
            <w:pPr>
              <w:pStyle w:val="2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1D2545F6">
            <w:pPr>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07BB98C3">
            <w:pPr>
              <w:pStyle w:val="2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65140099">
            <w:pPr>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7BB58140">
            <w:pPr>
              <w:pStyle w:val="2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63205E4D">
            <w:pPr>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7347C2D1">
            <w:pPr>
              <w:pStyle w:val="2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7F5CEDE0">
            <w:pPr>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65E7963F">
            <w:pPr>
              <w:pStyle w:val="25"/>
              <w:keepNext w:val="0"/>
              <w:keepLines w:val="0"/>
              <w:suppressLineNumbers w:val="0"/>
              <w:spacing w:before="0" w:beforeAutospacing="0" w:after="0" w:afterAutospacing="0"/>
              <w:ind w:left="0" w:right="0"/>
              <w:rPr>
                <w:rFonts w:hint="default"/>
                <w:color w:val="auto"/>
                <w:lang w:val="en-US" w:eastAsia="zh-CN"/>
              </w:rPr>
            </w:pPr>
          </w:p>
          <w:p w14:paraId="73BAC33A">
            <w:pPr>
              <w:pStyle w:val="4"/>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41D7BC20">
            <w:pPr>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470D5202">
            <w:pPr>
              <w:pStyle w:val="4"/>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0D24CA33">
            <w:pPr>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4DCADC98">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12EBC1EE">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5E20B30D">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53833740">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3B30290C">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7C4EB258">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38754B53">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061DA15A">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7EC314B3">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28ED1ED0">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067AC14E">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37FF2036">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229C5B5E">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419A135C">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32F631A6">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0DABF9A3">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25C4AE4D">
            <w:pPr>
              <w:pStyle w:val="34"/>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p>
          <w:p w14:paraId="3EF200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color w:val="auto"/>
              </w:rPr>
            </w:pPr>
          </w:p>
        </w:tc>
      </w:tr>
    </w:tbl>
    <w:p w14:paraId="6896E832">
      <w:pPr>
        <w:adjustRightInd w:val="0"/>
        <w:snapToGrid w:val="0"/>
        <w:jc w:val="center"/>
        <w:rPr>
          <w:rFonts w:hint="default" w:ascii="Times New Roman" w:hAnsi="Times New Roman" w:cs="Times New Roman"/>
          <w:b w:val="0"/>
          <w:bCs w:val="0"/>
          <w:color w:val="auto"/>
          <w:sz w:val="21"/>
          <w:szCs w:val="21"/>
        </w:rPr>
        <w:sectPr>
          <w:pgSz w:w="11907" w:h="16840"/>
          <w:pgMar w:top="1191" w:right="1400" w:bottom="1417" w:left="1088"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814"/>
      </w:tblGrid>
      <w:tr w14:paraId="048D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3" w:hRule="atLeast"/>
        </w:trPr>
        <w:tc>
          <w:tcPr>
            <w:tcW w:w="685" w:type="dxa"/>
            <w:noWrap w:val="0"/>
            <w:vAlign w:val="center"/>
          </w:tcPr>
          <w:p w14:paraId="2C117EB5">
            <w:pPr>
              <w:pStyle w:val="13"/>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b/>
                <w:color w:val="auto"/>
                <w:kern w:val="0"/>
                <w:sz w:val="28"/>
                <w:szCs w:val="28"/>
                <w:vertAlign w:val="baseline"/>
                <w:lang w:eastAsia="zh-CN"/>
              </w:rPr>
            </w:pPr>
            <w:r>
              <w:rPr>
                <w:rFonts w:hint="default" w:ascii="Times New Roman" w:hAnsi="Times New Roman" w:cs="Times New Roman"/>
                <w:b w:val="0"/>
                <w:bCs w:val="0"/>
                <w:color w:val="auto"/>
                <w:sz w:val="21"/>
                <w:szCs w:val="21"/>
              </w:rPr>
              <w:t>运营期环境影响和保护措施</w:t>
            </w:r>
          </w:p>
        </w:tc>
        <w:tc>
          <w:tcPr>
            <w:tcW w:w="13814" w:type="dxa"/>
            <w:noWrap w:val="0"/>
            <w:vAlign w:val="top"/>
          </w:tcPr>
          <w:p w14:paraId="62EA0E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（2）非正常工况下污染物排放情况</w:t>
            </w:r>
          </w:p>
          <w:p w14:paraId="5B7343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非正常工况下废气产生及排放状况：</w:t>
            </w:r>
          </w:p>
          <w:p w14:paraId="3CDE22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本项目应在主体设备开启之前运行废气收集治理设施，且在停车之后仍保持废气设施运转，确保设备内部的废气有效收集处理，因此，可避免开、停车状态下的非正常排放。考虑最不利情况，在生产过程中环保措施出现故障</w:t>
            </w:r>
            <w:r>
              <w:rPr>
                <w:rFonts w:hint="eastAsia" w:cs="Times New Roman"/>
                <w:b w:val="0"/>
                <w:bCs w:val="0"/>
                <w:color w:val="auto"/>
                <w:lang w:val="en-US" w:eastAsia="zh-CN"/>
              </w:rPr>
              <w:t>，</w:t>
            </w:r>
            <w:r>
              <w:rPr>
                <w:rFonts w:hint="default" w:ascii="Times New Roman" w:hAnsi="Times New Roman" w:eastAsia="宋体" w:cs="Times New Roman"/>
                <w:b w:val="0"/>
                <w:bCs w:val="0"/>
                <w:color w:val="auto"/>
                <w:lang w:val="en-US" w:eastAsia="zh-CN"/>
              </w:rPr>
              <w:t>以环保设施处理效率为0%计算非正常工况下污染物排放源强</w:t>
            </w:r>
            <w:r>
              <w:rPr>
                <w:rFonts w:hint="eastAsia" w:cs="Times New Roman"/>
                <w:b w:val="0"/>
                <w:bCs w:val="0"/>
                <w:color w:val="auto"/>
                <w:lang w:val="en-US" w:eastAsia="zh-CN"/>
              </w:rPr>
              <w:t>。</w:t>
            </w:r>
          </w:p>
          <w:p w14:paraId="12F44F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非正常工况下大气污染物排放情况见下表：</w:t>
            </w:r>
          </w:p>
          <w:p w14:paraId="1EA73BF9">
            <w:pPr>
              <w:pStyle w:val="6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4-</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 xml:space="preserve"> 污染源非正常排放</w:t>
            </w:r>
            <w:r>
              <w:rPr>
                <w:rFonts w:hint="default" w:ascii="Times New Roman" w:hAnsi="Times New Roman" w:eastAsia="宋体" w:cs="Times New Roman"/>
                <w:color w:val="auto"/>
                <w:sz w:val="21"/>
                <w:szCs w:val="21"/>
                <w:highlight w:val="none"/>
                <w:lang w:eastAsia="zh-CN"/>
              </w:rPr>
              <w:t>情况一览</w:t>
            </w:r>
            <w:r>
              <w:rPr>
                <w:rFonts w:hint="default" w:ascii="Times New Roman" w:hAnsi="Times New Roman" w:eastAsia="宋体" w:cs="Times New Roman"/>
                <w:color w:val="auto"/>
                <w:sz w:val="21"/>
                <w:szCs w:val="21"/>
                <w:highlight w:val="none"/>
              </w:rPr>
              <w:t>表</w:t>
            </w:r>
          </w:p>
          <w:tbl>
            <w:tblPr>
              <w:tblStyle w:val="7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222"/>
              <w:gridCol w:w="1926"/>
              <w:gridCol w:w="1298"/>
              <w:gridCol w:w="1469"/>
              <w:gridCol w:w="1483"/>
              <w:gridCol w:w="1265"/>
              <w:gridCol w:w="1216"/>
              <w:gridCol w:w="998"/>
              <w:gridCol w:w="1412"/>
            </w:tblGrid>
            <w:tr w14:paraId="3336D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8" w:type="pct"/>
                  <w:tcBorders>
                    <w:tl2br w:val="nil"/>
                    <w:tr2bl w:val="nil"/>
                  </w:tcBorders>
                  <w:noWrap w:val="0"/>
                  <w:vAlign w:val="center"/>
                </w:tcPr>
                <w:p w14:paraId="4CF54C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排气筒编号</w:t>
                  </w:r>
                </w:p>
              </w:tc>
              <w:tc>
                <w:tcPr>
                  <w:tcW w:w="449" w:type="pct"/>
                  <w:tcBorders>
                    <w:tl2br w:val="nil"/>
                    <w:tr2bl w:val="nil"/>
                  </w:tcBorders>
                  <w:noWrap w:val="0"/>
                  <w:vAlign w:val="center"/>
                </w:tcPr>
                <w:p w14:paraId="145371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污染源</w:t>
                  </w:r>
                </w:p>
              </w:tc>
              <w:tc>
                <w:tcPr>
                  <w:tcW w:w="708" w:type="pct"/>
                  <w:tcBorders>
                    <w:tl2br w:val="nil"/>
                    <w:tr2bl w:val="nil"/>
                  </w:tcBorders>
                  <w:noWrap w:val="0"/>
                  <w:vAlign w:val="center"/>
                </w:tcPr>
                <w:p w14:paraId="1D51C7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非正常排放原因</w:t>
                  </w:r>
                </w:p>
              </w:tc>
              <w:tc>
                <w:tcPr>
                  <w:tcW w:w="477" w:type="pct"/>
                  <w:tcBorders>
                    <w:tl2br w:val="nil"/>
                    <w:tr2bl w:val="nil"/>
                  </w:tcBorders>
                  <w:noWrap w:val="0"/>
                  <w:vAlign w:val="center"/>
                </w:tcPr>
                <w:p w14:paraId="5467A0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污染物</w:t>
                  </w:r>
                </w:p>
              </w:tc>
              <w:tc>
                <w:tcPr>
                  <w:tcW w:w="540" w:type="pct"/>
                  <w:tcBorders>
                    <w:tl2br w:val="nil"/>
                    <w:tr2bl w:val="nil"/>
                  </w:tcBorders>
                  <w:noWrap w:val="0"/>
                  <w:vAlign w:val="center"/>
                </w:tcPr>
                <w:p w14:paraId="52A3EE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非正常排放浓度（mg/m</w:t>
                  </w:r>
                  <w:r>
                    <w:rPr>
                      <w:rFonts w:hint="default" w:ascii="Times New Roman" w:hAnsi="Times New Roman" w:eastAsia="仿宋" w:cs="Times New Roman"/>
                      <w:color w:val="auto"/>
                      <w:kern w:val="0"/>
                      <w:sz w:val="21"/>
                      <w:szCs w:val="21"/>
                      <w:vertAlign w:val="superscript"/>
                      <w:lang w:val="en-US" w:eastAsia="zh-CN" w:bidi="ar-SA"/>
                    </w:rPr>
                    <w:t>3</w:t>
                  </w:r>
                  <w:r>
                    <w:rPr>
                      <w:rFonts w:hint="default" w:ascii="Times New Roman" w:hAnsi="Times New Roman" w:eastAsia="仿宋" w:cs="Times New Roman"/>
                      <w:color w:val="auto"/>
                      <w:kern w:val="0"/>
                      <w:sz w:val="21"/>
                      <w:szCs w:val="21"/>
                      <w:lang w:val="en-US" w:eastAsia="zh-CN" w:bidi="ar-SA"/>
                    </w:rPr>
                    <w:t>）</w:t>
                  </w:r>
                </w:p>
              </w:tc>
              <w:tc>
                <w:tcPr>
                  <w:tcW w:w="545" w:type="pct"/>
                  <w:tcBorders>
                    <w:tl2br w:val="nil"/>
                    <w:tr2bl w:val="nil"/>
                  </w:tcBorders>
                  <w:noWrap w:val="0"/>
                  <w:vAlign w:val="center"/>
                </w:tcPr>
                <w:p w14:paraId="68130B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非正常排放速率（kg/h）</w:t>
                  </w:r>
                </w:p>
              </w:tc>
              <w:tc>
                <w:tcPr>
                  <w:tcW w:w="465" w:type="pct"/>
                  <w:tcBorders>
                    <w:tl2br w:val="nil"/>
                    <w:tr2bl w:val="nil"/>
                  </w:tcBorders>
                  <w:noWrap w:val="0"/>
                  <w:vAlign w:val="center"/>
                </w:tcPr>
                <w:p w14:paraId="40C95E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单次持续时间（h）</w:t>
                  </w:r>
                </w:p>
              </w:tc>
              <w:tc>
                <w:tcPr>
                  <w:tcW w:w="447" w:type="pct"/>
                  <w:tcBorders>
                    <w:tl2br w:val="nil"/>
                    <w:tr2bl w:val="nil"/>
                  </w:tcBorders>
                  <w:noWrap w:val="0"/>
                  <w:vAlign w:val="center"/>
                </w:tcPr>
                <w:p w14:paraId="7EE9BC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年发生频次</w:t>
                  </w:r>
                </w:p>
              </w:tc>
              <w:tc>
                <w:tcPr>
                  <w:tcW w:w="367" w:type="pct"/>
                  <w:tcBorders>
                    <w:tl2br w:val="nil"/>
                    <w:tr2bl w:val="nil"/>
                  </w:tcBorders>
                  <w:noWrap w:val="0"/>
                  <w:vAlign w:val="center"/>
                </w:tcPr>
                <w:p w14:paraId="6087CF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排放量（kg/a）</w:t>
                  </w:r>
                </w:p>
              </w:tc>
              <w:tc>
                <w:tcPr>
                  <w:tcW w:w="519" w:type="pct"/>
                  <w:tcBorders>
                    <w:tl2br w:val="nil"/>
                    <w:tr2bl w:val="nil"/>
                  </w:tcBorders>
                  <w:noWrap w:val="0"/>
                  <w:vAlign w:val="center"/>
                </w:tcPr>
                <w:p w14:paraId="389068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应对措施</w:t>
                  </w:r>
                </w:p>
              </w:tc>
            </w:tr>
            <w:tr w14:paraId="57BAC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8" w:type="pct"/>
                  <w:tcBorders>
                    <w:tl2br w:val="nil"/>
                    <w:tr2bl w:val="nil"/>
                  </w:tcBorders>
                  <w:noWrap w:val="0"/>
                  <w:vAlign w:val="center"/>
                </w:tcPr>
                <w:p w14:paraId="490CDE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DA001</w:t>
                  </w:r>
                </w:p>
              </w:tc>
              <w:tc>
                <w:tcPr>
                  <w:tcW w:w="449" w:type="pct"/>
                  <w:tcBorders>
                    <w:tl2br w:val="nil"/>
                    <w:tr2bl w:val="nil"/>
                  </w:tcBorders>
                  <w:noWrap w:val="0"/>
                  <w:vAlign w:val="center"/>
                </w:tcPr>
                <w:p w14:paraId="50635C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磨圆粉尘</w:t>
                  </w:r>
                </w:p>
              </w:tc>
              <w:tc>
                <w:tcPr>
                  <w:tcW w:w="708" w:type="pct"/>
                  <w:vMerge w:val="restart"/>
                  <w:tcBorders>
                    <w:tl2br w:val="nil"/>
                    <w:tr2bl w:val="nil"/>
                  </w:tcBorders>
                  <w:noWrap w:val="0"/>
                  <w:vAlign w:val="center"/>
                </w:tcPr>
                <w:p w14:paraId="3CBBB5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废气处理设施故障</w:t>
                  </w:r>
                </w:p>
              </w:tc>
              <w:tc>
                <w:tcPr>
                  <w:tcW w:w="477" w:type="pct"/>
                  <w:tcBorders>
                    <w:tl2br w:val="nil"/>
                    <w:tr2bl w:val="nil"/>
                  </w:tcBorders>
                  <w:noWrap w:val="0"/>
                  <w:vAlign w:val="center"/>
                </w:tcPr>
                <w:p w14:paraId="15BADF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颗粒物</w:t>
                  </w:r>
                </w:p>
              </w:tc>
              <w:tc>
                <w:tcPr>
                  <w:tcW w:w="540" w:type="pct"/>
                  <w:tcBorders>
                    <w:tl2br w:val="nil"/>
                    <w:tr2bl w:val="nil"/>
                  </w:tcBorders>
                  <w:shd w:val="clear" w:color="auto" w:fill="auto"/>
                  <w:noWrap w:val="0"/>
                  <w:vAlign w:val="center"/>
                </w:tcPr>
                <w:p w14:paraId="2223A02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13.14</w:t>
                  </w:r>
                </w:p>
              </w:tc>
              <w:tc>
                <w:tcPr>
                  <w:tcW w:w="545" w:type="pct"/>
                  <w:tcBorders>
                    <w:tl2br w:val="nil"/>
                    <w:tr2bl w:val="nil"/>
                  </w:tcBorders>
                  <w:shd w:val="clear" w:color="auto" w:fill="auto"/>
                  <w:noWrap w:val="0"/>
                  <w:vAlign w:val="center"/>
                </w:tcPr>
                <w:p w14:paraId="7195A47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0.066</w:t>
                  </w:r>
                </w:p>
              </w:tc>
              <w:tc>
                <w:tcPr>
                  <w:tcW w:w="465" w:type="pct"/>
                  <w:tcBorders>
                    <w:tl2br w:val="nil"/>
                    <w:tr2bl w:val="nil"/>
                  </w:tcBorders>
                  <w:noWrap w:val="0"/>
                  <w:vAlign w:val="center"/>
                </w:tcPr>
                <w:p w14:paraId="0B50F6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c>
                <w:tcPr>
                  <w:tcW w:w="447" w:type="pct"/>
                  <w:tcBorders>
                    <w:tl2br w:val="nil"/>
                    <w:tr2bl w:val="nil"/>
                  </w:tcBorders>
                  <w:noWrap w:val="0"/>
                  <w:vAlign w:val="center"/>
                </w:tcPr>
                <w:p w14:paraId="4F5DC9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c>
                <w:tcPr>
                  <w:tcW w:w="367" w:type="pct"/>
                  <w:tcBorders>
                    <w:tl2br w:val="nil"/>
                    <w:tr2bl w:val="nil"/>
                  </w:tcBorders>
                  <w:shd w:val="clear" w:color="auto" w:fill="auto"/>
                  <w:noWrap w:val="0"/>
                  <w:vAlign w:val="center"/>
                </w:tcPr>
                <w:p w14:paraId="357233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0.066</w:t>
                  </w:r>
                </w:p>
              </w:tc>
              <w:tc>
                <w:tcPr>
                  <w:tcW w:w="519" w:type="pct"/>
                  <w:vMerge w:val="restart"/>
                  <w:tcBorders>
                    <w:tl2br w:val="nil"/>
                    <w:tr2bl w:val="nil"/>
                  </w:tcBorders>
                  <w:noWrap w:val="0"/>
                  <w:vAlign w:val="center"/>
                </w:tcPr>
                <w:p w14:paraId="6DBBE68A">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
                    </w:rPr>
                    <w:t>停产维修；加强日常维护</w:t>
                  </w:r>
                </w:p>
              </w:tc>
            </w:tr>
            <w:tr w14:paraId="55AA5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8" w:type="pct"/>
                  <w:vMerge w:val="restart"/>
                  <w:tcBorders>
                    <w:tl2br w:val="nil"/>
                    <w:tr2bl w:val="nil"/>
                  </w:tcBorders>
                  <w:noWrap w:val="0"/>
                  <w:vAlign w:val="center"/>
                </w:tcPr>
                <w:p w14:paraId="4FC529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DA00</w:t>
                  </w:r>
                  <w:r>
                    <w:rPr>
                      <w:rFonts w:hint="eastAsia" w:eastAsia="仿宋" w:cs="Times New Roman"/>
                      <w:color w:val="auto"/>
                      <w:kern w:val="0"/>
                      <w:sz w:val="21"/>
                      <w:szCs w:val="21"/>
                      <w:lang w:val="en-US" w:eastAsia="zh-CN" w:bidi="ar-SA"/>
                    </w:rPr>
                    <w:t>2</w:t>
                  </w:r>
                </w:p>
              </w:tc>
              <w:tc>
                <w:tcPr>
                  <w:tcW w:w="449" w:type="pct"/>
                  <w:vMerge w:val="restart"/>
                  <w:tcBorders>
                    <w:tl2br w:val="nil"/>
                    <w:tr2bl w:val="nil"/>
                  </w:tcBorders>
                  <w:noWrap w:val="0"/>
                  <w:vAlign w:val="center"/>
                </w:tcPr>
                <w:p w14:paraId="05086C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炼胶</w:t>
                  </w:r>
                  <w:r>
                    <w:rPr>
                      <w:rFonts w:hint="default" w:ascii="Times New Roman" w:hAnsi="Times New Roman" w:eastAsia="仿宋" w:cs="Times New Roman"/>
                      <w:color w:val="auto"/>
                      <w:kern w:val="0"/>
                      <w:sz w:val="21"/>
                      <w:szCs w:val="21"/>
                      <w:lang w:val="en-US" w:eastAsia="zh-CN" w:bidi="ar-SA"/>
                    </w:rPr>
                    <w:t>废气</w:t>
                  </w:r>
                  <w:r>
                    <w:rPr>
                      <w:rFonts w:hint="eastAsia" w:eastAsia="仿宋" w:cs="Times New Roman"/>
                      <w:color w:val="auto"/>
                      <w:kern w:val="0"/>
                      <w:sz w:val="21"/>
                      <w:szCs w:val="21"/>
                      <w:lang w:val="en-US" w:eastAsia="zh-CN" w:bidi="ar-SA"/>
                    </w:rPr>
                    <w:t>、硫化废气</w:t>
                  </w:r>
                </w:p>
              </w:tc>
              <w:tc>
                <w:tcPr>
                  <w:tcW w:w="708" w:type="pct"/>
                  <w:vMerge w:val="continue"/>
                  <w:tcBorders>
                    <w:tl2br w:val="nil"/>
                    <w:tr2bl w:val="nil"/>
                  </w:tcBorders>
                  <w:noWrap w:val="0"/>
                  <w:vAlign w:val="center"/>
                </w:tcPr>
                <w:p w14:paraId="5F863D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477" w:type="pct"/>
                  <w:tcBorders>
                    <w:tl2br w:val="nil"/>
                    <w:tr2bl w:val="nil"/>
                  </w:tcBorders>
                  <w:noWrap w:val="0"/>
                  <w:vAlign w:val="center"/>
                </w:tcPr>
                <w:p w14:paraId="57F2E8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颗粒物</w:t>
                  </w:r>
                </w:p>
              </w:tc>
              <w:tc>
                <w:tcPr>
                  <w:tcW w:w="540" w:type="pct"/>
                  <w:tcBorders>
                    <w:tl2br w:val="nil"/>
                    <w:tr2bl w:val="nil"/>
                  </w:tcBorders>
                  <w:shd w:val="clear" w:color="auto" w:fill="auto"/>
                  <w:noWrap w:val="0"/>
                  <w:vAlign w:val="center"/>
                </w:tcPr>
                <w:p w14:paraId="50FCDC81">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26.435</w:t>
                  </w:r>
                </w:p>
              </w:tc>
              <w:tc>
                <w:tcPr>
                  <w:tcW w:w="545" w:type="pct"/>
                  <w:tcBorders>
                    <w:tl2br w:val="nil"/>
                    <w:tr2bl w:val="nil"/>
                  </w:tcBorders>
                  <w:shd w:val="clear" w:color="auto" w:fill="auto"/>
                  <w:noWrap w:val="0"/>
                  <w:vAlign w:val="center"/>
                </w:tcPr>
                <w:p w14:paraId="7E7F0EC1">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0.397</w:t>
                  </w:r>
                </w:p>
              </w:tc>
              <w:tc>
                <w:tcPr>
                  <w:tcW w:w="465" w:type="pct"/>
                  <w:tcBorders>
                    <w:tl2br w:val="nil"/>
                    <w:tr2bl w:val="nil"/>
                  </w:tcBorders>
                  <w:noWrap w:val="0"/>
                  <w:vAlign w:val="center"/>
                </w:tcPr>
                <w:p w14:paraId="10E060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c>
                <w:tcPr>
                  <w:tcW w:w="447" w:type="pct"/>
                  <w:tcBorders>
                    <w:tl2br w:val="nil"/>
                    <w:tr2bl w:val="nil"/>
                  </w:tcBorders>
                  <w:noWrap w:val="0"/>
                  <w:vAlign w:val="center"/>
                </w:tcPr>
                <w:p w14:paraId="3F855F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c>
                <w:tcPr>
                  <w:tcW w:w="367" w:type="pct"/>
                  <w:tcBorders>
                    <w:tl2br w:val="nil"/>
                    <w:tr2bl w:val="nil"/>
                  </w:tcBorders>
                  <w:shd w:val="clear" w:color="auto" w:fill="auto"/>
                  <w:noWrap w:val="0"/>
                  <w:vAlign w:val="center"/>
                </w:tcPr>
                <w:p w14:paraId="4C93958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0.397</w:t>
                  </w:r>
                </w:p>
              </w:tc>
              <w:tc>
                <w:tcPr>
                  <w:tcW w:w="519" w:type="pct"/>
                  <w:vMerge w:val="continue"/>
                  <w:tcBorders>
                    <w:tl2br w:val="nil"/>
                    <w:tr2bl w:val="nil"/>
                  </w:tcBorders>
                  <w:noWrap w:val="0"/>
                  <w:vAlign w:val="center"/>
                </w:tcPr>
                <w:p w14:paraId="5861EC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r>
            <w:tr w14:paraId="3CB26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8" w:type="pct"/>
                  <w:vMerge w:val="continue"/>
                  <w:tcBorders>
                    <w:tl2br w:val="nil"/>
                    <w:tr2bl w:val="nil"/>
                  </w:tcBorders>
                  <w:noWrap w:val="0"/>
                  <w:vAlign w:val="center"/>
                </w:tcPr>
                <w:p w14:paraId="50E75DD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auto"/>
                      <w:kern w:val="0"/>
                      <w:sz w:val="21"/>
                      <w:szCs w:val="21"/>
                      <w:lang w:val="en-US" w:eastAsia="zh-CN" w:bidi="ar-SA"/>
                    </w:rPr>
                  </w:pPr>
                </w:p>
              </w:tc>
              <w:tc>
                <w:tcPr>
                  <w:tcW w:w="449" w:type="pct"/>
                  <w:vMerge w:val="continue"/>
                  <w:tcBorders>
                    <w:tl2br w:val="nil"/>
                    <w:tr2bl w:val="nil"/>
                  </w:tcBorders>
                  <w:noWrap w:val="0"/>
                  <w:vAlign w:val="center"/>
                </w:tcPr>
                <w:p w14:paraId="3ACE9A3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auto"/>
                      <w:kern w:val="0"/>
                      <w:sz w:val="21"/>
                      <w:szCs w:val="21"/>
                      <w:lang w:val="en-US" w:eastAsia="zh-CN" w:bidi="ar-SA"/>
                    </w:rPr>
                  </w:pPr>
                </w:p>
              </w:tc>
              <w:tc>
                <w:tcPr>
                  <w:tcW w:w="708" w:type="pct"/>
                  <w:vMerge w:val="continue"/>
                  <w:tcBorders>
                    <w:tl2br w:val="nil"/>
                    <w:tr2bl w:val="nil"/>
                  </w:tcBorders>
                  <w:noWrap w:val="0"/>
                  <w:vAlign w:val="center"/>
                </w:tcPr>
                <w:p w14:paraId="2DDDC8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477" w:type="pct"/>
                  <w:tcBorders>
                    <w:tl2br w:val="nil"/>
                    <w:tr2bl w:val="nil"/>
                  </w:tcBorders>
                  <w:noWrap w:val="0"/>
                  <w:vAlign w:val="center"/>
                </w:tcPr>
                <w:p w14:paraId="61885D7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非甲烷总烃</w:t>
                  </w:r>
                </w:p>
              </w:tc>
              <w:tc>
                <w:tcPr>
                  <w:tcW w:w="540" w:type="pct"/>
                  <w:tcBorders>
                    <w:tl2br w:val="nil"/>
                    <w:tr2bl w:val="nil"/>
                  </w:tcBorders>
                  <w:shd w:val="clear" w:color="auto" w:fill="auto"/>
                  <w:noWrap w:val="0"/>
                  <w:vAlign w:val="center"/>
                </w:tcPr>
                <w:p w14:paraId="0C9F7FEA">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12.853</w:t>
                  </w:r>
                </w:p>
              </w:tc>
              <w:tc>
                <w:tcPr>
                  <w:tcW w:w="545" w:type="pct"/>
                  <w:tcBorders>
                    <w:tl2br w:val="nil"/>
                    <w:tr2bl w:val="nil"/>
                  </w:tcBorders>
                  <w:shd w:val="clear" w:color="auto" w:fill="auto"/>
                  <w:noWrap w:val="0"/>
                  <w:vAlign w:val="center"/>
                </w:tcPr>
                <w:p w14:paraId="4FAF0255">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0.193</w:t>
                  </w:r>
                </w:p>
              </w:tc>
              <w:tc>
                <w:tcPr>
                  <w:tcW w:w="465" w:type="pct"/>
                  <w:vMerge w:val="restart"/>
                  <w:tcBorders>
                    <w:tl2br w:val="nil"/>
                    <w:tr2bl w:val="nil"/>
                  </w:tcBorders>
                  <w:noWrap w:val="0"/>
                  <w:vAlign w:val="center"/>
                </w:tcPr>
                <w:p w14:paraId="1AEC66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c>
                <w:tcPr>
                  <w:tcW w:w="447" w:type="pct"/>
                  <w:vMerge w:val="restart"/>
                  <w:tcBorders>
                    <w:tl2br w:val="nil"/>
                    <w:tr2bl w:val="nil"/>
                  </w:tcBorders>
                  <w:noWrap w:val="0"/>
                  <w:vAlign w:val="center"/>
                </w:tcPr>
                <w:p w14:paraId="289A7E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c>
                <w:tcPr>
                  <w:tcW w:w="367" w:type="pct"/>
                  <w:tcBorders>
                    <w:tl2br w:val="nil"/>
                    <w:tr2bl w:val="nil"/>
                  </w:tcBorders>
                  <w:shd w:val="clear" w:color="auto" w:fill="auto"/>
                  <w:noWrap w:val="0"/>
                  <w:vAlign w:val="center"/>
                </w:tcPr>
                <w:p w14:paraId="1FE42D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0.193</w:t>
                  </w:r>
                </w:p>
              </w:tc>
              <w:tc>
                <w:tcPr>
                  <w:tcW w:w="519" w:type="pct"/>
                  <w:vMerge w:val="continue"/>
                  <w:tcBorders>
                    <w:tl2br w:val="nil"/>
                    <w:tr2bl w:val="nil"/>
                  </w:tcBorders>
                  <w:noWrap w:val="0"/>
                  <w:vAlign w:val="center"/>
                </w:tcPr>
                <w:p w14:paraId="45294B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r>
            <w:tr w14:paraId="40D5D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8" w:type="pct"/>
                  <w:vMerge w:val="continue"/>
                  <w:tcBorders>
                    <w:tl2br w:val="nil"/>
                    <w:tr2bl w:val="nil"/>
                  </w:tcBorders>
                  <w:noWrap w:val="0"/>
                  <w:vAlign w:val="center"/>
                </w:tcPr>
                <w:p w14:paraId="2428F60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auto"/>
                      <w:kern w:val="0"/>
                      <w:sz w:val="21"/>
                      <w:szCs w:val="21"/>
                      <w:lang w:val="en-US" w:eastAsia="zh-CN" w:bidi="ar-SA"/>
                    </w:rPr>
                  </w:pPr>
                </w:p>
              </w:tc>
              <w:tc>
                <w:tcPr>
                  <w:tcW w:w="449" w:type="pct"/>
                  <w:vMerge w:val="continue"/>
                  <w:tcBorders>
                    <w:tl2br w:val="nil"/>
                    <w:tr2bl w:val="nil"/>
                  </w:tcBorders>
                  <w:noWrap w:val="0"/>
                  <w:vAlign w:val="center"/>
                </w:tcPr>
                <w:p w14:paraId="5167896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auto"/>
                      <w:kern w:val="0"/>
                      <w:sz w:val="21"/>
                      <w:szCs w:val="21"/>
                      <w:lang w:val="en-US" w:eastAsia="zh-CN" w:bidi="ar-SA"/>
                    </w:rPr>
                  </w:pPr>
                </w:p>
              </w:tc>
              <w:tc>
                <w:tcPr>
                  <w:tcW w:w="708" w:type="pct"/>
                  <w:vMerge w:val="continue"/>
                  <w:tcBorders>
                    <w:tl2br w:val="nil"/>
                    <w:tr2bl w:val="nil"/>
                  </w:tcBorders>
                  <w:noWrap w:val="0"/>
                  <w:vAlign w:val="center"/>
                </w:tcPr>
                <w:p w14:paraId="120DC1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477" w:type="pct"/>
                  <w:tcBorders>
                    <w:tl2br w:val="nil"/>
                    <w:tr2bl w:val="nil"/>
                  </w:tcBorders>
                  <w:noWrap w:val="0"/>
                  <w:vAlign w:val="center"/>
                </w:tcPr>
                <w:p w14:paraId="7758A3D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二硫化碳</w:t>
                  </w:r>
                </w:p>
              </w:tc>
              <w:tc>
                <w:tcPr>
                  <w:tcW w:w="540" w:type="pct"/>
                  <w:tcBorders>
                    <w:tl2br w:val="nil"/>
                    <w:tr2bl w:val="nil"/>
                  </w:tcBorders>
                  <w:shd w:val="clear" w:color="auto" w:fill="auto"/>
                  <w:noWrap w:val="0"/>
                  <w:vAlign w:val="center"/>
                </w:tcPr>
                <w:p w14:paraId="5344312E">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15.831</w:t>
                  </w:r>
                </w:p>
              </w:tc>
              <w:tc>
                <w:tcPr>
                  <w:tcW w:w="545" w:type="pct"/>
                  <w:tcBorders>
                    <w:tl2br w:val="nil"/>
                    <w:tr2bl w:val="nil"/>
                  </w:tcBorders>
                  <w:shd w:val="clear" w:color="auto" w:fill="auto"/>
                  <w:noWrap w:val="0"/>
                  <w:vAlign w:val="center"/>
                </w:tcPr>
                <w:p w14:paraId="6EC0F16E">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0.237</w:t>
                  </w:r>
                </w:p>
              </w:tc>
              <w:tc>
                <w:tcPr>
                  <w:tcW w:w="465" w:type="pct"/>
                  <w:vMerge w:val="continue"/>
                  <w:tcBorders>
                    <w:tl2br w:val="nil"/>
                    <w:tr2bl w:val="nil"/>
                  </w:tcBorders>
                  <w:noWrap w:val="0"/>
                  <w:vAlign w:val="center"/>
                </w:tcPr>
                <w:p w14:paraId="129633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447" w:type="pct"/>
                  <w:vMerge w:val="continue"/>
                  <w:tcBorders>
                    <w:tl2br w:val="nil"/>
                    <w:tr2bl w:val="nil"/>
                  </w:tcBorders>
                  <w:noWrap w:val="0"/>
                  <w:vAlign w:val="center"/>
                </w:tcPr>
                <w:p w14:paraId="13CE8C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367" w:type="pct"/>
                  <w:tcBorders>
                    <w:tl2br w:val="nil"/>
                    <w:tr2bl w:val="nil"/>
                  </w:tcBorders>
                  <w:shd w:val="clear" w:color="auto" w:fill="auto"/>
                  <w:noWrap w:val="0"/>
                  <w:vAlign w:val="center"/>
                </w:tcPr>
                <w:p w14:paraId="0646F92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0.237</w:t>
                  </w:r>
                </w:p>
              </w:tc>
              <w:tc>
                <w:tcPr>
                  <w:tcW w:w="519" w:type="pct"/>
                  <w:vMerge w:val="continue"/>
                  <w:tcBorders>
                    <w:tl2br w:val="nil"/>
                    <w:tr2bl w:val="nil"/>
                  </w:tcBorders>
                  <w:noWrap w:val="0"/>
                  <w:vAlign w:val="center"/>
                </w:tcPr>
                <w:p w14:paraId="55EE63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r>
          </w:tbl>
          <w:p w14:paraId="565EA190">
            <w:pPr>
              <w:pStyle w:val="13"/>
              <w:keepNext w:val="0"/>
              <w:keepLines w:val="0"/>
              <w:numPr>
                <w:ilvl w:val="0"/>
                <w:numId w:val="0"/>
              </w:numPr>
              <w:suppressLineNumbers w:val="0"/>
              <w:spacing w:before="0" w:beforeAutospacing="0" w:after="0" w:afterAutospacing="0"/>
              <w:ind w:left="0" w:right="0"/>
              <w:rPr>
                <w:rFonts w:hint="eastAsia" w:ascii="Times New Roman" w:hAnsi="Times New Roman" w:eastAsia="宋体" w:cs="Times New Roman"/>
                <w:b/>
                <w:color w:val="auto"/>
                <w:kern w:val="0"/>
                <w:sz w:val="28"/>
                <w:szCs w:val="28"/>
                <w:vertAlign w:val="baseline"/>
                <w:lang w:eastAsia="zh-CN"/>
              </w:rPr>
            </w:pPr>
          </w:p>
        </w:tc>
      </w:tr>
    </w:tbl>
    <w:p w14:paraId="05AF670C">
      <w:pPr>
        <w:adjustRightInd w:val="0"/>
        <w:snapToGrid w:val="0"/>
        <w:jc w:val="center"/>
        <w:rPr>
          <w:rFonts w:hint="default" w:ascii="Times New Roman" w:hAnsi="Times New Roman" w:cs="Times New Roman"/>
          <w:b w:val="0"/>
          <w:bCs w:val="0"/>
          <w:color w:val="auto"/>
          <w:sz w:val="21"/>
          <w:szCs w:val="21"/>
        </w:rPr>
        <w:sectPr>
          <w:pgSz w:w="16840" w:h="11907" w:orient="landscape"/>
          <w:pgMar w:top="1088" w:right="1191" w:bottom="1400" w:left="1417"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7"/>
        <w:tblW w:w="95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1"/>
        <w:gridCol w:w="9234"/>
      </w:tblGrid>
      <w:tr w14:paraId="640C70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502" w:type="dxa"/>
            <w:noWrap w:val="0"/>
            <w:tcMar>
              <w:left w:w="28" w:type="dxa"/>
              <w:right w:w="28" w:type="dxa"/>
            </w:tcMar>
            <w:vAlign w:val="center"/>
          </w:tcPr>
          <w:p w14:paraId="7EC2EE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2"/>
                <w:szCs w:val="22"/>
              </w:rPr>
            </w:pPr>
            <w:r>
              <w:rPr>
                <w:rFonts w:hint="default" w:ascii="Times New Roman" w:hAnsi="Times New Roman" w:cs="Times New Roman"/>
                <w:b w:val="0"/>
                <w:bCs w:val="0"/>
                <w:color w:val="auto"/>
                <w:sz w:val="21"/>
                <w:szCs w:val="21"/>
              </w:rPr>
              <w:t>运营期环境影响和保护措施</w:t>
            </w:r>
          </w:p>
        </w:tc>
        <w:tc>
          <w:tcPr>
            <w:tcW w:w="9053" w:type="dxa"/>
            <w:noWrap w:val="0"/>
            <w:vAlign w:val="center"/>
          </w:tcPr>
          <w:p w14:paraId="42E53C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（3）污染防治技术可行性分析</w:t>
            </w:r>
          </w:p>
          <w:p w14:paraId="780096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A、废气捕集效果及可行性分析</w:t>
            </w:r>
          </w:p>
          <w:p w14:paraId="211EED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①</w:t>
            </w:r>
            <w:r>
              <w:rPr>
                <w:rFonts w:hint="eastAsia" w:cs="Times New Roman"/>
                <w:b/>
                <w:bCs/>
                <w:color w:val="auto"/>
                <w:lang w:val="en-US" w:eastAsia="zh-CN"/>
              </w:rPr>
              <w:t>磨圆粉尘G5</w:t>
            </w:r>
          </w:p>
          <w:p w14:paraId="0A5D1F2D">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cs="Times New Roman"/>
                <w:color w:val="auto"/>
              </w:rPr>
            </w:pPr>
            <w:r>
              <w:rPr>
                <w:rFonts w:hint="default" w:cs="Times New Roman"/>
                <w:color w:val="auto"/>
              </w:rPr>
              <w:t>参考《废气处理工程技术手册》（王纯 张殿印主编）计算公式计算单个集气罩排气量，过程如下：</w:t>
            </w:r>
          </w:p>
          <w:p w14:paraId="0D12B220">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cs="Times New Roman"/>
                <w:color w:val="auto"/>
              </w:rPr>
            </w:pPr>
            <w:r>
              <w:rPr>
                <w:rFonts w:hint="default" w:cs="Times New Roman"/>
                <w:color w:val="auto"/>
              </w:rPr>
              <w:t>Q=1.4HPVx，其中：</w:t>
            </w:r>
          </w:p>
          <w:p w14:paraId="705113C9">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cs="Times New Roman"/>
                <w:color w:val="auto"/>
              </w:rPr>
            </w:pPr>
            <w:r>
              <w:rPr>
                <w:rFonts w:hint="default" w:cs="Times New Roman"/>
                <w:color w:val="auto"/>
              </w:rPr>
              <w:t>P--罩口长度，m；</w:t>
            </w:r>
          </w:p>
          <w:p w14:paraId="58E98712">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eastAsia="宋体" w:cs="Times New Roman"/>
                <w:color w:val="auto"/>
                <w:lang w:val="en-US" w:eastAsia="zh-CN"/>
              </w:rPr>
            </w:pPr>
            <w:r>
              <w:rPr>
                <w:rFonts w:hint="eastAsia" w:cs="Times New Roman"/>
                <w:color w:val="auto"/>
                <w:lang w:val="en-US" w:eastAsia="zh-CN"/>
              </w:rPr>
              <w:t>车床</w:t>
            </w:r>
            <w:r>
              <w:rPr>
                <w:rFonts w:hint="default" w:cs="Times New Roman"/>
                <w:color w:val="auto"/>
              </w:rPr>
              <w:t>集气罩</w:t>
            </w:r>
            <w:r>
              <w:rPr>
                <w:rFonts w:hint="eastAsia" w:cs="Times New Roman"/>
                <w:color w:val="auto"/>
              </w:rPr>
              <w:t>周长</w:t>
            </w:r>
            <w:r>
              <w:rPr>
                <w:rFonts w:hint="default" w:cs="Times New Roman"/>
                <w:color w:val="auto"/>
              </w:rPr>
              <w:t>：</w:t>
            </w:r>
            <w:r>
              <w:rPr>
                <w:rFonts w:hint="eastAsia" w:cs="Times New Roman"/>
                <w:color w:val="auto"/>
                <w:lang w:val="en-US" w:eastAsia="zh-CN"/>
              </w:rPr>
              <w:t>1.2</w:t>
            </w:r>
            <w:r>
              <w:rPr>
                <w:rFonts w:hint="default" w:cs="Times New Roman"/>
                <w:color w:val="auto"/>
              </w:rPr>
              <w:t>m</w:t>
            </w:r>
            <w:r>
              <w:rPr>
                <w:rFonts w:hint="eastAsia" w:cs="Times New Roman"/>
                <w:color w:val="auto"/>
              </w:rPr>
              <w:t>，数量：</w:t>
            </w:r>
            <w:r>
              <w:rPr>
                <w:rFonts w:hint="eastAsia" w:cs="Times New Roman"/>
                <w:color w:val="auto"/>
                <w:lang w:val="en-US" w:eastAsia="zh-CN"/>
              </w:rPr>
              <w:t>12</w:t>
            </w:r>
            <w:r>
              <w:rPr>
                <w:rFonts w:hint="eastAsia" w:cs="Times New Roman"/>
                <w:color w:val="auto"/>
              </w:rPr>
              <w:t>个；</w:t>
            </w:r>
          </w:p>
          <w:p w14:paraId="5ABB342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cs="Times New Roman"/>
                <w:color w:val="auto"/>
              </w:rPr>
            </w:pPr>
            <w:r>
              <w:rPr>
                <w:rFonts w:hint="default" w:cs="Times New Roman"/>
                <w:color w:val="auto"/>
              </w:rPr>
              <w:t>H--污染源至罩口距离，本次取0.</w:t>
            </w:r>
            <w:r>
              <w:rPr>
                <w:rFonts w:hint="eastAsia" w:cs="Times New Roman"/>
                <w:color w:val="auto"/>
              </w:rPr>
              <w:t>2</w:t>
            </w:r>
            <w:r>
              <w:rPr>
                <w:rFonts w:hint="default" w:cs="Times New Roman"/>
                <w:color w:val="auto"/>
              </w:rPr>
              <w:t>m；</w:t>
            </w:r>
          </w:p>
          <w:p w14:paraId="0CAD99BC">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cs="Times New Roman"/>
                <w:color w:val="auto"/>
              </w:rPr>
            </w:pPr>
            <w:r>
              <w:rPr>
                <w:rFonts w:hint="default" w:cs="Times New Roman"/>
                <w:color w:val="auto"/>
              </w:rPr>
              <w:t>Vx--操作口空气速度，本次取0.</w:t>
            </w:r>
            <w:r>
              <w:rPr>
                <w:rFonts w:hint="eastAsia" w:cs="Times New Roman"/>
                <w:color w:val="auto"/>
              </w:rPr>
              <w:t>3</w:t>
            </w:r>
            <w:r>
              <w:rPr>
                <w:rFonts w:hint="default" w:cs="Times New Roman"/>
                <w:color w:val="auto"/>
              </w:rPr>
              <w:t>m/s；</w:t>
            </w:r>
          </w:p>
          <w:p w14:paraId="5F827914">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cs="Times New Roman"/>
                <w:color w:val="auto"/>
              </w:rPr>
            </w:pPr>
            <w:r>
              <w:rPr>
                <w:rFonts w:hint="default" w:cs="Times New Roman"/>
                <w:color w:val="auto"/>
              </w:rPr>
              <w:t>则Q</w:t>
            </w:r>
            <w:r>
              <w:rPr>
                <w:rFonts w:hint="eastAsia" w:cs="Times New Roman"/>
                <w:color w:val="auto"/>
              </w:rPr>
              <w:t>=</w:t>
            </w:r>
            <w:r>
              <w:rPr>
                <w:rFonts w:hint="eastAsia" w:cs="Times New Roman"/>
                <w:color w:val="auto"/>
                <w:lang w:val="en-US" w:eastAsia="zh-CN"/>
              </w:rPr>
              <w:t>4354.56</w:t>
            </w:r>
            <w:r>
              <w:rPr>
                <w:rFonts w:hint="default" w:cs="Times New Roman"/>
                <w:color w:val="auto"/>
              </w:rPr>
              <w:t>m</w:t>
            </w:r>
            <w:r>
              <w:rPr>
                <w:rFonts w:hint="default" w:cs="Times New Roman"/>
                <w:color w:val="auto"/>
                <w:vertAlign w:val="superscript"/>
              </w:rPr>
              <w:t>3</w:t>
            </w:r>
            <w:r>
              <w:rPr>
                <w:rFonts w:hint="default" w:cs="Times New Roman"/>
                <w:color w:val="auto"/>
              </w:rPr>
              <w:t>/h。</w:t>
            </w:r>
          </w:p>
          <w:p w14:paraId="3BB62B31">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s="Times New Roman"/>
                <w:color w:val="auto"/>
              </w:rPr>
            </w:pPr>
            <w:r>
              <w:rPr>
                <w:rFonts w:hint="default" w:cs="Times New Roman"/>
                <w:color w:val="auto"/>
              </w:rPr>
              <w:t>本项目采用的</w:t>
            </w:r>
            <w:r>
              <w:rPr>
                <w:rFonts w:hint="eastAsia" w:cs="Times New Roman"/>
                <w:color w:val="auto"/>
              </w:rPr>
              <w:t>“</w:t>
            </w:r>
            <w:r>
              <w:rPr>
                <w:rFonts w:hint="eastAsia" w:cs="Times New Roman"/>
                <w:color w:val="auto"/>
                <w:lang w:val="en-US" w:eastAsia="zh-CN"/>
              </w:rPr>
              <w:t>袋式除尘</w:t>
            </w:r>
            <w:r>
              <w:rPr>
                <w:rFonts w:hint="eastAsia" w:cs="Times New Roman"/>
                <w:color w:val="auto"/>
              </w:rPr>
              <w:t>”装置处理能力为</w:t>
            </w:r>
            <w:r>
              <w:rPr>
                <w:rFonts w:hint="eastAsia" w:cs="Times New Roman"/>
                <w:color w:val="auto"/>
                <w:lang w:val="en-US" w:eastAsia="zh-CN"/>
              </w:rPr>
              <w:t>5</w:t>
            </w:r>
            <w:r>
              <w:rPr>
                <w:rFonts w:hint="eastAsia" w:cs="Times New Roman"/>
                <w:color w:val="auto"/>
              </w:rPr>
              <w:t>000</w:t>
            </w:r>
            <w:r>
              <w:rPr>
                <w:rFonts w:hint="default" w:cs="Times New Roman"/>
                <w:color w:val="auto"/>
              </w:rPr>
              <w:t>m</w:t>
            </w:r>
            <w:r>
              <w:rPr>
                <w:rFonts w:hint="default" w:cs="Times New Roman"/>
                <w:color w:val="auto"/>
                <w:vertAlign w:val="superscript"/>
              </w:rPr>
              <w:t>3</w:t>
            </w:r>
            <w:r>
              <w:rPr>
                <w:rFonts w:hint="default" w:cs="Times New Roman"/>
                <w:color w:val="auto"/>
              </w:rPr>
              <w:t>/h</w:t>
            </w:r>
            <w:r>
              <w:rPr>
                <w:rFonts w:hint="eastAsia" w:cs="Times New Roman"/>
                <w:color w:val="auto"/>
              </w:rPr>
              <w:t>，</w:t>
            </w:r>
            <w:r>
              <w:rPr>
                <w:rFonts w:hint="eastAsia" w:cs="Times New Roman"/>
                <w:color w:val="auto"/>
                <w:lang w:val="en-US" w:eastAsia="zh-CN"/>
              </w:rPr>
              <w:t>集气罩+垂帘</w:t>
            </w:r>
            <w:r>
              <w:rPr>
                <w:rFonts w:hint="default" w:cs="Times New Roman"/>
                <w:color w:val="auto"/>
              </w:rPr>
              <w:t>可对上述</w:t>
            </w:r>
            <w:r>
              <w:rPr>
                <w:rFonts w:hint="eastAsia" w:cs="Times New Roman"/>
                <w:color w:val="auto"/>
              </w:rPr>
              <w:t>废气</w:t>
            </w:r>
            <w:r>
              <w:rPr>
                <w:rFonts w:hint="default" w:cs="Times New Roman"/>
                <w:color w:val="auto"/>
              </w:rPr>
              <w:t>进行有效收集，捕集率</w:t>
            </w:r>
            <w:r>
              <w:rPr>
                <w:rFonts w:hint="eastAsia" w:cs="Times New Roman"/>
                <w:color w:val="auto"/>
              </w:rPr>
              <w:t>可达</w:t>
            </w:r>
            <w:r>
              <w:rPr>
                <w:rFonts w:hint="default" w:cs="Times New Roman"/>
                <w:color w:val="auto"/>
              </w:rPr>
              <w:t>9</w:t>
            </w:r>
            <w:r>
              <w:rPr>
                <w:rFonts w:hint="eastAsia" w:cs="Times New Roman"/>
                <w:color w:val="auto"/>
              </w:rPr>
              <w:t>0</w:t>
            </w:r>
            <w:r>
              <w:rPr>
                <w:rFonts w:hint="default" w:cs="Times New Roman"/>
                <w:color w:val="auto"/>
              </w:rPr>
              <w:t>%。</w:t>
            </w:r>
          </w:p>
          <w:p w14:paraId="78FAE9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lang w:val="en-US" w:eastAsia="zh-CN"/>
              </w:rPr>
            </w:pPr>
            <w:r>
              <w:rPr>
                <w:rFonts w:hint="eastAsia" w:cs="Times New Roman"/>
                <w:b/>
                <w:bCs/>
                <w:color w:val="auto"/>
                <w:lang w:val="en-US" w:eastAsia="zh-CN"/>
              </w:rPr>
              <w:t>②涂胶废气G1、密炼废气G2、开炼废气G3、硫化废气G4</w:t>
            </w:r>
          </w:p>
          <w:p w14:paraId="607491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参考《废气处理工程技术手册》（王纯张殿印主编）中P959中</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表17-1每小时各种场所换气次数</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一般作业室</w:t>
            </w:r>
            <w:r>
              <w:rPr>
                <w:rFonts w:hint="default" w:ascii="Times New Roman" w:hAnsi="Times New Roman" w:cs="Times New Roman"/>
                <w:color w:val="auto"/>
                <w:lang w:val="en-US" w:eastAsia="zh-CN"/>
              </w:rPr>
              <w:t>换气次数建议为</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次/h</w:t>
            </w:r>
            <w:r>
              <w:rPr>
                <w:rFonts w:hint="eastAsia" w:ascii="Times New Roman" w:hAnsi="Times New Roman" w:cs="Times New Roman"/>
                <w:color w:val="auto"/>
                <w:lang w:val="en-US" w:eastAsia="zh-CN"/>
              </w:rPr>
              <w:t>，本次考虑10</w:t>
            </w:r>
            <w:r>
              <w:rPr>
                <w:rFonts w:hint="default" w:ascii="Times New Roman" w:hAnsi="Times New Roman" w:cs="Times New Roman"/>
                <w:color w:val="auto"/>
                <w:lang w:val="en-US" w:eastAsia="zh-CN"/>
              </w:rPr>
              <w:t>次/h。空间密闭换风排风量L（m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/h）的计算公式为：</w:t>
            </w:r>
          </w:p>
          <w:p w14:paraId="042398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L=nV</w:t>
            </w:r>
            <w:r>
              <w:rPr>
                <w:rFonts w:hint="default" w:ascii="Times New Roman" w:hAnsi="Times New Roman" w:cs="Times New Roman"/>
                <w:color w:val="auto"/>
                <w:vertAlign w:val="subscript"/>
                <w:lang w:val="en-US" w:eastAsia="zh-CN"/>
              </w:rPr>
              <w:t>f</w:t>
            </w:r>
          </w:p>
          <w:p w14:paraId="62A1E7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n—换气次数，次/h；</w:t>
            </w:r>
          </w:p>
          <w:p w14:paraId="51E312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V</w:t>
            </w:r>
            <w:r>
              <w:rPr>
                <w:rFonts w:hint="default" w:ascii="Times New Roman" w:hAnsi="Times New Roman" w:cs="Times New Roman"/>
                <w:color w:val="auto"/>
                <w:vertAlign w:val="subscript"/>
                <w:lang w:val="en-US" w:eastAsia="zh-CN"/>
              </w:rPr>
              <w:t>f</w:t>
            </w:r>
            <w:r>
              <w:rPr>
                <w:rFonts w:hint="default" w:ascii="Times New Roman" w:hAnsi="Times New Roman" w:cs="Times New Roman"/>
                <w:color w:val="auto"/>
                <w:lang w:val="en-US" w:eastAsia="zh-CN"/>
              </w:rPr>
              <w:t>—通风房间体积，m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p>
          <w:p w14:paraId="023F0D93">
            <w:pPr>
              <w:pStyle w:val="6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4-</w:t>
            </w:r>
            <w:r>
              <w:rPr>
                <w:rFonts w:hint="eastAsia"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 xml:space="preserve"> </w:t>
            </w:r>
            <w:r>
              <w:rPr>
                <w:rFonts w:hint="eastAsia" w:ascii="Times New Roman" w:hAnsi="Times New Roman" w:eastAsia="宋体" w:cs="Times New Roman"/>
                <w:color w:val="auto"/>
                <w:sz w:val="21"/>
                <w:szCs w:val="21"/>
                <w:highlight w:val="none"/>
                <w:lang w:val="en-US" w:eastAsia="zh-CN"/>
              </w:rPr>
              <w:t>密闭</w:t>
            </w:r>
            <w:r>
              <w:rPr>
                <w:rFonts w:hint="eastAsia" w:cs="Times New Roman"/>
                <w:color w:val="auto"/>
                <w:sz w:val="21"/>
                <w:szCs w:val="21"/>
                <w:highlight w:val="none"/>
                <w:lang w:val="en-US" w:eastAsia="zh-CN"/>
              </w:rPr>
              <w:t>废气收集风量核算</w:t>
            </w:r>
            <w:r>
              <w:rPr>
                <w:rFonts w:hint="default" w:ascii="Times New Roman" w:hAnsi="Times New Roman" w:eastAsia="宋体" w:cs="Times New Roman"/>
                <w:color w:val="auto"/>
                <w:sz w:val="21"/>
                <w:szCs w:val="21"/>
                <w:highlight w:val="none"/>
              </w:rPr>
              <w:t>表</w:t>
            </w:r>
          </w:p>
          <w:tbl>
            <w:tblPr>
              <w:tblStyle w:val="7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2485"/>
              <w:gridCol w:w="1253"/>
              <w:gridCol w:w="2002"/>
              <w:gridCol w:w="1753"/>
            </w:tblGrid>
            <w:tr w14:paraId="64D8C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43" w:type="pct"/>
                  <w:vMerge w:val="restart"/>
                  <w:tcBorders>
                    <w:tl2br w:val="nil"/>
                    <w:tr2bl w:val="nil"/>
                  </w:tcBorders>
                  <w:noWrap w:val="0"/>
                  <w:vAlign w:val="center"/>
                </w:tcPr>
                <w:p w14:paraId="633DD6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废气污染源</w:t>
                  </w:r>
                </w:p>
              </w:tc>
              <w:tc>
                <w:tcPr>
                  <w:tcW w:w="2073" w:type="pct"/>
                  <w:gridSpan w:val="2"/>
                  <w:tcBorders>
                    <w:tl2br w:val="nil"/>
                    <w:tr2bl w:val="nil"/>
                  </w:tcBorders>
                  <w:noWrap w:val="0"/>
                  <w:vAlign w:val="center"/>
                </w:tcPr>
                <w:p w14:paraId="7675DD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设计参数</w:t>
                  </w:r>
                </w:p>
              </w:tc>
              <w:tc>
                <w:tcPr>
                  <w:tcW w:w="1110" w:type="pct"/>
                  <w:vMerge w:val="restart"/>
                  <w:tcBorders>
                    <w:tl2br w:val="nil"/>
                    <w:tr2bl w:val="nil"/>
                  </w:tcBorders>
                  <w:noWrap w:val="0"/>
                  <w:vAlign w:val="center"/>
                </w:tcPr>
                <w:p w14:paraId="4F4329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换风次数（次/h）</w:t>
                  </w:r>
                </w:p>
              </w:tc>
              <w:tc>
                <w:tcPr>
                  <w:tcW w:w="972" w:type="pct"/>
                  <w:vMerge w:val="restart"/>
                  <w:tcBorders>
                    <w:tl2br w:val="nil"/>
                    <w:tr2bl w:val="nil"/>
                  </w:tcBorders>
                  <w:noWrap w:val="0"/>
                  <w:vAlign w:val="center"/>
                </w:tcPr>
                <w:p w14:paraId="612861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核算风量（m</w:t>
                  </w:r>
                  <w:r>
                    <w:rPr>
                      <w:rFonts w:hint="eastAsia" w:ascii="Times New Roman" w:hAnsi="Times New Roman" w:eastAsia="仿宋" w:cs="Times New Roman"/>
                      <w:color w:val="auto"/>
                      <w:kern w:val="0"/>
                      <w:sz w:val="21"/>
                      <w:szCs w:val="21"/>
                      <w:vertAlign w:val="superscript"/>
                      <w:lang w:val="en-US" w:eastAsia="zh-CN" w:bidi="ar-SA"/>
                    </w:rPr>
                    <w:t>3</w:t>
                  </w:r>
                  <w:r>
                    <w:rPr>
                      <w:rFonts w:hint="eastAsia" w:ascii="Times New Roman" w:hAnsi="Times New Roman" w:eastAsia="仿宋" w:cs="Times New Roman"/>
                      <w:color w:val="auto"/>
                      <w:kern w:val="0"/>
                      <w:sz w:val="21"/>
                      <w:szCs w:val="21"/>
                      <w:lang w:val="en-US" w:eastAsia="zh-CN" w:bidi="ar-SA"/>
                    </w:rPr>
                    <w:t>/h）</w:t>
                  </w:r>
                </w:p>
              </w:tc>
            </w:tr>
            <w:tr w14:paraId="49051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43" w:type="pct"/>
                  <w:vMerge w:val="continue"/>
                  <w:tcBorders>
                    <w:tl2br w:val="nil"/>
                    <w:tr2bl w:val="nil"/>
                  </w:tcBorders>
                  <w:noWrap w:val="0"/>
                  <w:vAlign w:val="center"/>
                </w:tcPr>
                <w:p w14:paraId="4E13C9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1378" w:type="pct"/>
                  <w:tcBorders>
                    <w:tl2br w:val="nil"/>
                    <w:tr2bl w:val="nil"/>
                  </w:tcBorders>
                  <w:noWrap w:val="0"/>
                  <w:vAlign w:val="center"/>
                </w:tcPr>
                <w:p w14:paraId="3D0305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面积（m</w:t>
                  </w:r>
                  <w:r>
                    <w:rPr>
                      <w:rFonts w:hint="eastAsia" w:ascii="Times New Roman" w:hAnsi="Times New Roman" w:eastAsia="仿宋" w:cs="Times New Roman"/>
                      <w:color w:val="auto"/>
                      <w:kern w:val="0"/>
                      <w:sz w:val="21"/>
                      <w:szCs w:val="21"/>
                      <w:vertAlign w:val="superscript"/>
                      <w:lang w:val="en-US" w:eastAsia="zh-CN" w:bidi="ar-SA"/>
                    </w:rPr>
                    <w:t>2</w:t>
                  </w:r>
                  <w:r>
                    <w:rPr>
                      <w:rFonts w:hint="eastAsia" w:ascii="Times New Roman" w:hAnsi="Times New Roman" w:eastAsia="仿宋" w:cs="Times New Roman"/>
                      <w:color w:val="auto"/>
                      <w:kern w:val="0"/>
                      <w:sz w:val="21"/>
                      <w:szCs w:val="21"/>
                      <w:lang w:val="en-US" w:eastAsia="zh-CN" w:bidi="ar-SA"/>
                    </w:rPr>
                    <w:t>）</w:t>
                  </w:r>
                </w:p>
              </w:tc>
              <w:tc>
                <w:tcPr>
                  <w:tcW w:w="694" w:type="pct"/>
                  <w:tcBorders>
                    <w:tl2br w:val="nil"/>
                    <w:tr2bl w:val="nil"/>
                  </w:tcBorders>
                  <w:noWrap w:val="0"/>
                  <w:vAlign w:val="center"/>
                </w:tcPr>
                <w:p w14:paraId="061801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高（m）</w:t>
                  </w:r>
                </w:p>
              </w:tc>
              <w:tc>
                <w:tcPr>
                  <w:tcW w:w="1110" w:type="pct"/>
                  <w:vMerge w:val="continue"/>
                  <w:tcBorders>
                    <w:tl2br w:val="nil"/>
                    <w:tr2bl w:val="nil"/>
                  </w:tcBorders>
                  <w:noWrap w:val="0"/>
                  <w:vAlign w:val="center"/>
                </w:tcPr>
                <w:p w14:paraId="1FCBFD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c>
                <w:tcPr>
                  <w:tcW w:w="972" w:type="pct"/>
                  <w:vMerge w:val="continue"/>
                  <w:tcBorders>
                    <w:tl2br w:val="nil"/>
                    <w:tr2bl w:val="nil"/>
                  </w:tcBorders>
                  <w:noWrap w:val="0"/>
                  <w:vAlign w:val="center"/>
                </w:tcPr>
                <w:p w14:paraId="38D1B9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p>
              </w:tc>
            </w:tr>
            <w:tr w14:paraId="629FB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43" w:type="pct"/>
                  <w:tcBorders>
                    <w:tl2br w:val="nil"/>
                    <w:tr2bl w:val="nil"/>
                  </w:tcBorders>
                  <w:noWrap w:val="0"/>
                  <w:vAlign w:val="center"/>
                </w:tcPr>
                <w:p w14:paraId="3B2D8F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炼胶房</w:t>
                  </w:r>
                </w:p>
              </w:tc>
              <w:tc>
                <w:tcPr>
                  <w:tcW w:w="1378" w:type="pct"/>
                  <w:tcBorders>
                    <w:tl2br w:val="nil"/>
                    <w:tr2bl w:val="nil"/>
                  </w:tcBorders>
                  <w:noWrap w:val="0"/>
                  <w:vAlign w:val="center"/>
                </w:tcPr>
                <w:p w14:paraId="4F4D34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400</w:t>
                  </w:r>
                </w:p>
              </w:tc>
              <w:tc>
                <w:tcPr>
                  <w:tcW w:w="694" w:type="pct"/>
                  <w:tcBorders>
                    <w:tl2br w:val="nil"/>
                    <w:tr2bl w:val="nil"/>
                  </w:tcBorders>
                  <w:noWrap w:val="0"/>
                  <w:vAlign w:val="center"/>
                </w:tcPr>
                <w:p w14:paraId="257E6E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3</w:t>
                  </w:r>
                </w:p>
              </w:tc>
              <w:tc>
                <w:tcPr>
                  <w:tcW w:w="1110" w:type="pct"/>
                  <w:tcBorders>
                    <w:tl2br w:val="nil"/>
                    <w:tr2bl w:val="nil"/>
                  </w:tcBorders>
                  <w:noWrap w:val="0"/>
                  <w:vAlign w:val="center"/>
                </w:tcPr>
                <w:p w14:paraId="74051D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10</w:t>
                  </w:r>
                </w:p>
              </w:tc>
              <w:tc>
                <w:tcPr>
                  <w:tcW w:w="972" w:type="pct"/>
                  <w:tcBorders>
                    <w:tl2br w:val="nil"/>
                    <w:tr2bl w:val="nil"/>
                  </w:tcBorders>
                  <w:noWrap w:val="0"/>
                  <w:vAlign w:val="center"/>
                </w:tcPr>
                <w:p w14:paraId="04C144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14000</w:t>
                  </w:r>
                </w:p>
              </w:tc>
            </w:tr>
          </w:tbl>
          <w:p w14:paraId="5BC66D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lang w:val="en-US" w:eastAsia="zh-CN"/>
              </w:rPr>
            </w:pPr>
            <w:r>
              <w:rPr>
                <w:rFonts w:hint="default" w:cs="Times New Roman"/>
                <w:color w:val="auto"/>
              </w:rPr>
              <w:t>本项目采用的</w:t>
            </w:r>
            <w:r>
              <w:rPr>
                <w:rFonts w:hint="eastAsia" w:cs="Times New Roman"/>
                <w:color w:val="auto"/>
              </w:rPr>
              <w:t>“</w:t>
            </w:r>
            <w:r>
              <w:rPr>
                <w:rFonts w:hint="eastAsia" w:cs="Times New Roman"/>
                <w:color w:val="auto"/>
                <w:lang w:val="en-US" w:eastAsia="zh-CN"/>
              </w:rPr>
              <w:t>脉冲除尘+水喷淋+除雾+两级活性炭吸附</w:t>
            </w:r>
            <w:r>
              <w:rPr>
                <w:rFonts w:hint="eastAsia" w:cs="Times New Roman"/>
                <w:color w:val="auto"/>
              </w:rPr>
              <w:t>”装置处理能力为</w:t>
            </w:r>
            <w:r>
              <w:rPr>
                <w:rFonts w:hint="eastAsia" w:cs="Times New Roman"/>
                <w:color w:val="auto"/>
                <w:lang w:val="en-US" w:eastAsia="zh-CN"/>
              </w:rPr>
              <w:t>15</w:t>
            </w:r>
            <w:r>
              <w:rPr>
                <w:rFonts w:hint="eastAsia" w:cs="Times New Roman"/>
                <w:color w:val="auto"/>
              </w:rPr>
              <w:t>000</w:t>
            </w:r>
            <w:r>
              <w:rPr>
                <w:rFonts w:hint="default" w:cs="Times New Roman"/>
                <w:color w:val="auto"/>
              </w:rPr>
              <w:t>m</w:t>
            </w:r>
            <w:r>
              <w:rPr>
                <w:rFonts w:hint="default" w:cs="Times New Roman"/>
                <w:color w:val="auto"/>
                <w:vertAlign w:val="superscript"/>
              </w:rPr>
              <w:t>3</w:t>
            </w:r>
            <w:r>
              <w:rPr>
                <w:rFonts w:hint="default" w:cs="Times New Roman"/>
                <w:color w:val="auto"/>
              </w:rPr>
              <w:t>/h</w:t>
            </w:r>
            <w:r>
              <w:rPr>
                <w:rFonts w:hint="eastAsia" w:cs="Times New Roman"/>
                <w:color w:val="auto"/>
              </w:rPr>
              <w:t>，</w:t>
            </w:r>
            <w:r>
              <w:rPr>
                <w:rFonts w:hint="default" w:cs="Times New Roman"/>
                <w:color w:val="auto"/>
              </w:rPr>
              <w:t>可对上述</w:t>
            </w:r>
            <w:r>
              <w:rPr>
                <w:rFonts w:hint="eastAsia" w:cs="Times New Roman"/>
                <w:color w:val="auto"/>
              </w:rPr>
              <w:t>废气</w:t>
            </w:r>
            <w:r>
              <w:rPr>
                <w:rFonts w:hint="default" w:cs="Times New Roman"/>
                <w:color w:val="auto"/>
              </w:rPr>
              <w:t>进行有效收集，捕集率</w:t>
            </w:r>
            <w:r>
              <w:rPr>
                <w:rFonts w:hint="eastAsia" w:cs="Times New Roman"/>
                <w:color w:val="auto"/>
              </w:rPr>
              <w:t>可达</w:t>
            </w:r>
            <w:r>
              <w:rPr>
                <w:rFonts w:hint="default" w:cs="Times New Roman"/>
                <w:color w:val="auto"/>
              </w:rPr>
              <w:t>9</w:t>
            </w:r>
            <w:r>
              <w:rPr>
                <w:rFonts w:hint="eastAsia" w:cs="Times New Roman"/>
                <w:color w:val="auto"/>
              </w:rPr>
              <w:t>0</w:t>
            </w:r>
            <w:r>
              <w:rPr>
                <w:rFonts w:hint="default" w:cs="Times New Roman"/>
                <w:color w:val="auto"/>
              </w:rPr>
              <w:t>%。</w:t>
            </w:r>
            <w:r>
              <w:rPr>
                <w:rFonts w:hint="eastAsia" w:ascii="Times New Roman" w:hAnsi="Times New Roman" w:eastAsia="宋体" w:cs="Times New Roman"/>
                <w:b w:val="0"/>
                <w:bCs w:val="0"/>
                <w:color w:val="auto"/>
                <w:lang w:val="en-US" w:eastAsia="zh-CN"/>
              </w:rPr>
              <w:t>本项目废气处理工艺示意图见下图。</w:t>
            </w:r>
          </w:p>
          <w:p w14:paraId="78F14E08">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eastAsia="仿宋" w:cs="Times New Roman"/>
                <w:bCs/>
                <w:color w:val="auto"/>
                <w:sz w:val="24"/>
              </w:rPr>
            </w:pPr>
            <w:r>
              <w:rPr>
                <w:rFonts w:hint="default" w:cs="Times New Roman"/>
                <w:color w:val="auto"/>
              </w:rPr>
              <w:object>
                <v:shape id="_x0000_i1027" o:spt="75" type="#_x0000_t75" style="height:167.9pt;width:342.7pt;" o:ole="t" filled="f" o:preferrelative="t" stroked="f" coordsize="21600,21600">
                  <v:path/>
                  <v:fill on="f" focussize="0,0"/>
                  <v:stroke on="f"/>
                  <v:imagedata r:id="rId20" croptop="4115f" o:title=""/>
                  <o:lock v:ext="edit" aspectratio="t"/>
                  <w10:wrap type="none"/>
                  <w10:anchorlock/>
                </v:shape>
                <o:OLEObject Type="Embed" ProgID="Visio.Drawing.15" ShapeID="_x0000_i1027" DrawAspect="Content" ObjectID="_1468075727" r:id="rId19">
                  <o:LockedField>false</o:LockedField>
                </o:OLEObject>
              </w:object>
            </w:r>
          </w:p>
          <w:p w14:paraId="4B8F1C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图4-1  本项目废气处理工艺示意图</w:t>
            </w:r>
          </w:p>
          <w:p w14:paraId="6D219B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lang w:val="en-US" w:eastAsia="zh-CN"/>
              </w:rPr>
            </w:pPr>
          </w:p>
          <w:p w14:paraId="26C923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B、废气处理工艺合理</w:t>
            </w:r>
            <w:r>
              <w:rPr>
                <w:rFonts w:hint="default" w:ascii="Times New Roman" w:hAnsi="Times New Roman" w:eastAsia="宋体" w:cs="Times New Roman"/>
                <w:b/>
                <w:bCs/>
                <w:color w:val="auto"/>
                <w:lang w:val="en-US" w:eastAsia="zh-CN"/>
              </w:rPr>
              <w:t>性分析：</w:t>
            </w:r>
          </w:p>
          <w:p w14:paraId="7F0656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bCs/>
                <w:color w:val="auto"/>
                <w:lang w:val="en-US" w:eastAsia="zh-CN"/>
              </w:rPr>
              <w:t>袋式除尘器废气处理工作原理：</w:t>
            </w:r>
            <w:r>
              <w:rPr>
                <w:rFonts w:hint="eastAsia" w:ascii="Times New Roman" w:hAnsi="Times New Roman" w:eastAsia="宋体" w:cs="Times New Roman"/>
                <w:b w:val="0"/>
                <w:bCs w:val="0"/>
                <w:color w:val="auto"/>
                <w:lang w:val="en-US" w:eastAsia="zh-CN"/>
              </w:rPr>
              <w:t>是一种干式滤尘装置。滤料使用一段时间后，由于筛滤、碰撞、滞留、扩散、静电等效应，滤袋表面积聚了一层粉尘，这层粉尘称为初层，在此以后的运动过程中，初层成了滤料的主要过滤层，依靠初层的作用，网孔较大的滤料也能获得较高的过滤效率。随着粉尘在滤料表面的积聚，除尘器的效率和阻力都相应地增加，当滤料两侧的压力差很大时，会把有些已附着在滤料上的细小尘粒挤压过去，使除尘器效率下降。另外，除尘器的阻力过高会使除尘系统的风量显著下降。因此，除尘器的阻力达到一定数值后，要及时清灰。清灰时不能破坏初层，以免效率下降。</w:t>
            </w:r>
          </w:p>
          <w:p w14:paraId="332C1C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袋式除尘器结构主要由上部箱体、中部箱体、下部箱体（灰斗）、清灰系统和排灰机构等部分组成。其主要结构组成见下图：</w:t>
            </w:r>
          </w:p>
          <w:p w14:paraId="47DC24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rPr>
            </w:pPr>
            <w:r>
              <w:rPr>
                <w:rFonts w:hint="default" w:cs="Times New Roman"/>
                <w:color w:val="auto"/>
              </w:rPr>
              <w:drawing>
                <wp:inline distT="0" distB="0" distL="114300" distR="114300">
                  <wp:extent cx="3775710" cy="3133090"/>
                  <wp:effectExtent l="0" t="0" r="0" b="0"/>
                  <wp:docPr id="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9"/>
                          <pic:cNvPicPr>
                            <a:picLocks noChangeAspect="1"/>
                          </pic:cNvPicPr>
                        </pic:nvPicPr>
                        <pic:blipFill>
                          <a:blip r:embed="rId21"/>
                          <a:stretch>
                            <a:fillRect/>
                          </a:stretch>
                        </pic:blipFill>
                        <pic:spPr>
                          <a:xfrm>
                            <a:off x="0" y="0"/>
                            <a:ext cx="3775710" cy="3133090"/>
                          </a:xfrm>
                          <a:prstGeom prst="rect">
                            <a:avLst/>
                          </a:prstGeom>
                          <a:noFill/>
                          <a:ln>
                            <a:noFill/>
                          </a:ln>
                        </pic:spPr>
                      </pic:pic>
                    </a:graphicData>
                  </a:graphic>
                </wp:inline>
              </w:drawing>
            </w:r>
          </w:p>
          <w:p w14:paraId="4F701E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图4-</w:t>
            </w:r>
            <w:r>
              <w:rPr>
                <w:rFonts w:hint="eastAsia"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 xml:space="preserve">  袋式除尘器结构组成图</w:t>
            </w:r>
          </w:p>
          <w:p w14:paraId="1C1A97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cs="Times New Roman"/>
                <w:b w:val="0"/>
                <w:bCs w:val="0"/>
                <w:color w:val="auto"/>
                <w:lang w:val="en-US" w:eastAsia="zh-CN"/>
              </w:rPr>
            </w:pPr>
            <w:r>
              <w:rPr>
                <w:rFonts w:hint="eastAsia" w:cs="Times New Roman"/>
                <w:b/>
                <w:bCs/>
                <w:color w:val="auto"/>
                <w:lang w:val="en-US" w:eastAsia="zh-CN"/>
              </w:rPr>
              <w:t>脉冲除尘器工作原理</w:t>
            </w:r>
            <w:r>
              <w:rPr>
                <w:rFonts w:hint="eastAsia" w:cs="Times New Roman"/>
                <w:b w:val="0"/>
                <w:bCs w:val="0"/>
                <w:color w:val="auto"/>
                <w:lang w:val="en-US" w:eastAsia="zh-CN"/>
              </w:rPr>
              <w:t>：正常工作时，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脉冲除尘器的工作原理与袋式除尘原理类似。</w:t>
            </w:r>
          </w:p>
          <w:p w14:paraId="688DF8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ascii="Times New Roman" w:hAnsi="Times New Roman" w:eastAsia="宋体" w:cs="Times New Roman"/>
                <w:b w:val="0"/>
                <w:bCs w:val="0"/>
                <w:color w:val="auto"/>
                <w:lang w:val="en-US" w:eastAsia="zh-CN"/>
              </w:rPr>
            </w:pPr>
            <w:r>
              <w:rPr>
                <w:rFonts w:hint="eastAsia" w:cs="Times New Roman"/>
                <w:b/>
                <w:bCs/>
                <w:color w:val="auto"/>
                <w:lang w:val="en-US" w:eastAsia="zh-CN"/>
              </w:rPr>
              <w:t>水喷淋+除雾器工作原理：</w:t>
            </w:r>
            <w:r>
              <w:rPr>
                <w:rFonts w:hint="eastAsia" w:ascii="Times New Roman" w:hAnsi="Times New Roman" w:eastAsia="宋体" w:cs="Times New Roman"/>
                <w:b w:val="0"/>
                <w:bCs w:val="0"/>
                <w:color w:val="auto"/>
                <w:lang w:val="en-US" w:eastAsia="zh-CN"/>
              </w:rPr>
              <w:t>水喷淋塔的工作原理是将废气中的颗粒物和部分溶于水的有机物分离出来，</w:t>
            </w:r>
            <w:r>
              <w:rPr>
                <w:rFonts w:hint="eastAsia" w:cs="Times New Roman"/>
                <w:b w:val="0"/>
                <w:bCs w:val="0"/>
                <w:color w:val="auto"/>
                <w:lang w:val="en-US" w:eastAsia="zh-CN"/>
              </w:rPr>
              <w:t>以</w:t>
            </w:r>
            <w:r>
              <w:rPr>
                <w:rFonts w:hint="eastAsia" w:ascii="Times New Roman" w:hAnsi="Times New Roman" w:eastAsia="宋体" w:cs="Times New Roman"/>
                <w:b w:val="0"/>
                <w:bCs w:val="0"/>
                <w:color w:val="auto"/>
                <w:lang w:val="en-US" w:eastAsia="zh-CN"/>
              </w:rPr>
              <w:t>达到净化气体的作用。废气进入塔内后，气体进入填料层，填料层上有来自顶部的喷淋液体及前面的喷淋液体，并在填料上形成一层液膜，气体流经填料空隙时，与填料液膜接触，气体中的颗粒物和部分溶于水的有机物融合进水中，上升气流中流质的浓度越来越低，到塔顶时达到排放要求。液膜上的液体在重力作用下流入贮液箱，并由循环泵抽出循环。喷淋除尘塔为</w:t>
            </w:r>
            <w:r>
              <w:rPr>
                <w:rFonts w:hint="eastAsia" w:cs="Times New Roman"/>
                <w:b w:val="0"/>
                <w:bCs w:val="0"/>
                <w:color w:val="auto"/>
                <w:lang w:val="en-US" w:eastAsia="zh-CN"/>
              </w:rPr>
              <w:t>圆筒形</w:t>
            </w:r>
            <w:r>
              <w:rPr>
                <w:rFonts w:hint="eastAsia" w:ascii="Times New Roman" w:hAnsi="Times New Roman" w:eastAsia="宋体" w:cs="Times New Roman"/>
                <w:b w:val="0"/>
                <w:bCs w:val="0"/>
                <w:color w:val="auto"/>
                <w:lang w:val="en-US" w:eastAsia="zh-CN"/>
              </w:rPr>
              <w:t>结构形式，喷淋吸收系统主要由填料、喷淋装置、除雾装置、循环泵、吸收塔组成。</w:t>
            </w:r>
          </w:p>
          <w:p w14:paraId="641F3C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填料：填料主要作为布风装置，布置于吸收塔喷淋区下部的托盘内，废气通过托盘后，被均匀分布到整个吸收塔截面。这种填料对于提高接触面积是必要的，除了使主喷淋区废气分布均匀外，填料还使得废气与托盘上的液膜得到充分接触。托盘结构为带分隔围堰的多孔板，托盘被分割成便于从吸收塔人孔进出的板片，水平搁置在托盘支撑的结构上。</w:t>
            </w:r>
          </w:p>
          <w:p w14:paraId="5454E6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喷淋装置：吸收塔内部喷淋系统是由分配母管和喷嘴组成的网状系统。每台吸收塔再循环泵均对应一个喷淋层，喷淋层上安装空心锥喷嘴，其作用是将喷淋液雾化。喷淋液由吸收塔再循环泵输送到喷嘴，喷入废气中。喷淋系统能使水液在吸收塔内均匀分布，流经每个喷淋层的流量相等。</w:t>
            </w:r>
          </w:p>
          <w:p w14:paraId="3368A3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除雾装置：用于分离废气携带的液滴。吸收塔除雾器布置于吸收塔顶部最后一个喷淋组件的上部。废气通过液喷淋层后，再连续流经除雾器时，液滴由于惯性作用，留在挡板上。</w:t>
            </w:r>
          </w:p>
          <w:p w14:paraId="388317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循环水泵：循环泵安装在喷淋塔旁，用于喷淋塔内的水循环。采用单流和单级卧式离心泵，包括泵壳、叶轮、轴、导轴承、出口弯头、底板、进口、密封盒、轴封、基础框架、地脚螺栓、机械密封和所有的管道、阀门和电机。工作原理是叶轮高速旋转时产生的离心力使流体获得能量，即流体通过叶轮后，压能和动能都能得到提高，从而能够被输送到高处或远处。同时在泵的入口形成负压，使流体能够被不断吸入。</w:t>
            </w:r>
          </w:p>
          <w:p w14:paraId="0506C1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b w:val="0"/>
                <w:bCs w:val="0"/>
                <w:color w:val="auto"/>
                <w:lang w:val="en-US" w:eastAsia="zh-CN"/>
              </w:rPr>
            </w:pPr>
            <w:r>
              <w:rPr>
                <w:rFonts w:hint="default" w:cs="Times New Roman"/>
                <w:b w:val="0"/>
                <w:bCs w:val="0"/>
                <w:color w:val="auto"/>
                <w:lang w:val="en-US" w:eastAsia="zh-CN"/>
              </w:rPr>
              <w:t>喷淋塔主体：塔体采用PP材料制作，喷淋塔体采用热焊接工艺生产制作，强度高，质量可信，性能良好。</w:t>
            </w:r>
          </w:p>
          <w:p w14:paraId="25B749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s="Times New Roman"/>
                <w:color w:val="auto"/>
              </w:rPr>
            </w:pPr>
            <w:r>
              <w:rPr>
                <w:rFonts w:hint="default" w:cs="Times New Roman"/>
                <w:color w:val="auto"/>
                <w:lang w:val="en-US" w:eastAsia="zh-CN"/>
              </w:rPr>
              <w:t>水喷淋装置后设置除雾器，主要是对水喷淋处理后的废气进行干燥，去除废气</w:t>
            </w:r>
            <w:r>
              <w:rPr>
                <w:rFonts w:hint="eastAsia" w:cs="Times New Roman"/>
                <w:color w:val="auto"/>
                <w:lang w:val="en-US" w:eastAsia="zh-CN"/>
              </w:rPr>
              <w:t>中的水分</w:t>
            </w:r>
            <w:r>
              <w:rPr>
                <w:rFonts w:hint="default" w:cs="Times New Roman"/>
                <w:color w:val="auto"/>
                <w:lang w:val="en-US" w:eastAsia="zh-CN"/>
              </w:rPr>
              <w:t>，减少对后续活性炭吸附装置的影响。</w:t>
            </w:r>
          </w:p>
          <w:p w14:paraId="3FF136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b/>
                <w:bCs/>
                <w:color w:val="auto"/>
                <w:lang w:val="en-US" w:eastAsia="zh-CN"/>
              </w:rPr>
              <w:t>活性炭吸附装置废气处理工作原理：</w:t>
            </w:r>
            <w:r>
              <w:rPr>
                <w:rFonts w:hint="eastAsia" w:ascii="Times New Roman" w:hAnsi="Times New Roman" w:eastAsia="宋体" w:cs="Times New Roman"/>
                <w:color w:val="auto"/>
                <w:lang w:val="en-US" w:eastAsia="zh-CN"/>
              </w:rPr>
              <w:t>活性炭是一种多孔性质的含炭物质，它具有高度发达的孔隙结构，活性炭的多孔结构为其提供了大量的表面积，能与气体（杂质）充分接触，从而赋予了活性炭所特有的吸附功能，使其非常容易达到吸收收集杂质的目的，就像磁力一样，所有的分子间都具有相互引力。正因为如此，活性炭孔壁上的大量的分子可以产生强大的引力，从而达到将有害的杂质吸引到孔径中的目的。</w:t>
            </w:r>
          </w:p>
          <w:p w14:paraId="02E928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活性炭具有微晶结构，微晶排列完全不规则，晶体中有微孔、过渡孔（半径20～1000）、大孔（半径1000～100000），使它具有很大的内表面，比表面积为500～1700m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g。这决定了活性炭具有良好的吸附性，可以吸附废水和废气中的金属离子、有害气体、有机污染物、色素等。工业上应用活性炭还要求机械强度大、耐磨性能好，它的结构力求稳定，吸附所需能量小，以有利于再生。活性炭吸附的实质是利用活性炭吸附的特性把低浓度大风量废气中的有机溶剂吸附到活性炭中并浓缩，经活性炭吸附净化后的气体直接排空。</w:t>
            </w:r>
          </w:p>
          <w:p w14:paraId="1D0E03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技术可行性分析：</w:t>
            </w:r>
          </w:p>
          <w:p w14:paraId="2C408A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cs="Times New Roman"/>
                <w:color w:val="auto"/>
                <w:lang w:val="en-US" w:eastAsia="zh-CN"/>
              </w:rPr>
            </w:pPr>
            <w:r>
              <w:rPr>
                <w:rFonts w:hint="eastAsia" w:cs="Times New Roman"/>
                <w:b/>
                <w:bCs/>
                <w:color w:val="auto"/>
                <w:lang w:val="en-US" w:eastAsia="zh-CN"/>
              </w:rPr>
              <w:t>磨圆粉尘——</w:t>
            </w:r>
            <w:r>
              <w:rPr>
                <w:rFonts w:hint="default" w:ascii="Times New Roman" w:hAnsi="Times New Roman" w:eastAsia="宋体" w:cs="Times New Roman"/>
                <w:color w:val="auto"/>
                <w:lang w:val="en-US" w:eastAsia="zh-CN"/>
              </w:rPr>
              <w:t>参考《汽车工业污染防治可行技术指南》</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HJ1181—2021</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中</w:t>
            </w:r>
            <w:r>
              <w:rPr>
                <w:rFonts w:hint="eastAsia" w:ascii="Times New Roman" w:hAnsi="Times New Roman" w:eastAsia="宋体" w:cs="Times New Roman"/>
                <w:color w:val="auto"/>
                <w:lang w:val="en-US" w:eastAsia="zh-CN"/>
              </w:rPr>
              <w:t>“表1 下料、干式机械加工、焊接、机械预处理、粉末冶金工序废气污染防治可行技术”</w:t>
            </w:r>
            <w:r>
              <w:rPr>
                <w:rFonts w:hint="default" w:ascii="Times New Roman" w:hAnsi="Times New Roman" w:eastAsia="宋体" w:cs="Times New Roman"/>
                <w:color w:val="auto"/>
                <w:lang w:val="en-US" w:eastAsia="zh-CN"/>
              </w:rPr>
              <w:t>，本项目采用</w:t>
            </w:r>
            <w:r>
              <w:rPr>
                <w:rFonts w:hint="eastAsia" w:ascii="Times New Roman" w:hAnsi="Times New Roman" w:eastAsia="宋体" w:cs="Times New Roman"/>
                <w:color w:val="auto"/>
                <w:lang w:val="en-US" w:eastAsia="zh-CN"/>
              </w:rPr>
              <w:t>“</w:t>
            </w:r>
            <w:r>
              <w:rPr>
                <w:rFonts w:hint="eastAsia" w:cs="Times New Roman"/>
                <w:color w:val="auto"/>
                <w:lang w:val="en-US" w:eastAsia="zh-CN"/>
              </w:rPr>
              <w:t>袋式除尘</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对</w:t>
            </w:r>
            <w:r>
              <w:rPr>
                <w:rFonts w:hint="eastAsia" w:cs="Times New Roman"/>
                <w:color w:val="auto"/>
                <w:lang w:val="en-US" w:eastAsia="zh-CN"/>
              </w:rPr>
              <w:t>粉尘</w:t>
            </w:r>
            <w:r>
              <w:rPr>
                <w:rFonts w:hint="default" w:ascii="Times New Roman" w:hAnsi="Times New Roman" w:eastAsia="宋体" w:cs="Times New Roman"/>
                <w:color w:val="auto"/>
                <w:lang w:val="en-US" w:eastAsia="zh-CN"/>
              </w:rPr>
              <w:t>进行处理为可行技术</w:t>
            </w:r>
            <w:r>
              <w:rPr>
                <w:rFonts w:hint="eastAsia" w:cs="Times New Roman"/>
                <w:color w:val="auto"/>
                <w:lang w:val="en-US" w:eastAsia="zh-CN"/>
              </w:rPr>
              <w:t>。</w:t>
            </w:r>
          </w:p>
          <w:p w14:paraId="2C57F7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ascii="Times New Roman" w:hAnsi="Times New Roman" w:eastAsia="宋体" w:cs="Times New Roman"/>
                <w:b w:val="0"/>
                <w:bCs w:val="0"/>
                <w:color w:val="auto"/>
                <w:lang w:val="en-US" w:eastAsia="zh-CN"/>
              </w:rPr>
            </w:pPr>
            <w:r>
              <w:rPr>
                <w:rFonts w:hint="eastAsia" w:cs="Times New Roman"/>
                <w:b/>
                <w:bCs/>
                <w:color w:val="auto"/>
                <w:lang w:val="en-US" w:eastAsia="zh-CN"/>
              </w:rPr>
              <w:t>涂胶废气、密炼废气、开炼废气、硫化废气</w:t>
            </w:r>
            <w:r>
              <w:rPr>
                <w:rFonts w:hint="eastAsia" w:cs="Times New Roman"/>
                <w:color w:val="auto"/>
                <w:lang w:val="en-US" w:eastAsia="zh-CN"/>
              </w:rPr>
              <w:t>——</w:t>
            </w:r>
            <w:r>
              <w:rPr>
                <w:rFonts w:hint="eastAsia" w:cs="Times New Roman"/>
                <w:color w:val="auto"/>
                <w:kern w:val="0"/>
                <w:szCs w:val="21"/>
              </w:rPr>
              <w:t>根据《排污许可证申请与核发技术规范 橡胶和塑料制品业》（HJ1122-2020）中</w:t>
            </w:r>
            <w:r>
              <w:rPr>
                <w:rFonts w:hint="eastAsia" w:cs="Times New Roman"/>
                <w:color w:val="auto"/>
                <w:kern w:val="0"/>
                <w:szCs w:val="21"/>
                <w:lang w:eastAsia="zh-CN"/>
              </w:rPr>
              <w:t>“</w:t>
            </w:r>
            <w:r>
              <w:rPr>
                <w:rFonts w:hint="eastAsia" w:cs="Times New Roman"/>
                <w:color w:val="auto"/>
                <w:kern w:val="0"/>
                <w:szCs w:val="21"/>
              </w:rPr>
              <w:t>表A.</w:t>
            </w:r>
            <w:r>
              <w:rPr>
                <w:rFonts w:hint="eastAsia" w:cs="Times New Roman"/>
                <w:color w:val="auto"/>
                <w:kern w:val="0"/>
                <w:szCs w:val="21"/>
                <w:lang w:val="en-US" w:eastAsia="zh-CN"/>
              </w:rPr>
              <w:t>1 橡胶制品工业排污单位废气污染防治可行技术参考表</w:t>
            </w:r>
            <w:r>
              <w:rPr>
                <w:rFonts w:hint="eastAsia" w:cs="Times New Roman"/>
                <w:color w:val="auto"/>
                <w:kern w:val="0"/>
                <w:szCs w:val="21"/>
                <w:lang w:eastAsia="zh-CN"/>
              </w:rPr>
              <w:t>”</w:t>
            </w:r>
            <w:r>
              <w:rPr>
                <w:rFonts w:hint="eastAsia" w:cs="Times New Roman"/>
                <w:color w:val="auto"/>
                <w:kern w:val="0"/>
                <w:szCs w:val="21"/>
                <w:lang w:val="en-US" w:eastAsia="zh-CN"/>
              </w:rPr>
              <w:t>，“炼胶废气、硫化废气”产生的臭气浓度、恶臭特征物质推荐可行技术为“喷淋、吸附、低温等离子体、UV光氧化/光催化、生物法两种及以上组合技术”，本项目密炼、开炼、硫化工序产生的二硫化碳、硫化氢采用“水喷淋+除雾+两级活性炭吸附”进行处理，属于可行技术；根据《排污许可证申请与核发技术规范 总则》（HJ942-2018）中推荐有机废气治理设施为“焚烧、吸附、催化分解、其他”。本项目密炼、开炼、硫化工序产生的非甲烷总烃采用“两级活性炭吸附”进行处理，属于可行技术。</w:t>
            </w:r>
            <w:r>
              <w:rPr>
                <w:rFonts w:hint="eastAsia" w:ascii="Times New Roman" w:hAnsi="Times New Roman" w:eastAsia="宋体" w:cs="Times New Roman"/>
                <w:b w:val="0"/>
                <w:bCs w:val="0"/>
                <w:color w:val="auto"/>
                <w:lang w:val="en-US" w:eastAsia="zh-CN"/>
              </w:rPr>
              <w:t>本项目有机废气产生后经水喷淋冷却，到达吸附装置前废气温度可降至40</w:t>
            </w:r>
            <w:r>
              <w:rPr>
                <w:rFonts w:hint="default" w:ascii="Times New Roman" w:hAnsi="Times New Roman" w:eastAsia="宋体" w:cs="Times New Roman"/>
                <w:b w:val="0"/>
                <w:bCs w:val="0"/>
                <w:color w:val="auto"/>
                <w:lang w:val="en-US" w:eastAsia="zh-CN"/>
              </w:rPr>
              <w:t>℃</w:t>
            </w:r>
            <w:r>
              <w:rPr>
                <w:rFonts w:hint="eastAsia" w:ascii="Times New Roman" w:hAnsi="Times New Roman" w:eastAsia="宋体" w:cs="Times New Roman"/>
                <w:b w:val="0"/>
                <w:bCs w:val="0"/>
                <w:color w:val="auto"/>
                <w:lang w:val="en-US" w:eastAsia="zh-CN"/>
              </w:rPr>
              <w:t>以下。</w:t>
            </w:r>
          </w:p>
          <w:p w14:paraId="7FA8D7E9">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ascii="Times New Roman" w:hAnsi="Times New Roman" w:eastAsia="Times New Roman" w:cs="Times New Roman"/>
                <w:b w:val="0"/>
                <w:bCs w:val="0"/>
                <w:color w:val="auto"/>
                <w:sz w:val="21"/>
                <w:szCs w:val="24"/>
                <w:highlight w:val="none"/>
              </w:rPr>
            </w:pPr>
            <w:r>
              <w:rPr>
                <w:rFonts w:hint="default" w:ascii="Times New Roman" w:hAnsi="Times New Roman" w:eastAsia="宋体" w:cs="Times New Roman"/>
                <w:b/>
                <w:bCs/>
                <w:color w:val="auto"/>
                <w:sz w:val="21"/>
                <w:szCs w:val="24"/>
                <w:highlight w:val="none"/>
              </w:rPr>
              <w:t>本项目</w:t>
            </w:r>
            <w:r>
              <w:rPr>
                <w:rFonts w:hint="eastAsia" w:cs="Times New Roman"/>
                <w:b/>
                <w:bCs/>
                <w:color w:val="auto"/>
                <w:lang w:val="en-US" w:eastAsia="zh-CN"/>
              </w:rPr>
              <w:t>两级活性炭箱吸附装置</w:t>
            </w:r>
            <w:r>
              <w:rPr>
                <w:rFonts w:hint="default" w:ascii="Times New Roman" w:hAnsi="Times New Roman" w:eastAsia="宋体" w:cs="Times New Roman"/>
                <w:b/>
                <w:bCs/>
                <w:color w:val="auto"/>
                <w:sz w:val="21"/>
                <w:szCs w:val="24"/>
                <w:highlight w:val="none"/>
              </w:rPr>
              <w:t>主要参数见表4-</w:t>
            </w:r>
            <w:r>
              <w:rPr>
                <w:rFonts w:hint="eastAsia" w:cs="Times New Roman"/>
                <w:b/>
                <w:bCs/>
                <w:color w:val="auto"/>
                <w:sz w:val="21"/>
                <w:szCs w:val="24"/>
                <w:highlight w:val="none"/>
                <w:lang w:val="en-US" w:eastAsia="zh-CN"/>
              </w:rPr>
              <w:t>7</w:t>
            </w:r>
            <w:r>
              <w:rPr>
                <w:rFonts w:hint="default" w:ascii="Times New Roman" w:hAnsi="Times New Roman" w:eastAsia="宋体" w:cs="Times New Roman"/>
                <w:b/>
                <w:bCs/>
                <w:color w:val="auto"/>
                <w:sz w:val="21"/>
                <w:szCs w:val="24"/>
                <w:highlight w:val="none"/>
              </w:rPr>
              <w:t>。</w:t>
            </w:r>
          </w:p>
          <w:p w14:paraId="34235B60">
            <w:pPr>
              <w:keepNext w:val="0"/>
              <w:keepLines w:val="0"/>
              <w:suppressLineNumbers w:val="0"/>
              <w:autoSpaceDE w:val="0"/>
              <w:autoSpaceDN w:val="0"/>
              <w:adjustRightInd w:val="0"/>
              <w:snapToGrid w:val="0"/>
              <w:spacing w:before="0" w:beforeAutospacing="0" w:after="0" w:afterAutospacing="0"/>
              <w:ind w:left="0" w:right="0"/>
              <w:jc w:val="center"/>
              <w:rPr>
                <w:rFonts w:hint="default" w:cs="Times New Roman"/>
                <w:b/>
                <w:color w:val="auto"/>
                <w:kern w:val="0"/>
                <w:szCs w:val="21"/>
              </w:rPr>
            </w:pPr>
            <w:r>
              <w:rPr>
                <w:rFonts w:hint="default" w:cs="Times New Roman"/>
                <w:b/>
                <w:color w:val="auto"/>
                <w:kern w:val="0"/>
                <w:szCs w:val="21"/>
              </w:rPr>
              <w:t>表</w:t>
            </w:r>
            <w:r>
              <w:rPr>
                <w:rFonts w:hint="eastAsia" w:cs="Times New Roman"/>
                <w:b/>
                <w:color w:val="auto"/>
                <w:kern w:val="0"/>
                <w:szCs w:val="21"/>
              </w:rPr>
              <w:t>4-</w:t>
            </w:r>
            <w:r>
              <w:rPr>
                <w:rFonts w:hint="eastAsia" w:cs="Times New Roman"/>
                <w:b/>
                <w:color w:val="auto"/>
                <w:kern w:val="0"/>
                <w:szCs w:val="21"/>
                <w:lang w:val="en-US" w:eastAsia="zh-CN"/>
              </w:rPr>
              <w:t>7</w:t>
            </w:r>
            <w:r>
              <w:rPr>
                <w:rFonts w:hint="default" w:cs="Times New Roman"/>
                <w:b/>
                <w:color w:val="auto"/>
                <w:kern w:val="0"/>
                <w:szCs w:val="21"/>
              </w:rPr>
              <w:t xml:space="preserve">  </w:t>
            </w:r>
            <w:r>
              <w:rPr>
                <w:rFonts w:hint="eastAsia" w:cs="Times New Roman"/>
                <w:b/>
                <w:color w:val="auto"/>
                <w:kern w:val="0"/>
                <w:szCs w:val="21"/>
                <w:lang w:val="en-US" w:eastAsia="zh-CN"/>
              </w:rPr>
              <w:t>废气设施</w:t>
            </w:r>
            <w:r>
              <w:rPr>
                <w:rFonts w:hint="default" w:cs="Times New Roman"/>
                <w:b/>
                <w:color w:val="auto"/>
                <w:kern w:val="0"/>
                <w:szCs w:val="21"/>
              </w:rPr>
              <w:t>主要参数</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3247"/>
              <w:gridCol w:w="4080"/>
            </w:tblGrid>
            <w:tr w14:paraId="1D042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tcBorders>
                    <w:tl2br w:val="nil"/>
                    <w:tr2bl w:val="nil"/>
                  </w:tcBorders>
                  <w:noWrap w:val="0"/>
                  <w:vAlign w:val="center"/>
                </w:tcPr>
                <w:p w14:paraId="702D3A4E">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项目</w:t>
                  </w:r>
                </w:p>
              </w:tc>
              <w:tc>
                <w:tcPr>
                  <w:tcW w:w="1801" w:type="pct"/>
                  <w:tcBorders>
                    <w:tl2br w:val="nil"/>
                    <w:tr2bl w:val="nil"/>
                  </w:tcBorders>
                  <w:noWrap w:val="0"/>
                  <w:vAlign w:val="center"/>
                </w:tcPr>
                <w:p w14:paraId="73E9436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参数类型</w:t>
                  </w:r>
                </w:p>
              </w:tc>
              <w:tc>
                <w:tcPr>
                  <w:tcW w:w="2263" w:type="pct"/>
                  <w:tcBorders>
                    <w:tl2br w:val="nil"/>
                    <w:tr2bl w:val="nil"/>
                  </w:tcBorders>
                  <w:noWrap w:val="0"/>
                  <w:vAlign w:val="center"/>
                </w:tcPr>
                <w:p w14:paraId="0DA3266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数据</w:t>
                  </w:r>
                </w:p>
              </w:tc>
            </w:tr>
            <w:tr w14:paraId="048DB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35" w:type="pct"/>
                  <w:vMerge w:val="restart"/>
                  <w:tcBorders>
                    <w:tl2br w:val="nil"/>
                    <w:tr2bl w:val="nil"/>
                  </w:tcBorders>
                  <w:noWrap w:val="0"/>
                  <w:vAlign w:val="center"/>
                </w:tcPr>
                <w:p w14:paraId="16321BC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活性炭箱参数</w:t>
                  </w:r>
                </w:p>
              </w:tc>
              <w:tc>
                <w:tcPr>
                  <w:tcW w:w="1801" w:type="pct"/>
                  <w:tcBorders>
                    <w:tl2br w:val="nil"/>
                    <w:tr2bl w:val="nil"/>
                  </w:tcBorders>
                  <w:noWrap w:val="0"/>
                  <w:vAlign w:val="center"/>
                </w:tcPr>
                <w:p w14:paraId="69986F63">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箱体型式</w:t>
                  </w:r>
                </w:p>
              </w:tc>
              <w:tc>
                <w:tcPr>
                  <w:tcW w:w="2263" w:type="pct"/>
                  <w:tcBorders>
                    <w:tl2br w:val="nil"/>
                    <w:tr2bl w:val="nil"/>
                  </w:tcBorders>
                  <w:noWrap w:val="0"/>
                  <w:vAlign w:val="center"/>
                </w:tcPr>
                <w:p w14:paraId="3222FA23">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default" w:eastAsia="仿宋" w:cs="Times New Roman"/>
                      <w:color w:val="auto"/>
                      <w:szCs w:val="21"/>
                    </w:rPr>
                    <w:t>卧式活性炭箱</w:t>
                  </w:r>
                </w:p>
              </w:tc>
            </w:tr>
            <w:tr w14:paraId="1A2D4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35" w:type="pct"/>
                  <w:vMerge w:val="continue"/>
                  <w:tcBorders>
                    <w:tl2br w:val="nil"/>
                    <w:tr2bl w:val="nil"/>
                  </w:tcBorders>
                  <w:noWrap w:val="0"/>
                  <w:vAlign w:val="top"/>
                </w:tcPr>
                <w:p w14:paraId="776DF6E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p>
              </w:tc>
              <w:tc>
                <w:tcPr>
                  <w:tcW w:w="1801" w:type="pct"/>
                  <w:tcBorders>
                    <w:tl2br w:val="nil"/>
                    <w:tr2bl w:val="nil"/>
                  </w:tcBorders>
                  <w:noWrap w:val="0"/>
                  <w:vAlign w:val="center"/>
                </w:tcPr>
                <w:p w14:paraId="532EDC8B">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活性炭种类</w:t>
                  </w:r>
                </w:p>
              </w:tc>
              <w:tc>
                <w:tcPr>
                  <w:tcW w:w="2263" w:type="pct"/>
                  <w:tcBorders>
                    <w:tl2br w:val="nil"/>
                    <w:tr2bl w:val="nil"/>
                  </w:tcBorders>
                  <w:noWrap w:val="0"/>
                  <w:vAlign w:val="center"/>
                </w:tcPr>
                <w:p w14:paraId="58ACC5EF">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颗粒</w:t>
                  </w:r>
                  <w:r>
                    <w:rPr>
                      <w:rFonts w:hint="eastAsia" w:ascii="Times New Roman" w:hAnsi="Times New Roman" w:eastAsia="仿宋" w:cs="Times New Roman"/>
                      <w:color w:val="auto"/>
                      <w:sz w:val="21"/>
                      <w:szCs w:val="21"/>
                      <w:lang w:val="en-US" w:eastAsia="zh-CN"/>
                    </w:rPr>
                    <w:t>活性炭</w:t>
                  </w:r>
                </w:p>
              </w:tc>
            </w:tr>
            <w:tr w14:paraId="547C3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35" w:type="pct"/>
                  <w:vMerge w:val="continue"/>
                  <w:tcBorders>
                    <w:tl2br w:val="nil"/>
                    <w:tr2bl w:val="nil"/>
                  </w:tcBorders>
                  <w:noWrap w:val="0"/>
                  <w:vAlign w:val="top"/>
                </w:tcPr>
                <w:p w14:paraId="1902CE8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p>
              </w:tc>
              <w:tc>
                <w:tcPr>
                  <w:tcW w:w="1801" w:type="pct"/>
                  <w:tcBorders>
                    <w:tl2br w:val="nil"/>
                    <w:tr2bl w:val="nil"/>
                  </w:tcBorders>
                  <w:noWrap w:val="0"/>
                  <w:vAlign w:val="center"/>
                </w:tcPr>
                <w:p w14:paraId="158D509D">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箱体</w:t>
                  </w:r>
                  <w:r>
                    <w:rPr>
                      <w:rFonts w:hint="default" w:ascii="Times New Roman" w:hAnsi="Times New Roman" w:eastAsia="仿宋" w:cs="Times New Roman"/>
                      <w:color w:val="auto"/>
                      <w:sz w:val="21"/>
                      <w:szCs w:val="21"/>
                    </w:rPr>
                    <w:t>规格尺寸</w:t>
                  </w:r>
                </w:p>
              </w:tc>
              <w:tc>
                <w:tcPr>
                  <w:tcW w:w="2263" w:type="pct"/>
                  <w:tcBorders>
                    <w:tl2br w:val="nil"/>
                    <w:tr2bl w:val="nil"/>
                  </w:tcBorders>
                  <w:noWrap w:val="0"/>
                  <w:vAlign w:val="center"/>
                </w:tcPr>
                <w:p w14:paraId="1015269D">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2*（26</w:t>
                  </w:r>
                  <w:r>
                    <w:rPr>
                      <w:rFonts w:hint="default" w:ascii="Times New Roman" w:hAnsi="Times New Roman" w:eastAsia="仿宋" w:cs="Times New Roman"/>
                      <w:color w:val="auto"/>
                      <w:sz w:val="21"/>
                      <w:szCs w:val="21"/>
                    </w:rPr>
                    <w:t>00*</w:t>
                  </w:r>
                  <w:r>
                    <w:rPr>
                      <w:rFonts w:hint="eastAsia" w:eastAsia="仿宋" w:cs="Times New Roman"/>
                      <w:color w:val="auto"/>
                      <w:sz w:val="21"/>
                      <w:szCs w:val="21"/>
                      <w:lang w:val="en-US" w:eastAsia="zh-CN"/>
                    </w:rPr>
                    <w:t>19</w:t>
                  </w:r>
                  <w:r>
                    <w:rPr>
                      <w:rFonts w:hint="default" w:ascii="Times New Roman" w:hAnsi="Times New Roman" w:eastAsia="仿宋" w:cs="Times New Roman"/>
                      <w:color w:val="auto"/>
                      <w:sz w:val="21"/>
                      <w:szCs w:val="21"/>
                    </w:rPr>
                    <w:t>00*</w:t>
                  </w:r>
                  <w:r>
                    <w:rPr>
                      <w:rFonts w:hint="eastAsia" w:eastAsia="仿宋" w:cs="Times New Roman"/>
                      <w:color w:val="auto"/>
                      <w:sz w:val="21"/>
                      <w:szCs w:val="21"/>
                      <w:lang w:val="en-US" w:eastAsia="zh-CN"/>
                    </w:rPr>
                    <w:t>160</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mm</w:t>
                  </w:r>
                  <w:r>
                    <w:rPr>
                      <w:rFonts w:hint="eastAsia" w:eastAsia="仿宋" w:cs="Times New Roman"/>
                      <w:color w:val="auto"/>
                      <w:sz w:val="21"/>
                      <w:szCs w:val="21"/>
                      <w:lang w:val="en-US" w:eastAsia="zh-CN"/>
                    </w:rPr>
                    <w:t>）</w:t>
                  </w:r>
                </w:p>
              </w:tc>
            </w:tr>
            <w:tr w14:paraId="26C88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35" w:type="pct"/>
                  <w:vMerge w:val="continue"/>
                  <w:tcBorders>
                    <w:tl2br w:val="nil"/>
                    <w:tr2bl w:val="nil"/>
                  </w:tcBorders>
                  <w:noWrap w:val="0"/>
                  <w:vAlign w:val="top"/>
                </w:tcPr>
                <w:p w14:paraId="3934D49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p>
              </w:tc>
              <w:tc>
                <w:tcPr>
                  <w:tcW w:w="1801" w:type="pct"/>
                  <w:tcBorders>
                    <w:tl2br w:val="nil"/>
                    <w:tr2bl w:val="nil"/>
                  </w:tcBorders>
                  <w:noWrap w:val="0"/>
                  <w:vAlign w:val="center"/>
                </w:tcPr>
                <w:p w14:paraId="4FE3E20E">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抽屉数</w:t>
                  </w:r>
                </w:p>
              </w:tc>
              <w:tc>
                <w:tcPr>
                  <w:tcW w:w="2263" w:type="pct"/>
                  <w:tcBorders>
                    <w:tl2br w:val="nil"/>
                    <w:tr2bl w:val="nil"/>
                  </w:tcBorders>
                  <w:noWrap w:val="0"/>
                  <w:vAlign w:val="center"/>
                </w:tcPr>
                <w:p w14:paraId="786CE70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12*2</w:t>
                  </w:r>
                </w:p>
              </w:tc>
            </w:tr>
            <w:tr w14:paraId="4781D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35" w:type="pct"/>
                  <w:vMerge w:val="continue"/>
                  <w:tcBorders>
                    <w:tl2br w:val="nil"/>
                    <w:tr2bl w:val="nil"/>
                  </w:tcBorders>
                  <w:noWrap w:val="0"/>
                  <w:vAlign w:val="top"/>
                </w:tcPr>
                <w:p w14:paraId="72A36D4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p>
              </w:tc>
              <w:tc>
                <w:tcPr>
                  <w:tcW w:w="1801" w:type="pct"/>
                  <w:tcBorders>
                    <w:tl2br w:val="nil"/>
                    <w:tr2bl w:val="nil"/>
                  </w:tcBorders>
                  <w:noWrap w:val="0"/>
                  <w:vAlign w:val="center"/>
                </w:tcPr>
                <w:p w14:paraId="0925FBDC">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活性炭</w:t>
                  </w:r>
                  <w:r>
                    <w:rPr>
                      <w:rFonts w:hint="eastAsia" w:eastAsia="仿宋" w:cs="Times New Roman"/>
                      <w:color w:val="auto"/>
                      <w:sz w:val="21"/>
                      <w:szCs w:val="21"/>
                      <w:lang w:val="en-US" w:eastAsia="zh-CN"/>
                    </w:rPr>
                    <w:t>总</w:t>
                  </w:r>
                  <w:r>
                    <w:rPr>
                      <w:rFonts w:hint="default" w:ascii="Times New Roman" w:hAnsi="Times New Roman" w:eastAsia="仿宋" w:cs="Times New Roman"/>
                      <w:color w:val="auto"/>
                      <w:sz w:val="21"/>
                      <w:szCs w:val="21"/>
                    </w:rPr>
                    <w:t>装填量</w:t>
                  </w:r>
                </w:p>
              </w:tc>
              <w:tc>
                <w:tcPr>
                  <w:tcW w:w="2263" w:type="pct"/>
                  <w:tcBorders>
                    <w:tl2br w:val="nil"/>
                    <w:tr2bl w:val="nil"/>
                  </w:tcBorders>
                  <w:noWrap w:val="0"/>
                  <w:vAlign w:val="center"/>
                </w:tcPr>
                <w:p w14:paraId="6D210037">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2.16</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（约</w:t>
                  </w:r>
                  <w:r>
                    <w:rPr>
                      <w:rFonts w:hint="eastAsia" w:eastAsia="仿宋" w:cs="Times New Roman"/>
                      <w:color w:val="auto"/>
                      <w:sz w:val="21"/>
                      <w:szCs w:val="21"/>
                      <w:lang w:val="en-US" w:eastAsia="zh-CN"/>
                    </w:rPr>
                    <w:t>0.864t</w:t>
                  </w:r>
                  <w:r>
                    <w:rPr>
                      <w:rFonts w:hint="default" w:ascii="Times New Roman" w:hAnsi="Times New Roman" w:eastAsia="仿宋" w:cs="Times New Roman"/>
                      <w:color w:val="auto"/>
                      <w:sz w:val="21"/>
                      <w:szCs w:val="21"/>
                      <w:lang w:val="en-US" w:eastAsia="zh-CN"/>
                    </w:rPr>
                    <w:t>）</w:t>
                  </w:r>
                </w:p>
              </w:tc>
            </w:tr>
            <w:tr w14:paraId="2F464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35" w:type="pct"/>
                  <w:vMerge w:val="continue"/>
                  <w:tcBorders>
                    <w:tl2br w:val="nil"/>
                    <w:tr2bl w:val="nil"/>
                  </w:tcBorders>
                  <w:noWrap w:val="0"/>
                  <w:vAlign w:val="top"/>
                </w:tcPr>
                <w:p w14:paraId="3B6FD96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p>
              </w:tc>
              <w:tc>
                <w:tcPr>
                  <w:tcW w:w="1801" w:type="pct"/>
                  <w:tcBorders>
                    <w:tl2br w:val="nil"/>
                    <w:tr2bl w:val="nil"/>
                  </w:tcBorders>
                  <w:noWrap w:val="0"/>
                  <w:vAlign w:val="center"/>
                </w:tcPr>
                <w:p w14:paraId="62982CD9">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活性炭更换周期</w:t>
                  </w:r>
                </w:p>
              </w:tc>
              <w:tc>
                <w:tcPr>
                  <w:tcW w:w="2263" w:type="pct"/>
                  <w:tcBorders>
                    <w:tl2br w:val="nil"/>
                    <w:tr2bl w:val="nil"/>
                  </w:tcBorders>
                  <w:noWrap w:val="0"/>
                  <w:vAlign w:val="center"/>
                </w:tcPr>
                <w:p w14:paraId="6B14E68D">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4</w:t>
                  </w:r>
                  <w:r>
                    <w:rPr>
                      <w:rFonts w:hint="default" w:ascii="Times New Roman" w:hAnsi="Times New Roman" w:eastAsia="仿宋" w:cs="Times New Roman"/>
                      <w:color w:val="auto"/>
                      <w:sz w:val="21"/>
                      <w:szCs w:val="21"/>
                    </w:rPr>
                    <w:t>次/</w:t>
                  </w:r>
                  <w:r>
                    <w:rPr>
                      <w:rFonts w:hint="default" w:ascii="Times New Roman" w:hAnsi="Times New Roman" w:eastAsia="仿宋" w:cs="Times New Roman"/>
                      <w:color w:val="auto"/>
                      <w:sz w:val="21"/>
                      <w:szCs w:val="21"/>
                      <w:lang w:val="en-US" w:eastAsia="zh-CN"/>
                    </w:rPr>
                    <w:t>年</w:t>
                  </w:r>
                </w:p>
              </w:tc>
            </w:tr>
            <w:tr w14:paraId="26AB6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35" w:type="pct"/>
                  <w:vMerge w:val="continue"/>
                  <w:tcBorders>
                    <w:tl2br w:val="nil"/>
                    <w:tr2bl w:val="nil"/>
                  </w:tcBorders>
                  <w:noWrap w:val="0"/>
                  <w:vAlign w:val="top"/>
                </w:tcPr>
                <w:p w14:paraId="4E59985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p>
              </w:tc>
              <w:tc>
                <w:tcPr>
                  <w:tcW w:w="1801" w:type="pct"/>
                  <w:tcBorders>
                    <w:tl2br w:val="nil"/>
                    <w:tr2bl w:val="nil"/>
                  </w:tcBorders>
                  <w:noWrap w:val="0"/>
                  <w:vAlign w:val="center"/>
                </w:tcPr>
                <w:p w14:paraId="345EE7CA">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处理风量</w:t>
                  </w:r>
                </w:p>
              </w:tc>
              <w:tc>
                <w:tcPr>
                  <w:tcW w:w="2263" w:type="pct"/>
                  <w:tcBorders>
                    <w:tl2br w:val="nil"/>
                    <w:tr2bl w:val="nil"/>
                  </w:tcBorders>
                  <w:noWrap w:val="0"/>
                  <w:vAlign w:val="center"/>
                </w:tcPr>
                <w:p w14:paraId="6973782D">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15000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r>
            <w:tr w14:paraId="27868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35" w:type="pct"/>
                  <w:vMerge w:val="continue"/>
                  <w:tcBorders>
                    <w:tl2br w:val="nil"/>
                    <w:tr2bl w:val="nil"/>
                  </w:tcBorders>
                  <w:noWrap w:val="0"/>
                  <w:vAlign w:val="top"/>
                </w:tcPr>
                <w:p w14:paraId="57EDE0E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p>
              </w:tc>
              <w:tc>
                <w:tcPr>
                  <w:tcW w:w="1801" w:type="pct"/>
                  <w:tcBorders>
                    <w:tl2br w:val="nil"/>
                    <w:tr2bl w:val="nil"/>
                  </w:tcBorders>
                  <w:noWrap w:val="0"/>
                  <w:vAlign w:val="center"/>
                </w:tcPr>
                <w:p w14:paraId="2F4F008A">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空气流速</w:t>
                  </w:r>
                </w:p>
              </w:tc>
              <w:tc>
                <w:tcPr>
                  <w:tcW w:w="2263" w:type="pct"/>
                  <w:tcBorders>
                    <w:tl2br w:val="nil"/>
                    <w:tr2bl w:val="nil"/>
                  </w:tcBorders>
                  <w:noWrap w:val="0"/>
                  <w:vAlign w:val="center"/>
                </w:tcPr>
                <w:p w14:paraId="6FEF9EFB">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highlight w:val="none"/>
                      <w:lang w:val="en-US" w:eastAsia="zh-CN"/>
                    </w:rPr>
                    <w:t>0.6</w:t>
                  </w:r>
                  <w:r>
                    <w:rPr>
                      <w:rFonts w:hint="default" w:ascii="Times New Roman" w:hAnsi="Times New Roman" w:eastAsia="仿宋" w:cs="Times New Roman"/>
                      <w:color w:val="auto"/>
                      <w:sz w:val="21"/>
                      <w:szCs w:val="21"/>
                      <w:highlight w:val="none"/>
                      <w:lang w:val="en-US" w:eastAsia="zh-CN"/>
                    </w:rPr>
                    <w:t>m/s</w:t>
                  </w:r>
                </w:p>
              </w:tc>
            </w:tr>
            <w:tr w14:paraId="12E48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35" w:type="pct"/>
                  <w:vMerge w:val="continue"/>
                  <w:tcBorders>
                    <w:tl2br w:val="nil"/>
                    <w:tr2bl w:val="nil"/>
                  </w:tcBorders>
                  <w:noWrap w:val="0"/>
                  <w:vAlign w:val="top"/>
                </w:tcPr>
                <w:p w14:paraId="3866B0F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p>
              </w:tc>
              <w:tc>
                <w:tcPr>
                  <w:tcW w:w="1801" w:type="pct"/>
                  <w:tcBorders>
                    <w:tl2br w:val="nil"/>
                    <w:tr2bl w:val="nil"/>
                  </w:tcBorders>
                  <w:noWrap w:val="0"/>
                  <w:vAlign w:val="center"/>
                </w:tcPr>
                <w:p w14:paraId="58275629">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装填密度</w:t>
                  </w:r>
                </w:p>
              </w:tc>
              <w:tc>
                <w:tcPr>
                  <w:tcW w:w="2263" w:type="pct"/>
                  <w:tcBorders>
                    <w:tl2br w:val="nil"/>
                    <w:tr2bl w:val="nil"/>
                  </w:tcBorders>
                  <w:noWrap w:val="0"/>
                  <w:vAlign w:val="center"/>
                </w:tcPr>
                <w:p w14:paraId="2E0B977B">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0.4g/cm</w:t>
                  </w:r>
                  <w:r>
                    <w:rPr>
                      <w:rFonts w:hint="eastAsia" w:eastAsia="仿宋" w:cs="Times New Roman"/>
                      <w:color w:val="auto"/>
                      <w:sz w:val="21"/>
                      <w:szCs w:val="21"/>
                      <w:highlight w:val="none"/>
                      <w:vertAlign w:val="superscript"/>
                      <w:lang w:val="en-US" w:eastAsia="zh-CN"/>
                    </w:rPr>
                    <w:t>3</w:t>
                  </w:r>
                </w:p>
              </w:tc>
            </w:tr>
            <w:tr w14:paraId="2977E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35" w:type="pct"/>
                  <w:vMerge w:val="continue"/>
                  <w:tcBorders>
                    <w:tl2br w:val="nil"/>
                    <w:tr2bl w:val="nil"/>
                  </w:tcBorders>
                  <w:noWrap w:val="0"/>
                  <w:vAlign w:val="top"/>
                </w:tcPr>
                <w:p w14:paraId="3626447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p>
              </w:tc>
              <w:tc>
                <w:tcPr>
                  <w:tcW w:w="1801" w:type="pct"/>
                  <w:tcBorders>
                    <w:tl2br w:val="nil"/>
                    <w:tr2bl w:val="nil"/>
                  </w:tcBorders>
                  <w:noWrap w:val="0"/>
                  <w:vAlign w:val="center"/>
                </w:tcPr>
                <w:p w14:paraId="61187ECA">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废气进口温度</w:t>
                  </w:r>
                </w:p>
              </w:tc>
              <w:tc>
                <w:tcPr>
                  <w:tcW w:w="2263" w:type="pct"/>
                  <w:tcBorders>
                    <w:tl2br w:val="nil"/>
                    <w:tr2bl w:val="nil"/>
                  </w:tcBorders>
                  <w:noWrap w:val="0"/>
                  <w:vAlign w:val="center"/>
                </w:tcPr>
                <w:p w14:paraId="068EC90A">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20</w:t>
                  </w:r>
                  <w:r>
                    <w:rPr>
                      <w:rFonts w:hint="default" w:ascii="Times New Roman" w:hAnsi="Times New Roman" w:eastAsia="仿宋" w:cs="Times New Roman"/>
                      <w:color w:val="auto"/>
                      <w:sz w:val="21"/>
                      <w:szCs w:val="21"/>
                    </w:rPr>
                    <w:t>℃</w:t>
                  </w:r>
                </w:p>
              </w:tc>
            </w:tr>
            <w:tr w14:paraId="1F849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35" w:type="pct"/>
                  <w:vMerge w:val="continue"/>
                  <w:tcBorders>
                    <w:tl2br w:val="nil"/>
                    <w:tr2bl w:val="nil"/>
                  </w:tcBorders>
                  <w:noWrap w:val="0"/>
                  <w:vAlign w:val="top"/>
                </w:tcPr>
                <w:p w14:paraId="543A57F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p>
              </w:tc>
              <w:tc>
                <w:tcPr>
                  <w:tcW w:w="1801" w:type="pct"/>
                  <w:tcBorders>
                    <w:tl2br w:val="nil"/>
                    <w:tr2bl w:val="nil"/>
                  </w:tcBorders>
                  <w:noWrap w:val="0"/>
                  <w:vAlign w:val="center"/>
                </w:tcPr>
                <w:p w14:paraId="43461B6A">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碘</w:t>
                  </w:r>
                  <w:r>
                    <w:rPr>
                      <w:rFonts w:hint="eastAsia" w:ascii="Times New Roman" w:hAnsi="Times New Roman" w:eastAsia="仿宋" w:cs="Times New Roman"/>
                      <w:color w:val="auto"/>
                      <w:sz w:val="21"/>
                      <w:szCs w:val="21"/>
                      <w:lang w:val="en-US" w:eastAsia="zh-CN"/>
                    </w:rPr>
                    <w:t>吸附</w:t>
                  </w:r>
                  <w:r>
                    <w:rPr>
                      <w:rFonts w:hint="default" w:ascii="Times New Roman" w:hAnsi="Times New Roman" w:eastAsia="仿宋" w:cs="Times New Roman"/>
                      <w:color w:val="auto"/>
                      <w:sz w:val="21"/>
                      <w:szCs w:val="21"/>
                    </w:rPr>
                    <w:t>值</w:t>
                  </w:r>
                </w:p>
              </w:tc>
              <w:tc>
                <w:tcPr>
                  <w:tcW w:w="2263" w:type="pct"/>
                  <w:tcBorders>
                    <w:tl2br w:val="nil"/>
                    <w:tr2bl w:val="nil"/>
                  </w:tcBorders>
                  <w:noWrap w:val="0"/>
                  <w:vAlign w:val="center"/>
                </w:tcPr>
                <w:p w14:paraId="39FBAE73">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≥800</w:t>
                  </w:r>
                  <w:r>
                    <w:rPr>
                      <w:rFonts w:hint="default" w:ascii="Times New Roman" w:hAnsi="Times New Roman" w:eastAsia="仿宋" w:cs="Times New Roman"/>
                      <w:color w:val="auto"/>
                      <w:sz w:val="21"/>
                      <w:szCs w:val="21"/>
                    </w:rPr>
                    <w:t>mg/g</w:t>
                  </w:r>
                </w:p>
              </w:tc>
            </w:tr>
            <w:tr w14:paraId="0098A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35" w:type="pct"/>
                  <w:vMerge w:val="continue"/>
                  <w:tcBorders>
                    <w:tl2br w:val="nil"/>
                    <w:tr2bl w:val="nil"/>
                  </w:tcBorders>
                  <w:noWrap w:val="0"/>
                  <w:vAlign w:val="top"/>
                </w:tcPr>
                <w:p w14:paraId="58AF621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p>
              </w:tc>
              <w:tc>
                <w:tcPr>
                  <w:tcW w:w="1801" w:type="pct"/>
                  <w:tcBorders>
                    <w:tl2br w:val="nil"/>
                    <w:tr2bl w:val="nil"/>
                  </w:tcBorders>
                  <w:noWrap w:val="0"/>
                  <w:vAlign w:val="center"/>
                </w:tcPr>
                <w:p w14:paraId="3DFEB5BB">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比表面积</w:t>
                  </w:r>
                </w:p>
              </w:tc>
              <w:tc>
                <w:tcPr>
                  <w:tcW w:w="2263" w:type="pct"/>
                  <w:tcBorders>
                    <w:tl2br w:val="nil"/>
                    <w:tr2bl w:val="nil"/>
                  </w:tcBorders>
                  <w:noWrap w:val="0"/>
                  <w:vAlign w:val="center"/>
                </w:tcPr>
                <w:p w14:paraId="51856850">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≥850m</w:t>
                  </w:r>
                  <w:r>
                    <w:rPr>
                      <w:rFonts w:hint="eastAsia" w:ascii="Times New Roman" w:hAnsi="Times New Roman" w:eastAsia="仿宋" w:cs="Times New Roman"/>
                      <w:color w:val="auto"/>
                      <w:sz w:val="21"/>
                      <w:szCs w:val="21"/>
                      <w:vertAlign w:val="superscript"/>
                      <w:lang w:val="en-US" w:eastAsia="zh-CN"/>
                    </w:rPr>
                    <w:t>2</w:t>
                  </w:r>
                  <w:r>
                    <w:rPr>
                      <w:rFonts w:hint="eastAsia" w:ascii="Times New Roman" w:hAnsi="Times New Roman" w:eastAsia="仿宋" w:cs="Times New Roman"/>
                      <w:color w:val="auto"/>
                      <w:sz w:val="21"/>
                      <w:szCs w:val="21"/>
                      <w:lang w:val="en-US" w:eastAsia="zh-CN"/>
                    </w:rPr>
                    <w:t>/g</w:t>
                  </w:r>
                </w:p>
              </w:tc>
            </w:tr>
          </w:tbl>
          <w:p w14:paraId="08E4C912">
            <w:pPr>
              <w:pStyle w:val="13"/>
              <w:keepNext w:val="0"/>
              <w:keepLines w:val="0"/>
              <w:numPr>
                <w:ilvl w:val="0"/>
                <w:numId w:val="0"/>
              </w:numPr>
              <w:suppressLineNumbers w:val="0"/>
              <w:spacing w:before="0" w:beforeAutospacing="0" w:after="0" w:afterAutospacing="0" w:line="360" w:lineRule="auto"/>
              <w:ind w:left="0" w:right="0" w:firstLine="420" w:firstLineChars="200"/>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本</w:t>
            </w:r>
            <w:r>
              <w:rPr>
                <w:rFonts w:hint="default" w:ascii="Times New Roman" w:hAnsi="Times New Roman" w:eastAsia="宋体" w:cs="Times New Roman"/>
                <w:bCs/>
                <w:color w:val="auto"/>
                <w:sz w:val="21"/>
                <w:szCs w:val="21"/>
                <w:highlight w:val="none"/>
              </w:rPr>
              <w:t>项目</w:t>
            </w:r>
            <w:r>
              <w:rPr>
                <w:rFonts w:hint="default" w:ascii="Times New Roman" w:hAnsi="Times New Roman" w:eastAsia="宋体" w:cs="Times New Roman"/>
                <w:bCs/>
                <w:color w:val="auto"/>
                <w:sz w:val="21"/>
                <w:szCs w:val="21"/>
                <w:highlight w:val="none"/>
                <w:lang w:eastAsia="zh-CN"/>
              </w:rPr>
              <w:t>建成后</w:t>
            </w:r>
            <w:r>
              <w:rPr>
                <w:rFonts w:hint="default" w:ascii="Times New Roman" w:hAnsi="Times New Roman" w:eastAsia="宋体" w:cs="Times New Roman"/>
                <w:bCs/>
                <w:color w:val="auto"/>
                <w:sz w:val="21"/>
                <w:szCs w:val="21"/>
                <w:highlight w:val="none"/>
                <w:lang w:val="en-US" w:eastAsia="zh-CN"/>
              </w:rPr>
              <w:t>排气筒排放的有机废气采</w:t>
            </w:r>
            <w:r>
              <w:rPr>
                <w:rFonts w:hint="default" w:ascii="Times New Roman" w:hAnsi="Times New Roman" w:eastAsia="宋体" w:cs="Times New Roman"/>
                <w:bCs/>
                <w:color w:val="auto"/>
                <w:sz w:val="21"/>
                <w:szCs w:val="21"/>
                <w:highlight w:val="none"/>
                <w:lang w:eastAsia="zh-CN"/>
              </w:rPr>
              <w:t>用</w:t>
            </w:r>
            <w:r>
              <w:rPr>
                <w:rFonts w:hint="eastAsia" w:ascii="Times New Roman" w:hAnsi="Times New Roman" w:eastAsia="宋体" w:cs="Times New Roman"/>
                <w:bCs/>
                <w:color w:val="auto"/>
                <w:sz w:val="21"/>
                <w:szCs w:val="21"/>
                <w:highlight w:val="none"/>
                <w:lang w:val="en-US" w:eastAsia="zh-CN"/>
              </w:rPr>
              <w:t>两</w:t>
            </w:r>
            <w:r>
              <w:rPr>
                <w:rFonts w:hint="default" w:ascii="Times New Roman" w:hAnsi="Times New Roman" w:eastAsia="宋体" w:cs="Times New Roman"/>
                <w:bCs/>
                <w:color w:val="auto"/>
                <w:sz w:val="21"/>
                <w:szCs w:val="21"/>
                <w:highlight w:val="none"/>
                <w:lang w:eastAsia="zh-CN"/>
              </w:rPr>
              <w:t>级活性炭吸附处理，根据《省生态环境厅关于深入开展涉VOCs治理重点工作核查的通知》（苏环办</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eastAsia="zh-CN"/>
              </w:rPr>
              <w:t>2022</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eastAsia="zh-CN"/>
              </w:rPr>
              <w:t>218号）</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eastAsia="zh-CN"/>
              </w:rPr>
              <w:t>活性炭</w:t>
            </w:r>
            <w:r>
              <w:rPr>
                <w:rFonts w:hint="default" w:ascii="Times New Roman" w:hAnsi="Times New Roman" w:eastAsia="宋体" w:cs="Times New Roman"/>
                <w:bCs/>
                <w:color w:val="auto"/>
                <w:sz w:val="21"/>
                <w:szCs w:val="21"/>
                <w:highlight w:val="none"/>
              </w:rPr>
              <w:t>吸附能力以0.</w:t>
            </w:r>
            <w:r>
              <w:rPr>
                <w:rFonts w:hint="eastAsia"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g/g活性炭计，</w:t>
            </w:r>
            <w:r>
              <w:rPr>
                <w:rFonts w:hint="default" w:ascii="Times New Roman" w:hAnsi="Times New Roman" w:eastAsia="宋体" w:cs="Times New Roman"/>
                <w:bCs/>
                <w:color w:val="auto"/>
                <w:sz w:val="21"/>
                <w:szCs w:val="21"/>
                <w:highlight w:val="none"/>
                <w:lang w:eastAsia="zh-CN"/>
              </w:rPr>
              <w:t>现参照《省生态环境厅关于将排污单位活性炭使用更换纳入排污许可管理的通知》（苏环办</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eastAsia="zh-CN"/>
              </w:rPr>
              <w:t>2021</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eastAsia="zh-CN"/>
              </w:rPr>
              <w:t>218号）核算活性炭更换周期及废活性炭产生量。</w:t>
            </w:r>
          </w:p>
          <w:p w14:paraId="5F64056C">
            <w:pPr>
              <w:pStyle w:val="13"/>
              <w:keepNext w:val="0"/>
              <w:keepLines w:val="0"/>
              <w:numPr>
                <w:ilvl w:val="0"/>
                <w:numId w:val="0"/>
              </w:numPr>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spacing w:val="0"/>
                <w:szCs w:val="21"/>
                <w:lang w:val="en-US" w:eastAsia="zh-CN"/>
              </w:rPr>
            </w:pPr>
            <w:r>
              <w:rPr>
                <w:rFonts w:hint="default" w:ascii="Times New Roman" w:hAnsi="Times New Roman" w:cs="Times New Roman"/>
                <w:b w:val="0"/>
                <w:bCs/>
                <w:color w:val="auto"/>
                <w:spacing w:val="0"/>
                <w:szCs w:val="21"/>
                <w:lang w:val="en-US" w:eastAsia="zh-CN"/>
              </w:rPr>
              <w:t>活性炭的更换频次计算过程如下：</w:t>
            </w:r>
          </w:p>
          <w:p w14:paraId="427D69A4">
            <w:pPr>
              <w:pStyle w:val="13"/>
              <w:keepNext w:val="0"/>
              <w:keepLines w:val="0"/>
              <w:numPr>
                <w:ilvl w:val="0"/>
                <w:numId w:val="0"/>
              </w:numPr>
              <w:suppressLineNumbers w:val="0"/>
              <w:spacing w:before="0" w:beforeAutospacing="0" w:after="0" w:afterAutospacing="0" w:line="360" w:lineRule="auto"/>
              <w:ind w:left="0" w:right="0" w:firstLine="420" w:firstLineChars="200"/>
              <w:jc w:val="center"/>
              <w:rPr>
                <w:rFonts w:hint="default" w:ascii="Times New Roman" w:hAnsi="Times New Roman" w:cs="Times New Roman"/>
                <w:b w:val="0"/>
                <w:bCs/>
                <w:color w:val="auto"/>
                <w:spacing w:val="0"/>
                <w:szCs w:val="21"/>
                <w:lang w:val="en-US" w:eastAsia="zh-CN"/>
              </w:rPr>
            </w:pPr>
            <w:r>
              <w:rPr>
                <w:rFonts w:hint="default" w:ascii="Times New Roman" w:hAnsi="Times New Roman" w:cs="Times New Roman"/>
                <w:b w:val="0"/>
                <w:bCs/>
                <w:color w:val="auto"/>
                <w:spacing w:val="0"/>
                <w:szCs w:val="21"/>
                <w:lang w:val="en-US" w:eastAsia="zh-CN"/>
              </w:rPr>
              <w:t>T=m×s÷（c×10</w:t>
            </w:r>
            <w:r>
              <w:rPr>
                <w:rFonts w:hint="default" w:ascii="Times New Roman" w:hAnsi="Times New Roman" w:cs="Times New Roman"/>
                <w:b w:val="0"/>
                <w:bCs/>
                <w:color w:val="auto"/>
                <w:spacing w:val="0"/>
                <w:szCs w:val="21"/>
                <w:vertAlign w:val="superscript"/>
                <w:lang w:val="en-US" w:eastAsia="zh-CN"/>
              </w:rPr>
              <w:t>-6</w:t>
            </w:r>
            <w:r>
              <w:rPr>
                <w:rFonts w:hint="default" w:ascii="Times New Roman" w:hAnsi="Times New Roman" w:cs="Times New Roman"/>
                <w:b w:val="0"/>
                <w:bCs/>
                <w:color w:val="auto"/>
                <w:spacing w:val="0"/>
                <w:szCs w:val="21"/>
                <w:lang w:val="en-US" w:eastAsia="zh-CN"/>
              </w:rPr>
              <w:t>×</w:t>
            </w:r>
            <w:r>
              <w:rPr>
                <w:rFonts w:hint="default" w:ascii="Times New Roman" w:hAnsi="Times New Roman" w:cs="Times New Roman"/>
                <w:b w:val="0"/>
                <w:bCs/>
                <w:color w:val="auto"/>
                <w:spacing w:val="0"/>
                <w:szCs w:val="21"/>
                <w:vertAlign w:val="baseline"/>
                <w:lang w:val="en-US" w:eastAsia="zh-CN"/>
              </w:rPr>
              <w:t>Q</w:t>
            </w:r>
            <w:r>
              <w:rPr>
                <w:rFonts w:hint="default" w:ascii="Times New Roman" w:hAnsi="Times New Roman" w:cs="Times New Roman"/>
                <w:b w:val="0"/>
                <w:bCs/>
                <w:color w:val="auto"/>
                <w:spacing w:val="0"/>
                <w:szCs w:val="21"/>
                <w:lang w:val="en-US" w:eastAsia="zh-CN"/>
              </w:rPr>
              <w:t>×</w:t>
            </w:r>
            <w:r>
              <w:rPr>
                <w:rFonts w:hint="default" w:ascii="Times New Roman" w:hAnsi="Times New Roman" w:cs="Times New Roman"/>
                <w:b w:val="0"/>
                <w:bCs/>
                <w:color w:val="auto"/>
                <w:spacing w:val="0"/>
                <w:szCs w:val="21"/>
                <w:vertAlign w:val="baseline"/>
                <w:lang w:val="en-US" w:eastAsia="zh-CN"/>
              </w:rPr>
              <w:t>t</w:t>
            </w:r>
            <w:r>
              <w:rPr>
                <w:rFonts w:hint="default" w:ascii="Times New Roman" w:hAnsi="Times New Roman" w:cs="Times New Roman"/>
                <w:b w:val="0"/>
                <w:bCs/>
                <w:color w:val="auto"/>
                <w:spacing w:val="0"/>
                <w:szCs w:val="21"/>
                <w:lang w:val="en-US" w:eastAsia="zh-CN"/>
              </w:rPr>
              <w:t>）</w:t>
            </w:r>
          </w:p>
          <w:p w14:paraId="1D9FD56E">
            <w:pPr>
              <w:pStyle w:val="13"/>
              <w:keepNext w:val="0"/>
              <w:keepLines w:val="0"/>
              <w:numPr>
                <w:ilvl w:val="0"/>
                <w:numId w:val="0"/>
              </w:numPr>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spacing w:val="0"/>
                <w:szCs w:val="21"/>
                <w:lang w:val="en-US" w:eastAsia="zh-CN"/>
              </w:rPr>
            </w:pPr>
            <w:r>
              <w:rPr>
                <w:rFonts w:hint="default" w:ascii="Times New Roman" w:hAnsi="Times New Roman" w:cs="Times New Roman"/>
                <w:b w:val="0"/>
                <w:bCs/>
                <w:color w:val="auto"/>
                <w:spacing w:val="0"/>
                <w:szCs w:val="21"/>
                <w:lang w:val="en-US" w:eastAsia="zh-CN"/>
              </w:rPr>
              <w:t>式中：T—更换周期，天；</w:t>
            </w:r>
          </w:p>
          <w:p w14:paraId="5471F181">
            <w:pPr>
              <w:pStyle w:val="13"/>
              <w:keepNext w:val="0"/>
              <w:keepLines w:val="0"/>
              <w:numPr>
                <w:ilvl w:val="0"/>
                <w:numId w:val="0"/>
              </w:numPr>
              <w:suppressLineNumbers w:val="0"/>
              <w:spacing w:before="0" w:beforeAutospacing="0" w:after="0" w:afterAutospacing="0" w:line="360" w:lineRule="auto"/>
              <w:ind w:left="0" w:right="0" w:firstLine="1050" w:firstLineChars="500"/>
              <w:rPr>
                <w:rFonts w:hint="default" w:ascii="Times New Roman" w:hAnsi="Times New Roman" w:cs="Times New Roman"/>
                <w:b w:val="0"/>
                <w:bCs/>
                <w:color w:val="auto"/>
                <w:spacing w:val="0"/>
                <w:szCs w:val="21"/>
                <w:lang w:val="en-US" w:eastAsia="zh-CN"/>
              </w:rPr>
            </w:pPr>
            <w:r>
              <w:rPr>
                <w:rFonts w:hint="default" w:ascii="Times New Roman" w:hAnsi="Times New Roman" w:cs="Times New Roman"/>
                <w:b w:val="0"/>
                <w:bCs/>
                <w:color w:val="auto"/>
                <w:spacing w:val="0"/>
                <w:szCs w:val="21"/>
                <w:lang w:val="en-US" w:eastAsia="zh-CN"/>
              </w:rPr>
              <w:t>m—活性炭的用量，kg；</w:t>
            </w:r>
          </w:p>
          <w:p w14:paraId="3D676194">
            <w:pPr>
              <w:pStyle w:val="13"/>
              <w:keepNext w:val="0"/>
              <w:keepLines w:val="0"/>
              <w:numPr>
                <w:ilvl w:val="0"/>
                <w:numId w:val="0"/>
              </w:numPr>
              <w:suppressLineNumbers w:val="0"/>
              <w:spacing w:before="0" w:beforeAutospacing="0" w:after="0" w:afterAutospacing="0" w:line="360" w:lineRule="auto"/>
              <w:ind w:left="0" w:right="0" w:firstLine="1050" w:firstLineChars="500"/>
              <w:rPr>
                <w:rFonts w:hint="default" w:ascii="Times New Roman" w:hAnsi="Times New Roman" w:cs="Times New Roman"/>
                <w:b w:val="0"/>
                <w:bCs/>
                <w:color w:val="auto"/>
                <w:spacing w:val="0"/>
                <w:szCs w:val="21"/>
                <w:lang w:val="en-US" w:eastAsia="zh-CN"/>
              </w:rPr>
            </w:pPr>
            <w:r>
              <w:rPr>
                <w:rFonts w:hint="default" w:ascii="Times New Roman" w:hAnsi="Times New Roman" w:cs="Times New Roman"/>
                <w:b w:val="0"/>
                <w:bCs/>
                <w:color w:val="auto"/>
                <w:spacing w:val="0"/>
                <w:szCs w:val="21"/>
                <w:lang w:val="en-US" w:eastAsia="zh-CN"/>
              </w:rPr>
              <w:t>s—动态吸附量，%；</w:t>
            </w:r>
          </w:p>
          <w:p w14:paraId="21301E84">
            <w:pPr>
              <w:pStyle w:val="13"/>
              <w:keepNext w:val="0"/>
              <w:keepLines w:val="0"/>
              <w:numPr>
                <w:ilvl w:val="0"/>
                <w:numId w:val="0"/>
              </w:numPr>
              <w:suppressLineNumbers w:val="0"/>
              <w:spacing w:before="0" w:beforeAutospacing="0" w:after="0" w:afterAutospacing="0" w:line="360" w:lineRule="auto"/>
              <w:ind w:left="0" w:right="0" w:firstLine="1050" w:firstLineChars="500"/>
              <w:rPr>
                <w:rFonts w:hint="default" w:ascii="Times New Roman" w:hAnsi="Times New Roman" w:cs="Times New Roman"/>
                <w:b w:val="0"/>
                <w:bCs/>
                <w:color w:val="auto"/>
                <w:spacing w:val="0"/>
                <w:szCs w:val="21"/>
                <w:lang w:val="en-US" w:eastAsia="zh-CN"/>
              </w:rPr>
            </w:pPr>
            <w:r>
              <w:rPr>
                <w:rFonts w:hint="default" w:ascii="Times New Roman" w:hAnsi="Times New Roman" w:cs="Times New Roman"/>
                <w:b w:val="0"/>
                <w:bCs/>
                <w:color w:val="auto"/>
                <w:spacing w:val="0"/>
                <w:szCs w:val="21"/>
                <w:lang w:val="en-US" w:eastAsia="zh-CN"/>
              </w:rPr>
              <w:t>c—活性炭削减的VOCs的浓度，mg/m</w:t>
            </w:r>
            <w:r>
              <w:rPr>
                <w:rFonts w:hint="default" w:ascii="Times New Roman" w:hAnsi="Times New Roman" w:cs="Times New Roman"/>
                <w:b w:val="0"/>
                <w:bCs/>
                <w:color w:val="auto"/>
                <w:spacing w:val="0"/>
                <w:szCs w:val="21"/>
                <w:vertAlign w:val="superscript"/>
                <w:lang w:val="en-US" w:eastAsia="zh-CN"/>
              </w:rPr>
              <w:t>3</w:t>
            </w:r>
            <w:r>
              <w:rPr>
                <w:rFonts w:hint="default" w:ascii="Times New Roman" w:hAnsi="Times New Roman" w:cs="Times New Roman"/>
                <w:b w:val="0"/>
                <w:bCs/>
                <w:color w:val="auto"/>
                <w:spacing w:val="0"/>
                <w:szCs w:val="21"/>
                <w:lang w:val="en-US" w:eastAsia="zh-CN"/>
              </w:rPr>
              <w:t>；</w:t>
            </w:r>
          </w:p>
          <w:p w14:paraId="35CFE2BA">
            <w:pPr>
              <w:pStyle w:val="13"/>
              <w:keepNext w:val="0"/>
              <w:keepLines w:val="0"/>
              <w:numPr>
                <w:ilvl w:val="0"/>
                <w:numId w:val="0"/>
              </w:numPr>
              <w:suppressLineNumbers w:val="0"/>
              <w:spacing w:before="0" w:beforeAutospacing="0" w:after="0" w:afterAutospacing="0" w:line="360" w:lineRule="auto"/>
              <w:ind w:left="0" w:right="0" w:firstLine="1050" w:firstLineChars="500"/>
              <w:rPr>
                <w:rFonts w:hint="default" w:ascii="Times New Roman" w:hAnsi="Times New Roman" w:cs="Times New Roman"/>
                <w:b w:val="0"/>
                <w:bCs/>
                <w:color w:val="auto"/>
                <w:spacing w:val="0"/>
                <w:szCs w:val="21"/>
                <w:vertAlign w:val="baseline"/>
                <w:lang w:val="en-US" w:eastAsia="zh-CN"/>
              </w:rPr>
            </w:pPr>
            <w:r>
              <w:rPr>
                <w:rFonts w:hint="default" w:ascii="Times New Roman" w:hAnsi="Times New Roman" w:cs="Times New Roman"/>
                <w:b w:val="0"/>
                <w:bCs/>
                <w:color w:val="auto"/>
                <w:spacing w:val="0"/>
                <w:szCs w:val="21"/>
                <w:lang w:val="en-US" w:eastAsia="zh-CN"/>
              </w:rPr>
              <w:t>Q—风量，单位</w:t>
            </w:r>
            <w:r>
              <w:rPr>
                <w:rFonts w:hint="default" w:ascii="Times New Roman" w:hAnsi="Times New Roman" w:cs="Times New Roman"/>
                <w:b w:val="0"/>
                <w:bCs/>
                <w:color w:val="auto"/>
                <w:spacing w:val="0"/>
                <w:szCs w:val="21"/>
                <w:vertAlign w:val="baseline"/>
                <w:lang w:val="en-US" w:eastAsia="zh-CN"/>
              </w:rPr>
              <w:t>m</w:t>
            </w:r>
            <w:r>
              <w:rPr>
                <w:rFonts w:hint="default" w:ascii="Times New Roman" w:hAnsi="Times New Roman" w:cs="Times New Roman"/>
                <w:b w:val="0"/>
                <w:bCs/>
                <w:color w:val="auto"/>
                <w:spacing w:val="0"/>
                <w:szCs w:val="21"/>
                <w:vertAlign w:val="superscript"/>
                <w:lang w:val="en-US" w:eastAsia="zh-CN"/>
              </w:rPr>
              <w:t>3</w:t>
            </w:r>
            <w:r>
              <w:rPr>
                <w:rFonts w:hint="default" w:ascii="Times New Roman" w:hAnsi="Times New Roman" w:cs="Times New Roman"/>
                <w:b w:val="0"/>
                <w:bCs/>
                <w:color w:val="auto"/>
                <w:spacing w:val="0"/>
                <w:szCs w:val="21"/>
                <w:vertAlign w:val="baseline"/>
                <w:lang w:val="en-US" w:eastAsia="zh-CN"/>
              </w:rPr>
              <w:t>/h；</w:t>
            </w:r>
          </w:p>
          <w:p w14:paraId="09430929">
            <w:pPr>
              <w:pStyle w:val="13"/>
              <w:keepNext w:val="0"/>
              <w:keepLines w:val="0"/>
              <w:numPr>
                <w:ilvl w:val="0"/>
                <w:numId w:val="0"/>
              </w:numPr>
              <w:suppressLineNumbers w:val="0"/>
              <w:spacing w:before="0" w:beforeAutospacing="0" w:after="0" w:afterAutospacing="0" w:line="360" w:lineRule="auto"/>
              <w:ind w:left="0" w:right="0" w:firstLine="1050" w:firstLineChars="500"/>
              <w:rPr>
                <w:rFonts w:hint="default" w:ascii="Times New Roman" w:hAnsi="Times New Roman" w:cs="Times New Roman"/>
                <w:b w:val="0"/>
                <w:bCs/>
                <w:color w:val="auto"/>
                <w:spacing w:val="0"/>
                <w:szCs w:val="21"/>
                <w:vertAlign w:val="baseline"/>
                <w:lang w:val="en-US" w:eastAsia="zh-CN"/>
              </w:rPr>
            </w:pPr>
            <w:r>
              <w:rPr>
                <w:rFonts w:hint="default" w:ascii="Times New Roman" w:hAnsi="Times New Roman" w:cs="Times New Roman"/>
                <w:b w:val="0"/>
                <w:bCs/>
                <w:color w:val="auto"/>
                <w:spacing w:val="0"/>
                <w:szCs w:val="21"/>
                <w:vertAlign w:val="baseline"/>
                <w:lang w:val="en-US" w:eastAsia="zh-CN"/>
              </w:rPr>
              <w:t>t</w:t>
            </w:r>
            <w:r>
              <w:rPr>
                <w:rFonts w:hint="default" w:ascii="Times New Roman" w:hAnsi="Times New Roman" w:cs="Times New Roman"/>
                <w:b w:val="0"/>
                <w:bCs/>
                <w:color w:val="auto"/>
                <w:spacing w:val="0"/>
                <w:szCs w:val="21"/>
                <w:lang w:val="en-US" w:eastAsia="zh-CN"/>
              </w:rPr>
              <w:t>—运行时间，单位h/d。</w:t>
            </w:r>
          </w:p>
          <w:p w14:paraId="59EB2B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本项目废活性炭产生情况见表</w:t>
            </w:r>
            <w:r>
              <w:rPr>
                <w:rFonts w:hint="default" w:ascii="Times New Roman" w:hAnsi="Times New Roman" w:eastAsia="宋体" w:cs="Times New Roman"/>
                <w:bCs/>
                <w:color w:val="auto"/>
                <w:sz w:val="21"/>
                <w:szCs w:val="21"/>
                <w:highlight w:val="none"/>
                <w:lang w:val="en-US" w:eastAsia="zh-CN"/>
              </w:rPr>
              <w:t>4-</w:t>
            </w:r>
            <w:r>
              <w:rPr>
                <w:rFonts w:hint="eastAsia"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w:t>
            </w:r>
          </w:p>
          <w:p w14:paraId="54AF9A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 xml:space="preserve">  本项目废活性炭产生情况表</w:t>
            </w:r>
          </w:p>
          <w:tbl>
            <w:tblPr>
              <w:tblStyle w:val="28"/>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233"/>
              <w:gridCol w:w="914"/>
              <w:gridCol w:w="858"/>
              <w:gridCol w:w="1303"/>
              <w:gridCol w:w="1046"/>
              <w:gridCol w:w="945"/>
              <w:gridCol w:w="893"/>
              <w:gridCol w:w="977"/>
            </w:tblGrid>
            <w:tr w14:paraId="7734C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5" w:type="pct"/>
                  <w:tcBorders>
                    <w:tl2br w:val="nil"/>
                    <w:tr2bl w:val="nil"/>
                  </w:tcBorders>
                  <w:noWrap w:val="0"/>
                  <w:vAlign w:val="center"/>
                </w:tcPr>
                <w:p w14:paraId="54E925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装置编号</w:t>
                  </w:r>
                </w:p>
              </w:tc>
              <w:tc>
                <w:tcPr>
                  <w:tcW w:w="685" w:type="pct"/>
                  <w:tcBorders>
                    <w:tl2br w:val="nil"/>
                    <w:tr2bl w:val="nil"/>
                  </w:tcBorders>
                  <w:noWrap w:val="0"/>
                  <w:vAlign w:val="center"/>
                </w:tcPr>
                <w:p w14:paraId="5EF68F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产污工段</w:t>
                  </w:r>
                </w:p>
              </w:tc>
              <w:tc>
                <w:tcPr>
                  <w:tcW w:w="508" w:type="pct"/>
                  <w:tcBorders>
                    <w:tl2br w:val="nil"/>
                    <w:tr2bl w:val="nil"/>
                  </w:tcBorders>
                  <w:noWrap w:val="0"/>
                  <w:vAlign w:val="center"/>
                </w:tcPr>
                <w:p w14:paraId="4EE63C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活性炭装填量（t）</w:t>
                  </w:r>
                </w:p>
              </w:tc>
              <w:tc>
                <w:tcPr>
                  <w:tcW w:w="477" w:type="pct"/>
                  <w:tcBorders>
                    <w:tl2br w:val="nil"/>
                    <w:tr2bl w:val="nil"/>
                  </w:tcBorders>
                  <w:noWrap w:val="0"/>
                  <w:vAlign w:val="center"/>
                </w:tcPr>
                <w:p w14:paraId="4CFBE9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动态吸附量（%）</w:t>
                  </w:r>
                </w:p>
              </w:tc>
              <w:tc>
                <w:tcPr>
                  <w:tcW w:w="724" w:type="pct"/>
                  <w:tcBorders>
                    <w:tl2br w:val="nil"/>
                    <w:tr2bl w:val="nil"/>
                  </w:tcBorders>
                  <w:noWrap w:val="0"/>
                  <w:vAlign w:val="center"/>
                </w:tcPr>
                <w:p w14:paraId="2DB9ED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活性炭削减VOCs浓度（mg/m</w:t>
                  </w:r>
                  <w:r>
                    <w:rPr>
                      <w:rFonts w:hint="default" w:ascii="Times New Roman" w:hAnsi="Times New Roman" w:eastAsia="仿宋" w:cs="Times New Roman"/>
                      <w:color w:val="auto"/>
                      <w:spacing w:val="0"/>
                      <w:kern w:val="2"/>
                      <w:sz w:val="21"/>
                      <w:szCs w:val="21"/>
                      <w:highlight w:val="none"/>
                      <w:vertAlign w:val="superscript"/>
                      <w:lang w:val="en-US" w:eastAsia="zh-CN" w:bidi="ar-SA"/>
                    </w:rPr>
                    <w:t>3</w:t>
                  </w:r>
                  <w:r>
                    <w:rPr>
                      <w:rFonts w:hint="default" w:ascii="Times New Roman" w:hAnsi="Times New Roman" w:eastAsia="仿宋" w:cs="Times New Roman"/>
                      <w:color w:val="auto"/>
                      <w:spacing w:val="0"/>
                      <w:kern w:val="2"/>
                      <w:sz w:val="21"/>
                      <w:szCs w:val="21"/>
                      <w:highlight w:val="none"/>
                      <w:lang w:val="en-US" w:eastAsia="zh-CN" w:bidi="ar-SA"/>
                    </w:rPr>
                    <w:t>）</w:t>
                  </w:r>
                </w:p>
              </w:tc>
              <w:tc>
                <w:tcPr>
                  <w:tcW w:w="581" w:type="pct"/>
                  <w:tcBorders>
                    <w:tl2br w:val="nil"/>
                    <w:tr2bl w:val="nil"/>
                  </w:tcBorders>
                  <w:noWrap w:val="0"/>
                  <w:vAlign w:val="center"/>
                </w:tcPr>
                <w:p w14:paraId="4EB1F4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风量（m</w:t>
                  </w:r>
                  <w:r>
                    <w:rPr>
                      <w:rFonts w:hint="default" w:ascii="Times New Roman" w:hAnsi="Times New Roman" w:eastAsia="仿宋" w:cs="Times New Roman"/>
                      <w:color w:val="auto"/>
                      <w:spacing w:val="0"/>
                      <w:kern w:val="2"/>
                      <w:sz w:val="21"/>
                      <w:szCs w:val="21"/>
                      <w:highlight w:val="none"/>
                      <w:vertAlign w:val="superscript"/>
                      <w:lang w:val="en-US" w:eastAsia="zh-CN" w:bidi="ar-SA"/>
                    </w:rPr>
                    <w:t>3</w:t>
                  </w:r>
                  <w:r>
                    <w:rPr>
                      <w:rFonts w:hint="default" w:ascii="Times New Roman" w:hAnsi="Times New Roman" w:eastAsia="仿宋" w:cs="Times New Roman"/>
                      <w:color w:val="auto"/>
                      <w:spacing w:val="0"/>
                      <w:kern w:val="2"/>
                      <w:sz w:val="21"/>
                      <w:szCs w:val="21"/>
                      <w:highlight w:val="none"/>
                      <w:lang w:val="en-US" w:eastAsia="zh-CN" w:bidi="ar-SA"/>
                    </w:rPr>
                    <w:t>/h）</w:t>
                  </w:r>
                </w:p>
              </w:tc>
              <w:tc>
                <w:tcPr>
                  <w:tcW w:w="525" w:type="pct"/>
                  <w:tcBorders>
                    <w:tl2br w:val="nil"/>
                    <w:tr2bl w:val="nil"/>
                  </w:tcBorders>
                  <w:noWrap w:val="0"/>
                  <w:vAlign w:val="center"/>
                </w:tcPr>
                <w:p w14:paraId="790533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运行时间（h/d）</w:t>
                  </w:r>
                </w:p>
              </w:tc>
              <w:tc>
                <w:tcPr>
                  <w:tcW w:w="496" w:type="pct"/>
                  <w:tcBorders>
                    <w:tl2br w:val="nil"/>
                    <w:tr2bl w:val="nil"/>
                  </w:tcBorders>
                  <w:noWrap w:val="0"/>
                  <w:vAlign w:val="center"/>
                </w:tcPr>
                <w:p w14:paraId="776F5F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更换周期（天）</w:t>
                  </w:r>
                </w:p>
              </w:tc>
              <w:tc>
                <w:tcPr>
                  <w:tcW w:w="543" w:type="pct"/>
                  <w:tcBorders>
                    <w:tl2br w:val="nil"/>
                    <w:tr2bl w:val="nil"/>
                  </w:tcBorders>
                  <w:noWrap w:val="0"/>
                  <w:vAlign w:val="center"/>
                </w:tcPr>
                <w:p w14:paraId="51E07A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废活性炭产生量（t/a）</w:t>
                  </w:r>
                </w:p>
              </w:tc>
            </w:tr>
            <w:tr w14:paraId="39B12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5" w:type="pct"/>
                  <w:tcBorders>
                    <w:tl2br w:val="nil"/>
                    <w:tr2bl w:val="nil"/>
                  </w:tcBorders>
                  <w:noWrap w:val="0"/>
                  <w:vAlign w:val="center"/>
                </w:tcPr>
                <w:p w14:paraId="40020A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color w:val="auto"/>
                      <w:spacing w:val="0"/>
                      <w:kern w:val="2"/>
                      <w:sz w:val="21"/>
                      <w:szCs w:val="21"/>
                      <w:highlight w:val="none"/>
                      <w:lang w:val="en-US" w:eastAsia="zh-CN" w:bidi="ar-SA"/>
                    </w:rPr>
                  </w:pPr>
                  <w:r>
                    <w:rPr>
                      <w:rFonts w:hint="eastAsia" w:eastAsia="仿宋" w:cs="Times New Roman"/>
                      <w:color w:val="auto"/>
                      <w:spacing w:val="0"/>
                      <w:kern w:val="2"/>
                      <w:sz w:val="21"/>
                      <w:szCs w:val="21"/>
                      <w:highlight w:val="none"/>
                      <w:lang w:val="en-US" w:eastAsia="zh-CN" w:bidi="ar-SA"/>
                    </w:rPr>
                    <w:t>T</w:t>
                  </w:r>
                  <w:r>
                    <w:rPr>
                      <w:rFonts w:hint="eastAsia" w:ascii="Times New Roman" w:hAnsi="Times New Roman" w:eastAsia="仿宋" w:cs="Times New Roman"/>
                      <w:color w:val="auto"/>
                      <w:spacing w:val="0"/>
                      <w:kern w:val="2"/>
                      <w:sz w:val="21"/>
                      <w:szCs w:val="21"/>
                      <w:highlight w:val="none"/>
                      <w:lang w:val="en-US" w:eastAsia="zh-CN" w:bidi="ar-SA"/>
                    </w:rPr>
                    <w:t>A00</w:t>
                  </w:r>
                  <w:r>
                    <w:rPr>
                      <w:rFonts w:hint="eastAsia" w:eastAsia="仿宋" w:cs="Times New Roman"/>
                      <w:color w:val="auto"/>
                      <w:spacing w:val="0"/>
                      <w:kern w:val="2"/>
                      <w:sz w:val="21"/>
                      <w:szCs w:val="21"/>
                      <w:highlight w:val="none"/>
                      <w:lang w:val="en-US" w:eastAsia="zh-CN" w:bidi="ar-SA"/>
                    </w:rPr>
                    <w:t>2</w:t>
                  </w:r>
                </w:p>
              </w:tc>
              <w:tc>
                <w:tcPr>
                  <w:tcW w:w="685" w:type="pct"/>
                  <w:tcBorders>
                    <w:tl2br w:val="nil"/>
                    <w:tr2bl w:val="nil"/>
                  </w:tcBorders>
                  <w:noWrap w:val="0"/>
                  <w:vAlign w:val="center"/>
                </w:tcPr>
                <w:p w14:paraId="5E8DCB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eastAsia" w:eastAsia="仿宋" w:cs="Times New Roman"/>
                      <w:color w:val="auto"/>
                      <w:spacing w:val="0"/>
                      <w:kern w:val="2"/>
                      <w:sz w:val="21"/>
                      <w:szCs w:val="21"/>
                      <w:highlight w:val="none"/>
                      <w:lang w:val="en-US" w:eastAsia="zh-CN" w:bidi="ar-SA"/>
                    </w:rPr>
                    <w:t>涂胶、炼胶、硫化</w:t>
                  </w:r>
                </w:p>
              </w:tc>
              <w:tc>
                <w:tcPr>
                  <w:tcW w:w="508" w:type="pct"/>
                  <w:tcBorders>
                    <w:tl2br w:val="nil"/>
                    <w:tr2bl w:val="nil"/>
                  </w:tcBorders>
                  <w:noWrap w:val="0"/>
                  <w:vAlign w:val="center"/>
                </w:tcPr>
                <w:p w14:paraId="56C8FA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仿宋" w:cs="Times New Roman"/>
                      <w:color w:val="auto"/>
                      <w:spacing w:val="0"/>
                      <w:kern w:val="2"/>
                      <w:sz w:val="21"/>
                      <w:szCs w:val="21"/>
                      <w:highlight w:val="none"/>
                      <w:lang w:val="en-US" w:eastAsia="zh-CN" w:bidi="ar-SA"/>
                    </w:rPr>
                    <w:t>0.864</w:t>
                  </w:r>
                </w:p>
              </w:tc>
              <w:tc>
                <w:tcPr>
                  <w:tcW w:w="477" w:type="pct"/>
                  <w:tcBorders>
                    <w:tl2br w:val="nil"/>
                    <w:tr2bl w:val="nil"/>
                  </w:tcBorders>
                  <w:noWrap w:val="0"/>
                  <w:vAlign w:val="center"/>
                </w:tcPr>
                <w:p w14:paraId="370DAE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eastAsia" w:eastAsia="仿宋" w:cs="Times New Roman"/>
                      <w:color w:val="auto"/>
                      <w:spacing w:val="0"/>
                      <w:kern w:val="2"/>
                      <w:sz w:val="21"/>
                      <w:szCs w:val="21"/>
                      <w:highlight w:val="none"/>
                      <w:lang w:val="en-US" w:eastAsia="zh-CN" w:bidi="ar-SA"/>
                    </w:rPr>
                    <w:t>20</w:t>
                  </w:r>
                </w:p>
              </w:tc>
              <w:tc>
                <w:tcPr>
                  <w:tcW w:w="724" w:type="pct"/>
                  <w:tcBorders>
                    <w:tl2br w:val="nil"/>
                    <w:tr2bl w:val="nil"/>
                  </w:tcBorders>
                  <w:noWrap w:val="0"/>
                  <w:vAlign w:val="center"/>
                </w:tcPr>
                <w:p w14:paraId="3CD191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eastAsia" w:eastAsia="仿宋" w:cs="Times New Roman"/>
                      <w:color w:val="auto"/>
                      <w:spacing w:val="0"/>
                      <w:kern w:val="2"/>
                      <w:sz w:val="21"/>
                      <w:szCs w:val="21"/>
                      <w:highlight w:val="none"/>
                      <w:lang w:val="en-US" w:eastAsia="zh-CN" w:bidi="ar-SA"/>
                    </w:rPr>
                    <w:t>11.568</w:t>
                  </w:r>
                </w:p>
              </w:tc>
              <w:tc>
                <w:tcPr>
                  <w:tcW w:w="581" w:type="pct"/>
                  <w:tcBorders>
                    <w:tl2br w:val="nil"/>
                    <w:tr2bl w:val="nil"/>
                  </w:tcBorders>
                  <w:noWrap w:val="0"/>
                  <w:vAlign w:val="center"/>
                </w:tcPr>
                <w:p w14:paraId="5A290A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15000</w:t>
                  </w:r>
                </w:p>
              </w:tc>
              <w:tc>
                <w:tcPr>
                  <w:tcW w:w="525" w:type="pct"/>
                  <w:tcBorders>
                    <w:tl2br w:val="nil"/>
                    <w:tr2bl w:val="nil"/>
                  </w:tcBorders>
                  <w:noWrap w:val="0"/>
                  <w:vAlign w:val="center"/>
                </w:tcPr>
                <w:p w14:paraId="0BC352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496" w:type="pct"/>
                  <w:tcBorders>
                    <w:tl2br w:val="nil"/>
                    <w:tr2bl w:val="nil"/>
                  </w:tcBorders>
                  <w:noWrap w:val="0"/>
                  <w:vAlign w:val="center"/>
                </w:tcPr>
                <w:p w14:paraId="62AF7E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eastAsia" w:eastAsia="仿宋" w:cs="Times New Roman"/>
                      <w:color w:val="auto"/>
                      <w:spacing w:val="0"/>
                      <w:kern w:val="2"/>
                      <w:sz w:val="21"/>
                      <w:szCs w:val="21"/>
                      <w:highlight w:val="none"/>
                      <w:lang w:val="en-US" w:eastAsia="zh-CN" w:bidi="ar-SA"/>
                    </w:rPr>
                    <w:t>99</w:t>
                  </w:r>
                </w:p>
              </w:tc>
              <w:tc>
                <w:tcPr>
                  <w:tcW w:w="543" w:type="pct"/>
                  <w:tcBorders>
                    <w:tl2br w:val="nil"/>
                    <w:tr2bl w:val="nil"/>
                  </w:tcBorders>
                  <w:noWrap w:val="0"/>
                  <w:vAlign w:val="center"/>
                </w:tcPr>
                <w:p w14:paraId="3A9163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eastAsia" w:eastAsia="仿宋" w:cs="Times New Roman"/>
                      <w:color w:val="auto"/>
                      <w:spacing w:val="0"/>
                      <w:kern w:val="2"/>
                      <w:sz w:val="21"/>
                      <w:szCs w:val="21"/>
                      <w:highlight w:val="none"/>
                      <w:lang w:val="en-US" w:eastAsia="zh-CN" w:bidi="ar-SA"/>
                    </w:rPr>
                    <w:t>3.46（不含废气）</w:t>
                  </w:r>
                </w:p>
              </w:tc>
            </w:tr>
          </w:tbl>
          <w:p w14:paraId="7DA79155">
            <w:pPr>
              <w:keepNext w:val="0"/>
              <w:keepLines w:val="0"/>
              <w:suppressLineNumbers w:val="0"/>
              <w:adjustRightInd w:val="0"/>
              <w:snapToGrid w:val="0"/>
              <w:spacing w:before="0" w:beforeLines="0" w:beforeAutospacing="0" w:after="0" w:afterLines="0" w:afterAutospacing="0" w:line="240" w:lineRule="auto"/>
              <w:ind w:left="0" w:right="0"/>
              <w:jc w:val="both"/>
              <w:rPr>
                <w:rFonts w:hint="eastAsia" w:ascii="Times New Roman" w:hAnsi="Times New Roman" w:cs="Times New Roman"/>
                <w:b w:val="0"/>
                <w:bCs w:val="0"/>
                <w:color w:val="0000FF"/>
                <w:lang w:val="en-US" w:eastAsia="zh-CN"/>
              </w:rPr>
            </w:pPr>
            <w:r>
              <w:rPr>
                <w:rFonts w:hint="eastAsia" w:ascii="Times New Roman" w:hAnsi="Times New Roman" w:eastAsia="宋体" w:cs="Times New Roman"/>
                <w:b/>
                <w:bCs w:val="0"/>
                <w:color w:val="auto"/>
                <w:sz w:val="21"/>
                <w:szCs w:val="21"/>
                <w:highlight w:val="none"/>
                <w:lang w:val="en-US" w:eastAsia="zh-CN"/>
              </w:rPr>
              <w:t>注：</w:t>
            </w:r>
            <w:r>
              <w:rPr>
                <w:rFonts w:hint="default" w:ascii="Times New Roman" w:hAnsi="Times New Roman" w:eastAsia="宋体" w:cs="Times New Roman"/>
                <w:b/>
                <w:bCs w:val="0"/>
                <w:color w:val="auto"/>
                <w:sz w:val="21"/>
                <w:szCs w:val="21"/>
                <w:highlight w:val="none"/>
                <w:lang w:eastAsia="zh-CN"/>
              </w:rPr>
              <w:t>根据《省生态环境厅关于深入开展涉VOCs治理重点工作核查的通知》（苏环办[2022]218号），活性炭更换周期一般不应超过累计运行500小时或3个月</w:t>
            </w:r>
            <w:r>
              <w:rPr>
                <w:rFonts w:hint="eastAsia" w:ascii="Times New Roman" w:hAnsi="Times New Roman" w:eastAsia="宋体" w:cs="Times New Roman"/>
                <w:b/>
                <w:bCs w:val="0"/>
                <w:color w:val="auto"/>
                <w:sz w:val="21"/>
                <w:szCs w:val="21"/>
                <w:highlight w:val="none"/>
                <w:lang w:eastAsia="zh-CN"/>
              </w:rPr>
              <w:t>，</w:t>
            </w:r>
            <w:r>
              <w:rPr>
                <w:rFonts w:hint="eastAsia" w:ascii="Times New Roman" w:hAnsi="Times New Roman" w:eastAsia="宋体" w:cs="Times New Roman"/>
                <w:b/>
                <w:bCs w:val="0"/>
                <w:color w:val="auto"/>
                <w:sz w:val="21"/>
                <w:szCs w:val="21"/>
                <w:highlight w:val="none"/>
                <w:lang w:val="en-US" w:eastAsia="zh-CN"/>
              </w:rPr>
              <w:t>故本次评价活性炭更换周期以三个月一次计。</w:t>
            </w:r>
          </w:p>
          <w:p w14:paraId="0C175AD6">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活性炭吸附装置应符合《吸附法工业有机废气治理工程技术规范》(HJ2026-2013)等规范中安全管理的要求：</w:t>
            </w:r>
          </w:p>
          <w:p w14:paraId="6538051B">
            <w:pPr>
              <w:pStyle w:val="1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cs="Times New Roman"/>
                <w:b/>
                <w:bCs/>
                <w:color w:val="auto"/>
                <w:kern w:val="2"/>
                <w:sz w:val="21"/>
                <w:szCs w:val="21"/>
                <w:highlight w:val="none"/>
                <w:lang w:val="en-US" w:eastAsia="zh-CN" w:bidi="ar-SA"/>
              </w:rPr>
              <w:t>9</w:t>
            </w:r>
            <w:r>
              <w:rPr>
                <w:rFonts w:hint="default" w:ascii="Times New Roman" w:hAnsi="Times New Roman" w:eastAsia="宋体" w:cs="Times New Roman"/>
                <w:b/>
                <w:bCs/>
                <w:color w:val="auto"/>
                <w:kern w:val="2"/>
                <w:sz w:val="21"/>
                <w:szCs w:val="21"/>
                <w:highlight w:val="none"/>
                <w:lang w:val="en-US" w:eastAsia="zh-CN" w:bidi="ar-SA"/>
              </w:rPr>
              <w:t xml:space="preserve">  《吸附法工业有机废气治理工程技术规范》对照分析</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4678"/>
              <w:gridCol w:w="3196"/>
            </w:tblGrid>
            <w:tr w14:paraId="72B4C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7" w:type="pct"/>
                  <w:gridSpan w:val="2"/>
                  <w:noWrap w:val="0"/>
                  <w:vAlign w:val="center"/>
                </w:tcPr>
                <w:p w14:paraId="33C6AA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文件要求</w:t>
                  </w:r>
                </w:p>
              </w:tc>
              <w:tc>
                <w:tcPr>
                  <w:tcW w:w="1773" w:type="pct"/>
                  <w:noWrap w:val="0"/>
                  <w:vAlign w:val="center"/>
                </w:tcPr>
                <w:p w14:paraId="7DE0FA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对照分析</w:t>
                  </w:r>
                </w:p>
              </w:tc>
            </w:tr>
            <w:tr w14:paraId="308B6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632" w:type="pct"/>
                  <w:vMerge w:val="restart"/>
                  <w:noWrap w:val="0"/>
                  <w:vAlign w:val="center"/>
                </w:tcPr>
                <w:p w14:paraId="36E8BA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一般规定</w:t>
                  </w:r>
                </w:p>
              </w:tc>
              <w:tc>
                <w:tcPr>
                  <w:tcW w:w="2595" w:type="pct"/>
                  <w:noWrap w:val="0"/>
                  <w:vAlign w:val="center"/>
                </w:tcPr>
                <w:p w14:paraId="0FA0F0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治理工程建设应按国家相关的基本建设程序或技术改造审批程序进行，总体设计应满足《建设项目环境保护设计规定》和《建设项目环境保护管理条例》的规定。</w:t>
                  </w:r>
                </w:p>
              </w:tc>
              <w:tc>
                <w:tcPr>
                  <w:tcW w:w="1773" w:type="pct"/>
                  <w:noWrap w:val="0"/>
                  <w:vAlign w:val="center"/>
                </w:tcPr>
                <w:p w14:paraId="48E6A1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符合要求</w:t>
                  </w:r>
                </w:p>
              </w:tc>
            </w:tr>
            <w:tr w14:paraId="0755C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632" w:type="pct"/>
                  <w:vMerge w:val="continue"/>
                  <w:noWrap w:val="0"/>
                  <w:vAlign w:val="center"/>
                </w:tcPr>
                <w:p w14:paraId="336695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p>
              </w:tc>
              <w:tc>
                <w:tcPr>
                  <w:tcW w:w="2595" w:type="pct"/>
                  <w:noWrap w:val="0"/>
                  <w:vAlign w:val="center"/>
                </w:tcPr>
                <w:p w14:paraId="1E5CCC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治理工程应遵循综合治理、循环利用、达标排放、总量控制的原则。企业需对照执行。</w:t>
                  </w:r>
                </w:p>
              </w:tc>
              <w:tc>
                <w:tcPr>
                  <w:tcW w:w="1773" w:type="pct"/>
                  <w:noWrap w:val="0"/>
                  <w:vAlign w:val="center"/>
                </w:tcPr>
                <w:p w14:paraId="00A1B2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根据前文描述，本项目设计的</w:t>
                  </w:r>
                </w:p>
                <w:p w14:paraId="7DD8B2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废气处理方案可行</w:t>
                  </w:r>
                </w:p>
              </w:tc>
            </w:tr>
            <w:tr w14:paraId="3D208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632" w:type="pct"/>
                  <w:vMerge w:val="continue"/>
                  <w:noWrap w:val="0"/>
                  <w:vAlign w:val="center"/>
                </w:tcPr>
                <w:p w14:paraId="03DEDA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p>
              </w:tc>
              <w:tc>
                <w:tcPr>
                  <w:tcW w:w="2595" w:type="pct"/>
                  <w:noWrap w:val="0"/>
                  <w:vAlign w:val="center"/>
                </w:tcPr>
                <w:p w14:paraId="1D029A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治理工程应与生产工艺水平相适应。生产企业应把治理设备作为生产系统的一部分进行管理，治理设备应与产生废气的相应生产设备同步运转。</w:t>
                  </w:r>
                </w:p>
              </w:tc>
              <w:tc>
                <w:tcPr>
                  <w:tcW w:w="1773" w:type="pct"/>
                  <w:noWrap w:val="0"/>
                  <w:vAlign w:val="center"/>
                </w:tcPr>
                <w:p w14:paraId="6D3DCA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需对照执行</w:t>
                  </w:r>
                </w:p>
              </w:tc>
            </w:tr>
            <w:tr w14:paraId="66EE6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632" w:type="pct"/>
                  <w:vMerge w:val="continue"/>
                  <w:noWrap w:val="0"/>
                  <w:vAlign w:val="center"/>
                </w:tcPr>
                <w:p w14:paraId="23177B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p>
              </w:tc>
              <w:tc>
                <w:tcPr>
                  <w:tcW w:w="2595" w:type="pct"/>
                  <w:noWrap w:val="0"/>
                  <w:vAlign w:val="center"/>
                </w:tcPr>
                <w:p w14:paraId="2814F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经过治理后的污染物排放应符合国家或地方相关大气污染物排放标准的规定。</w:t>
                  </w:r>
                </w:p>
              </w:tc>
              <w:tc>
                <w:tcPr>
                  <w:tcW w:w="1773" w:type="pct"/>
                  <w:noWrap w:val="0"/>
                  <w:vAlign w:val="center"/>
                </w:tcPr>
                <w:p w14:paraId="53DCB6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项目污染物有组织排放浓度及速率需达到</w:t>
                  </w:r>
                  <w:r>
                    <w:rPr>
                      <w:rFonts w:hint="eastAsia" w:ascii="Times New Roman" w:hAnsi="Times New Roman" w:eastAsia="仿宋" w:cs="Times New Roman"/>
                      <w:color w:val="auto"/>
                      <w:spacing w:val="0"/>
                      <w:kern w:val="2"/>
                      <w:sz w:val="21"/>
                      <w:szCs w:val="21"/>
                      <w:highlight w:val="none"/>
                      <w:lang w:val="en-US" w:eastAsia="zh-CN" w:bidi="ar-SA"/>
                    </w:rPr>
                    <w:t>《工业涂装工序大气污染物排放标准》相关标准</w:t>
                  </w:r>
                </w:p>
              </w:tc>
            </w:tr>
            <w:tr w14:paraId="0B7F5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632" w:type="pct"/>
                  <w:vMerge w:val="continue"/>
                  <w:noWrap w:val="0"/>
                  <w:vAlign w:val="center"/>
                </w:tcPr>
                <w:p w14:paraId="67B7BB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p>
              </w:tc>
              <w:tc>
                <w:tcPr>
                  <w:tcW w:w="2595" w:type="pct"/>
                  <w:noWrap w:val="0"/>
                  <w:vAlign w:val="center"/>
                </w:tcPr>
                <w:p w14:paraId="0E7C5F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治理工程在建设、运行过程中产生的废气、废水、废渣及其它污染物的治理与排放，应执行国家或地方环境保护法规和标准的相关规定，防止二次污染。</w:t>
                  </w:r>
                </w:p>
              </w:tc>
              <w:tc>
                <w:tcPr>
                  <w:tcW w:w="1773" w:type="pct"/>
                  <w:noWrap w:val="0"/>
                  <w:vAlign w:val="center"/>
                </w:tcPr>
                <w:p w14:paraId="503518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废气设施产生的</w:t>
                  </w:r>
                  <w:r>
                    <w:rPr>
                      <w:rFonts w:hint="eastAsia" w:ascii="Times New Roman" w:hAnsi="Times New Roman" w:eastAsia="仿宋" w:cs="Times New Roman"/>
                      <w:color w:val="auto"/>
                      <w:spacing w:val="0"/>
                      <w:kern w:val="2"/>
                      <w:sz w:val="21"/>
                      <w:szCs w:val="21"/>
                      <w:highlight w:val="none"/>
                      <w:lang w:val="en-US" w:eastAsia="zh-CN" w:bidi="ar-SA"/>
                    </w:rPr>
                    <w:t>废活性炭等，</w:t>
                  </w:r>
                  <w:r>
                    <w:rPr>
                      <w:rFonts w:hint="default" w:ascii="Times New Roman" w:hAnsi="Times New Roman" w:eastAsia="仿宋" w:cs="Times New Roman"/>
                      <w:color w:val="auto"/>
                      <w:spacing w:val="0"/>
                      <w:kern w:val="2"/>
                      <w:sz w:val="21"/>
                      <w:szCs w:val="21"/>
                      <w:highlight w:val="none"/>
                      <w:lang w:val="en-US" w:eastAsia="zh-CN" w:bidi="ar-SA"/>
                    </w:rPr>
                    <w:t>暂存于危废仓库，定期委托有资质单位清运处置</w:t>
                  </w:r>
                </w:p>
              </w:tc>
            </w:tr>
            <w:tr w14:paraId="3B65F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632" w:type="pct"/>
                  <w:vMerge w:val="continue"/>
                  <w:noWrap w:val="0"/>
                  <w:vAlign w:val="center"/>
                </w:tcPr>
                <w:p w14:paraId="5A23DF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pacing w:val="0"/>
                      <w:kern w:val="2"/>
                      <w:sz w:val="21"/>
                      <w:szCs w:val="21"/>
                      <w:highlight w:val="none"/>
                      <w:lang w:val="en-US" w:eastAsia="zh-CN" w:bidi="ar-SA"/>
                    </w:rPr>
                  </w:pPr>
                </w:p>
              </w:tc>
              <w:tc>
                <w:tcPr>
                  <w:tcW w:w="2595" w:type="pct"/>
                  <w:noWrap w:val="0"/>
                  <w:vAlign w:val="center"/>
                </w:tcPr>
                <w:p w14:paraId="2803CE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治理工程应按照国家相关法律法规、大气污染物排放标准和地方环境保护部门的要求设置在线连续监测设备。</w:t>
                  </w:r>
                </w:p>
              </w:tc>
              <w:tc>
                <w:tcPr>
                  <w:tcW w:w="1773" w:type="pct"/>
                  <w:noWrap w:val="0"/>
                  <w:vAlign w:val="center"/>
                </w:tcPr>
                <w:p w14:paraId="213513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pacing w:val="0"/>
                      <w:kern w:val="2"/>
                      <w:sz w:val="21"/>
                      <w:szCs w:val="21"/>
                      <w:highlight w:val="none"/>
                      <w:lang w:val="en-US" w:eastAsia="zh-CN" w:bidi="ar-SA"/>
                    </w:rPr>
                  </w:pPr>
                  <w:r>
                    <w:rPr>
                      <w:rFonts w:hint="default" w:ascii="Times New Roman" w:hAnsi="Times New Roman" w:eastAsia="仿宋" w:cs="Times New Roman"/>
                      <w:color w:val="auto"/>
                      <w:spacing w:val="0"/>
                      <w:kern w:val="2"/>
                      <w:sz w:val="21"/>
                      <w:szCs w:val="21"/>
                      <w:highlight w:val="none"/>
                      <w:lang w:val="en-US" w:eastAsia="zh-CN" w:bidi="ar-SA"/>
                    </w:rPr>
                    <w:t>企业需对照大气污染物排放标准和地方环境保护部门的要求执行</w:t>
                  </w:r>
                </w:p>
              </w:tc>
            </w:tr>
          </w:tbl>
          <w:p w14:paraId="3920ED4E">
            <w:pPr>
              <w:keepNext w:val="0"/>
              <w:keepLines w:val="0"/>
              <w:suppressLineNumbers w:val="0"/>
              <w:spacing w:before="0" w:beforeAutospacing="0" w:after="0" w:afterAutospacing="0" w:line="360" w:lineRule="auto"/>
              <w:ind w:left="0" w:right="0" w:firstLine="422" w:firstLineChars="200"/>
              <w:rPr>
                <w:rFonts w:hint="default"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C</w:t>
            </w:r>
            <w:r>
              <w:rPr>
                <w:rFonts w:hint="default" w:ascii="Times New Roman" w:hAnsi="Times New Roman" w:cs="Times New Roman"/>
                <w:b/>
                <w:bCs/>
                <w:color w:val="auto"/>
                <w:sz w:val="21"/>
                <w:szCs w:val="21"/>
                <w:lang w:val="en-US" w:eastAsia="zh-CN"/>
              </w:rPr>
              <w:t>、</w:t>
            </w:r>
            <w:r>
              <w:rPr>
                <w:rFonts w:hint="default" w:cs="Times New Roman"/>
                <w:b/>
                <w:bCs/>
                <w:color w:val="auto"/>
                <w:sz w:val="21"/>
                <w:szCs w:val="21"/>
                <w:lang w:val="en-US" w:eastAsia="zh-CN"/>
              </w:rPr>
              <w:t>恶臭污染物环境影响分析</w:t>
            </w:r>
          </w:p>
          <w:p w14:paraId="3598B17C">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根据《恶臭污染物排放标准》（GB14554-93）定义，恶臭气体是</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指一切刺激嗅觉引起人们不愉快及损害生活环境的气体物质</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，恶臭物质的质量浓度，用化学分析法测度，以毫克/升表示；而臭气浓度则以稀释倍数法测度，为嗅阈值，无量纲。因此可用臭气浓度指标来衡量项目生产过程中排放的恶臭污染程度。</w:t>
            </w:r>
          </w:p>
          <w:p w14:paraId="79361385">
            <w:pPr>
              <w:keepNext w:val="0"/>
              <w:keepLines w:val="0"/>
              <w:suppressLineNumbers w:val="0"/>
              <w:spacing w:before="0" w:beforeAutospacing="0" w:after="0" w:afterAutospacing="0" w:line="360" w:lineRule="auto"/>
              <w:ind w:left="0" w:right="0" w:firstLine="422" w:firstLineChars="200"/>
              <w:rPr>
                <w:rFonts w:hint="default"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&lt;1&gt;</w:t>
            </w:r>
            <w:r>
              <w:rPr>
                <w:rFonts w:hint="default" w:ascii="Times New Roman" w:hAnsi="Times New Roman" w:eastAsia="宋体" w:cs="Times New Roman"/>
                <w:b/>
                <w:bCs/>
                <w:color w:val="auto"/>
                <w:kern w:val="2"/>
                <w:sz w:val="21"/>
                <w:szCs w:val="24"/>
                <w:lang w:val="en-US" w:eastAsia="zh-CN" w:bidi="ar-SA"/>
              </w:rPr>
              <w:t>恶臭的成因及危害</w:t>
            </w:r>
          </w:p>
          <w:p w14:paraId="0713BC1B">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《中华人民共和国大气污染防治法》有关条例已对防治恶臭污染作了规定。</w:t>
            </w:r>
          </w:p>
          <w:p w14:paraId="7CDF1186">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①恶臭来源</w:t>
            </w:r>
          </w:p>
          <w:p w14:paraId="78B0AB92">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迄今凭人的嗅觉即能感觉到的恶臭物质有4000多种，其中对健康危害较大的有硫醇类、氨、硫化氢、甲基硫、三甲胺、甲醛、苯乙烯、铬酸、酚类等几十种。有些恶臭物质随着废水、废渣排入水体，不仅使水发生异臭异味，而且使鱼类等水生生物发生恶臭。恶臭物质分布广，影响范围大，已经成为公害，在一些地方的环保投诉中，恶臭案件仅次于噪声。</w:t>
            </w:r>
          </w:p>
          <w:p w14:paraId="03689EEC">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②发臭机制</w:t>
            </w:r>
          </w:p>
          <w:p w14:paraId="47206747">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恶臭物质发臭和它的分子结构有关，如两个烷基同硫结合时，就会变成二甲基硫(CH</w:t>
            </w:r>
            <w:r>
              <w:rPr>
                <w:rFonts w:hint="default" w:ascii="Times New Roman" w:hAnsi="Times New Roman" w:eastAsia="宋体" w:cs="Times New Roman"/>
                <w:b w:val="0"/>
                <w:bCs w:val="0"/>
                <w:color w:val="auto"/>
                <w:kern w:val="2"/>
                <w:sz w:val="21"/>
                <w:szCs w:val="24"/>
                <w:vertAlign w:val="subscript"/>
                <w:lang w:val="en-US" w:eastAsia="zh-CN" w:bidi="ar-SA"/>
              </w:rPr>
              <w:t>3</w:t>
            </w:r>
            <w:r>
              <w:rPr>
                <w:rFonts w:hint="default"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vertAlign w:val="subscript"/>
                <w:lang w:val="en-US" w:eastAsia="zh-CN" w:bidi="ar-SA"/>
              </w:rPr>
              <w:t>2</w:t>
            </w:r>
            <w:r>
              <w:rPr>
                <w:rFonts w:hint="default" w:ascii="Times New Roman" w:hAnsi="Times New Roman" w:eastAsia="宋体" w:cs="Times New Roman"/>
                <w:b w:val="0"/>
                <w:bCs w:val="0"/>
                <w:color w:val="auto"/>
                <w:kern w:val="2"/>
                <w:sz w:val="21"/>
                <w:szCs w:val="24"/>
                <w:lang w:val="en-US" w:eastAsia="zh-CN" w:bidi="ar-SA"/>
              </w:rPr>
              <w:t>S和甲基乙基硫CH</w:t>
            </w:r>
            <w:r>
              <w:rPr>
                <w:rFonts w:hint="default" w:ascii="Times New Roman" w:hAnsi="Times New Roman" w:eastAsia="宋体" w:cs="Times New Roman"/>
                <w:b w:val="0"/>
                <w:bCs w:val="0"/>
                <w:color w:val="auto"/>
                <w:kern w:val="2"/>
                <w:sz w:val="21"/>
                <w:szCs w:val="24"/>
                <w:vertAlign w:val="subscript"/>
                <w:lang w:val="en-US" w:eastAsia="zh-CN" w:bidi="ar-SA"/>
              </w:rPr>
              <w:t>3</w:t>
            </w:r>
            <w:r>
              <w:rPr>
                <w:rFonts w:hint="default" w:ascii="Times New Roman" w:hAnsi="Times New Roman" w:eastAsia="宋体" w:cs="Times New Roman"/>
                <w:b w:val="0"/>
                <w:bCs w:val="0"/>
                <w:color w:val="auto"/>
                <w:kern w:val="2"/>
                <w:sz w:val="21"/>
                <w:szCs w:val="24"/>
                <w:lang w:val="en-US" w:eastAsia="zh-CN" w:bidi="ar-SA"/>
              </w:rPr>
              <w:t>C</w:t>
            </w:r>
            <w:r>
              <w:rPr>
                <w:rFonts w:hint="default" w:ascii="Times New Roman" w:hAnsi="Times New Roman" w:eastAsia="宋体" w:cs="Times New Roman"/>
                <w:b w:val="0"/>
                <w:bCs w:val="0"/>
                <w:color w:val="auto"/>
                <w:kern w:val="2"/>
                <w:sz w:val="21"/>
                <w:szCs w:val="24"/>
                <w:vertAlign w:val="subscript"/>
                <w:lang w:val="en-US" w:eastAsia="zh-CN" w:bidi="ar-SA"/>
              </w:rPr>
              <w:t>2</w:t>
            </w:r>
            <w:r>
              <w:rPr>
                <w:rFonts w:hint="default" w:ascii="Times New Roman" w:hAnsi="Times New Roman" w:eastAsia="宋体" w:cs="Times New Roman"/>
                <w:b w:val="0"/>
                <w:bCs w:val="0"/>
                <w:color w:val="auto"/>
                <w:kern w:val="2"/>
                <w:sz w:val="21"/>
                <w:szCs w:val="24"/>
                <w:lang w:val="en-US" w:eastAsia="zh-CN" w:bidi="ar-SA"/>
              </w:rPr>
              <w:t>H</w:t>
            </w:r>
            <w:r>
              <w:rPr>
                <w:rFonts w:hint="default" w:ascii="Times New Roman" w:hAnsi="Times New Roman" w:eastAsia="宋体" w:cs="Times New Roman"/>
                <w:b w:val="0"/>
                <w:bCs w:val="0"/>
                <w:color w:val="auto"/>
                <w:kern w:val="2"/>
                <w:sz w:val="21"/>
                <w:szCs w:val="24"/>
                <w:vertAlign w:val="subscript"/>
                <w:lang w:val="en-US" w:eastAsia="zh-CN" w:bidi="ar-SA"/>
              </w:rPr>
              <w:t>5</w:t>
            </w:r>
            <w:r>
              <w:rPr>
                <w:rFonts w:hint="default" w:ascii="Times New Roman" w:hAnsi="Times New Roman" w:eastAsia="宋体" w:cs="Times New Roman"/>
                <w:b w:val="0"/>
                <w:bCs w:val="0"/>
                <w:color w:val="auto"/>
                <w:kern w:val="2"/>
                <w:sz w:val="21"/>
                <w:szCs w:val="24"/>
                <w:lang w:val="en-US" w:eastAsia="zh-CN" w:bidi="ar-SA"/>
              </w:rPr>
              <w:t>S等带有异臭的硫醚。若再改变某些化合物分子结构中S的位</w:t>
            </w:r>
            <w:r>
              <w:rPr>
                <w:rFonts w:hint="eastAsia" w:cs="Times New Roman"/>
                <w:b w:val="0"/>
                <w:bCs w:val="0"/>
                <w:color w:val="auto"/>
                <w:kern w:val="2"/>
                <w:sz w:val="21"/>
                <w:szCs w:val="24"/>
                <w:lang w:val="en-US" w:eastAsia="zh-CN" w:bidi="ar-SA"/>
              </w:rPr>
              <w:t>置</w:t>
            </w:r>
            <w:r>
              <w:rPr>
                <w:rFonts w:hint="default" w:ascii="Times New Roman" w:hAnsi="Times New Roman" w:eastAsia="宋体" w:cs="Times New Roman"/>
                <w:b w:val="0"/>
                <w:bCs w:val="0"/>
                <w:color w:val="auto"/>
                <w:kern w:val="2"/>
                <w:sz w:val="21"/>
                <w:szCs w:val="24"/>
                <w:lang w:val="en-US" w:eastAsia="zh-CN" w:bidi="ar-SA"/>
              </w:rPr>
              <w:t>，其臭味的性质也会改变。例如，将有烂洋葱臭味的乙基硫氰化物C</w:t>
            </w:r>
            <w:r>
              <w:rPr>
                <w:rFonts w:hint="default" w:ascii="Times New Roman" w:hAnsi="Times New Roman" w:eastAsia="宋体" w:cs="Times New Roman"/>
                <w:b w:val="0"/>
                <w:bCs w:val="0"/>
                <w:color w:val="auto"/>
                <w:kern w:val="2"/>
                <w:sz w:val="21"/>
                <w:szCs w:val="24"/>
                <w:vertAlign w:val="subscript"/>
                <w:lang w:val="en-US" w:eastAsia="zh-CN" w:bidi="ar-SA"/>
              </w:rPr>
              <w:t>2</w:t>
            </w:r>
            <w:r>
              <w:rPr>
                <w:rFonts w:hint="default" w:ascii="Times New Roman" w:hAnsi="Times New Roman" w:eastAsia="宋体" w:cs="Times New Roman"/>
                <w:b w:val="0"/>
                <w:bCs w:val="0"/>
                <w:color w:val="auto"/>
                <w:kern w:val="2"/>
                <w:sz w:val="21"/>
                <w:szCs w:val="24"/>
                <w:lang w:val="en-US" w:eastAsia="zh-CN" w:bidi="ar-SA"/>
              </w:rPr>
              <w:t>H</w:t>
            </w:r>
            <w:r>
              <w:rPr>
                <w:rFonts w:hint="default" w:ascii="Times New Roman" w:hAnsi="Times New Roman" w:eastAsia="宋体" w:cs="Times New Roman"/>
                <w:b w:val="0"/>
                <w:bCs w:val="0"/>
                <w:color w:val="auto"/>
                <w:kern w:val="2"/>
                <w:sz w:val="21"/>
                <w:szCs w:val="24"/>
                <w:vertAlign w:val="subscript"/>
                <w:lang w:val="en-US" w:eastAsia="zh-CN" w:bidi="ar-SA"/>
              </w:rPr>
              <w:t>5</w:t>
            </w:r>
            <w:r>
              <w:rPr>
                <w:rFonts w:hint="default" w:ascii="Times New Roman" w:hAnsi="Times New Roman" w:eastAsia="宋体" w:cs="Times New Roman"/>
                <w:b w:val="0"/>
                <w:bCs w:val="0"/>
                <w:color w:val="auto"/>
                <w:kern w:val="2"/>
                <w:sz w:val="21"/>
                <w:szCs w:val="24"/>
                <w:lang w:val="en-US" w:eastAsia="zh-CN" w:bidi="ar-SA"/>
              </w:rPr>
              <w:t>SCN中S与N的位置对调，就会变成芥末臭味的硫代异氰酸酯C</w:t>
            </w:r>
            <w:r>
              <w:rPr>
                <w:rFonts w:hint="default" w:ascii="Times New Roman" w:hAnsi="Times New Roman" w:eastAsia="宋体" w:cs="Times New Roman"/>
                <w:b w:val="0"/>
                <w:bCs w:val="0"/>
                <w:color w:val="auto"/>
                <w:kern w:val="2"/>
                <w:sz w:val="21"/>
                <w:szCs w:val="24"/>
                <w:vertAlign w:val="subscript"/>
                <w:lang w:val="en-US" w:eastAsia="zh-CN" w:bidi="ar-SA"/>
              </w:rPr>
              <w:t>2</w:t>
            </w:r>
            <w:r>
              <w:rPr>
                <w:rFonts w:hint="default" w:ascii="Times New Roman" w:hAnsi="Times New Roman" w:eastAsia="宋体" w:cs="Times New Roman"/>
                <w:b w:val="0"/>
                <w:bCs w:val="0"/>
                <w:color w:val="auto"/>
                <w:kern w:val="2"/>
                <w:sz w:val="21"/>
                <w:szCs w:val="24"/>
                <w:lang w:val="en-US" w:eastAsia="zh-CN" w:bidi="ar-SA"/>
              </w:rPr>
              <w:t>H</w:t>
            </w:r>
            <w:r>
              <w:rPr>
                <w:rFonts w:hint="default" w:ascii="Times New Roman" w:hAnsi="Times New Roman" w:eastAsia="宋体" w:cs="Times New Roman"/>
                <w:b w:val="0"/>
                <w:bCs w:val="0"/>
                <w:color w:val="auto"/>
                <w:kern w:val="2"/>
                <w:sz w:val="21"/>
                <w:szCs w:val="24"/>
                <w:vertAlign w:val="subscript"/>
                <w:lang w:val="en-US" w:eastAsia="zh-CN" w:bidi="ar-SA"/>
              </w:rPr>
              <w:t>5</w:t>
            </w:r>
            <w:r>
              <w:rPr>
                <w:rFonts w:hint="default" w:ascii="Times New Roman" w:hAnsi="Times New Roman" w:eastAsia="宋体" w:cs="Times New Roman"/>
                <w:b w:val="0"/>
                <w:bCs w:val="0"/>
                <w:color w:val="auto"/>
                <w:kern w:val="2"/>
                <w:sz w:val="21"/>
                <w:szCs w:val="24"/>
                <w:lang w:val="en-US" w:eastAsia="zh-CN" w:bidi="ar-SA"/>
              </w:rPr>
              <w:t>NCS。各种化合物分子结构中的硫（=S）、巯基（-SH）和硫氰基（-SCN），是形成恶臭的原子团，通称为</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发臭团</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。另有一些有机物如苯酚、甲醛、丙酮和酪酸等，其分子结构虽不含硫，但含有羟基、醛基、羰基和羧基，也散发各种臭味，起</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发臭团</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的作用。</w:t>
            </w:r>
          </w:p>
          <w:p w14:paraId="2B1019B0">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③嗅觉机制</w:t>
            </w:r>
          </w:p>
          <w:p w14:paraId="13CF25D9">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恶臭通过人体的嗅觉器官发生作用。人的鼻腔上部有嗅上皮，它由嗅觉细胞（感觉细胞）、支持细胞和基底细胞形成的嗅</w:t>
            </w:r>
            <w:r>
              <w:rPr>
                <w:rFonts w:hint="eastAsia" w:cs="Times New Roman"/>
                <w:b w:val="0"/>
                <w:bCs w:val="0"/>
                <w:color w:val="auto"/>
                <w:kern w:val="2"/>
                <w:sz w:val="21"/>
                <w:szCs w:val="24"/>
                <w:lang w:val="en-US" w:eastAsia="zh-CN" w:bidi="ar-SA"/>
              </w:rPr>
              <w:t>黏膜</w:t>
            </w:r>
            <w:r>
              <w:rPr>
                <w:rFonts w:hint="default" w:ascii="Times New Roman" w:hAnsi="Times New Roman" w:eastAsia="宋体" w:cs="Times New Roman"/>
                <w:b w:val="0"/>
                <w:bCs w:val="0"/>
                <w:color w:val="auto"/>
                <w:kern w:val="2"/>
                <w:sz w:val="21"/>
                <w:szCs w:val="24"/>
                <w:lang w:val="en-US" w:eastAsia="zh-CN" w:bidi="ar-SA"/>
              </w:rPr>
              <w:t>以及嗅</w:t>
            </w:r>
            <w:r>
              <w:rPr>
                <w:rFonts w:hint="eastAsia" w:cs="Times New Roman"/>
                <w:b w:val="0"/>
                <w:bCs w:val="0"/>
                <w:color w:val="auto"/>
                <w:kern w:val="2"/>
                <w:sz w:val="21"/>
                <w:szCs w:val="24"/>
                <w:lang w:val="en-US" w:eastAsia="zh-CN" w:bidi="ar-SA"/>
              </w:rPr>
              <w:t>黏液</w:t>
            </w:r>
            <w:r>
              <w:rPr>
                <w:rFonts w:hint="default" w:ascii="Times New Roman" w:hAnsi="Times New Roman" w:eastAsia="宋体" w:cs="Times New Roman"/>
                <w:b w:val="0"/>
                <w:bCs w:val="0"/>
                <w:color w:val="auto"/>
                <w:kern w:val="2"/>
                <w:sz w:val="21"/>
                <w:szCs w:val="24"/>
                <w:lang w:val="en-US" w:eastAsia="zh-CN" w:bidi="ar-SA"/>
              </w:rPr>
              <w:t>表面所构成。在嗅觉细胞末端有嗅小胞，并伸出嗅纤毛到嗅</w:t>
            </w:r>
            <w:r>
              <w:rPr>
                <w:rFonts w:hint="eastAsia" w:cs="Times New Roman"/>
                <w:b w:val="0"/>
                <w:bCs w:val="0"/>
                <w:color w:val="auto"/>
                <w:kern w:val="2"/>
                <w:sz w:val="21"/>
                <w:szCs w:val="24"/>
                <w:lang w:val="en-US" w:eastAsia="zh-CN" w:bidi="ar-SA"/>
              </w:rPr>
              <w:t>黏液</w:t>
            </w:r>
            <w:r>
              <w:rPr>
                <w:rFonts w:hint="default" w:ascii="Times New Roman" w:hAnsi="Times New Roman" w:eastAsia="宋体" w:cs="Times New Roman"/>
                <w:b w:val="0"/>
                <w:bCs w:val="0"/>
                <w:color w:val="auto"/>
                <w:kern w:val="2"/>
                <w:sz w:val="21"/>
                <w:szCs w:val="24"/>
                <w:lang w:val="en-US" w:eastAsia="zh-CN" w:bidi="ar-SA"/>
              </w:rPr>
              <w:t>表面下</w:t>
            </w:r>
            <w:r>
              <w:rPr>
                <w:rFonts w:hint="eastAsia" w:cs="Times New Roman"/>
                <w:b w:val="0"/>
                <w:bCs w:val="0"/>
                <w:color w:val="auto"/>
                <w:kern w:val="2"/>
                <w:sz w:val="21"/>
                <w:szCs w:val="24"/>
                <w:lang w:val="en-US" w:eastAsia="zh-CN" w:bidi="ar-SA"/>
              </w:rPr>
              <w:t>的黏液</w:t>
            </w:r>
            <w:r>
              <w:rPr>
                <w:rFonts w:hint="default" w:ascii="Times New Roman" w:hAnsi="Times New Roman" w:eastAsia="宋体" w:cs="Times New Roman"/>
                <w:b w:val="0"/>
                <w:bCs w:val="0"/>
                <w:color w:val="auto"/>
                <w:kern w:val="2"/>
                <w:sz w:val="21"/>
                <w:szCs w:val="24"/>
                <w:lang w:val="en-US" w:eastAsia="zh-CN" w:bidi="ar-SA"/>
              </w:rPr>
              <w:t>中。从嗅觉细胞伸出嗅神经进入嗅球，经两条通路传入大脑的嗅觉中枢。</w:t>
            </w:r>
          </w:p>
          <w:p w14:paraId="7BCBB78F">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④危害</w:t>
            </w:r>
          </w:p>
          <w:p w14:paraId="45F5DE0F">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主要有六个方面：</w:t>
            </w:r>
          </w:p>
          <w:p w14:paraId="54095AEC">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a.危害呼吸系统。人们突然闻到恶臭，就会产生反射性的抑制吸气，使呼吸次数减少，深度变浅，甚至会暂时停止吸气，即所谓</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闭气</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，妨碍正常呼吸功能。</w:t>
            </w:r>
          </w:p>
          <w:p w14:paraId="261456BD">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b.危害循环系统。随着呼吸的变化，会出现脉搏和血压的变化。如氨等刺激性臭气会使血压出现先下降后上升，脉搏先减慢后加快的现象。</w:t>
            </w:r>
          </w:p>
          <w:p w14:paraId="1C33BCC8">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c.危害消化系统。经常接触恶臭，会使人厌食、恶心，甚至呕吐，进而发展为消化功能减退。</w:t>
            </w:r>
          </w:p>
          <w:p w14:paraId="4D3A03AD">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d.危害内分泌系统。经常受恶臭刺激，会使内分泌系统的分泌功能紊乱，影响机体的代谢活动。</w:t>
            </w:r>
          </w:p>
          <w:p w14:paraId="4B681407">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e.危害神经系统。长期受到一种或几种低浓度恶臭物质的刺激，会引起嗅觉脱失、嗅觉疲劳等障碍。</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久闻而不知其臭</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，使嗅觉丧失了第一道防御功能，但脑神经仍不断受到刺激和损伤，最后导致大脑皮层兴奋和抑制的调节功能失调。</w:t>
            </w:r>
          </w:p>
          <w:p w14:paraId="70D708AD">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f.对精神的影响。恶臭使人精神烦躁不安，思想不集中，工作效率减低，判断力和记忆力下降，影响大脑的思考活动。</w:t>
            </w:r>
          </w:p>
          <w:p w14:paraId="24A03358">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高浓度恶臭物质的突然袭击，有时会把人当场熏倒，造成事故。例如在日本川崎市，1961年8～9月就曾连续发生三次恶臭公害事件，都是由一间工厂夜间排放一种含硫醇的废油引起的。恶臭扩散到距排放源20多公里的地方，近处有人当场被熏倒，远处有人在熟睡中被熏醒。还有人恶心、呕吐、眼睛疼痛等。</w:t>
            </w:r>
          </w:p>
          <w:p w14:paraId="05B95507">
            <w:pPr>
              <w:keepNext w:val="0"/>
              <w:keepLines w:val="0"/>
              <w:suppressLineNumbers w:val="0"/>
              <w:spacing w:before="0" w:beforeAutospacing="0" w:after="0" w:afterAutospacing="0" w:line="360" w:lineRule="auto"/>
              <w:ind w:left="0" w:right="0" w:firstLine="422"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&lt;2&gt;恶臭环境影响分析</w:t>
            </w:r>
          </w:p>
          <w:p w14:paraId="3A9E7241">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b w:val="0"/>
                <w:bCs w:val="0"/>
                <w:color w:val="auto"/>
                <w:kern w:val="2"/>
                <w:sz w:val="21"/>
                <w:szCs w:val="24"/>
                <w:lang w:val="en-US" w:eastAsia="zh-CN" w:bidi="ar-SA"/>
              </w:rPr>
              <w:t>本评价采用日本的恶臭强度6级分级法对项目臭气影响进行分析。</w:t>
            </w:r>
          </w:p>
          <w:p w14:paraId="51C669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1"/>
                <w:szCs w:val="21"/>
                <w:lang w:val="en-US" w:eastAsia="zh-CN"/>
              </w:rPr>
              <w:t>表4-</w:t>
            </w:r>
            <w:r>
              <w:rPr>
                <w:rFonts w:hint="eastAsia" w:cs="Times New Roman"/>
                <w:b/>
                <w:bCs/>
                <w:color w:val="auto"/>
                <w:sz w:val="21"/>
                <w:szCs w:val="21"/>
                <w:lang w:val="en-US" w:eastAsia="zh-CN"/>
              </w:rPr>
              <w:t>10</w:t>
            </w:r>
            <w:r>
              <w:rPr>
                <w:rFonts w:hint="default" w:ascii="Times New Roman" w:hAnsi="Times New Roman" w:cs="Times New Roman"/>
                <w:b/>
                <w:bCs/>
                <w:color w:val="auto"/>
                <w:sz w:val="21"/>
                <w:szCs w:val="21"/>
                <w:lang w:val="en-US" w:eastAsia="zh-CN"/>
              </w:rPr>
              <w:t xml:space="preserve">  臭气强度分级表</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13"/>
              <w:gridCol w:w="5503"/>
            </w:tblGrid>
            <w:tr w14:paraId="666AF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1948" w:type="pct"/>
                  <w:tcBorders>
                    <w:tl2br w:val="nil"/>
                    <w:tr2bl w:val="nil"/>
                  </w:tcBorders>
                  <w:noWrap w:val="0"/>
                  <w:vAlign w:val="center"/>
                </w:tcPr>
                <w:p w14:paraId="2EFE7F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强度等级</w:t>
                  </w:r>
                </w:p>
              </w:tc>
              <w:tc>
                <w:tcPr>
                  <w:tcW w:w="3051" w:type="pct"/>
                  <w:tcBorders>
                    <w:tl2br w:val="nil"/>
                    <w:tr2bl w:val="nil"/>
                  </w:tcBorders>
                  <w:noWrap w:val="0"/>
                  <w:vAlign w:val="center"/>
                </w:tcPr>
                <w:p w14:paraId="424D74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嗅觉判别标准</w:t>
                  </w:r>
                </w:p>
              </w:tc>
            </w:tr>
            <w:tr w14:paraId="0CCCD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8" w:type="pct"/>
                  <w:tcBorders>
                    <w:tl2br w:val="nil"/>
                    <w:tr2bl w:val="nil"/>
                  </w:tcBorders>
                  <w:noWrap w:val="0"/>
                  <w:vAlign w:val="center"/>
                </w:tcPr>
                <w:p w14:paraId="4D0160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0</w:t>
                  </w:r>
                </w:p>
              </w:tc>
              <w:tc>
                <w:tcPr>
                  <w:tcW w:w="3051" w:type="pct"/>
                  <w:tcBorders>
                    <w:tl2br w:val="nil"/>
                    <w:tr2bl w:val="nil"/>
                  </w:tcBorders>
                  <w:noWrap w:val="0"/>
                  <w:vAlign w:val="center"/>
                </w:tcPr>
                <w:p w14:paraId="593549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无臭</w:t>
                  </w:r>
                </w:p>
              </w:tc>
            </w:tr>
            <w:tr w14:paraId="31992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8" w:type="pct"/>
                  <w:tcBorders>
                    <w:tl2br w:val="nil"/>
                    <w:tr2bl w:val="nil"/>
                  </w:tcBorders>
                  <w:noWrap w:val="0"/>
                  <w:vAlign w:val="center"/>
                </w:tcPr>
                <w:p w14:paraId="4AEFB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1</w:t>
                  </w:r>
                </w:p>
              </w:tc>
              <w:tc>
                <w:tcPr>
                  <w:tcW w:w="3051" w:type="pct"/>
                  <w:tcBorders>
                    <w:tl2br w:val="nil"/>
                    <w:tr2bl w:val="nil"/>
                  </w:tcBorders>
                  <w:noWrap w:val="0"/>
                  <w:vAlign w:val="center"/>
                </w:tcPr>
                <w:p w14:paraId="49D256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勉强可以感到轻微臭味</w:t>
                  </w:r>
                </w:p>
              </w:tc>
            </w:tr>
            <w:tr w14:paraId="42271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8" w:type="pct"/>
                  <w:tcBorders>
                    <w:tl2br w:val="nil"/>
                    <w:tr2bl w:val="nil"/>
                  </w:tcBorders>
                  <w:noWrap w:val="0"/>
                  <w:vAlign w:val="center"/>
                </w:tcPr>
                <w:p w14:paraId="4ED25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2</w:t>
                  </w:r>
                </w:p>
              </w:tc>
              <w:tc>
                <w:tcPr>
                  <w:tcW w:w="3051" w:type="pct"/>
                  <w:tcBorders>
                    <w:tl2br w:val="nil"/>
                    <w:tr2bl w:val="nil"/>
                  </w:tcBorders>
                  <w:noWrap w:val="0"/>
                  <w:vAlign w:val="center"/>
                </w:tcPr>
                <w:p w14:paraId="08C6F6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容易感到轻微臭味</w:t>
                  </w:r>
                </w:p>
              </w:tc>
            </w:tr>
            <w:tr w14:paraId="132C5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8" w:type="pct"/>
                  <w:tcBorders>
                    <w:tl2br w:val="nil"/>
                    <w:tr2bl w:val="nil"/>
                  </w:tcBorders>
                  <w:noWrap w:val="0"/>
                  <w:vAlign w:val="center"/>
                </w:tcPr>
                <w:p w14:paraId="014607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3</w:t>
                  </w:r>
                </w:p>
              </w:tc>
              <w:tc>
                <w:tcPr>
                  <w:tcW w:w="3051" w:type="pct"/>
                  <w:tcBorders>
                    <w:tl2br w:val="nil"/>
                    <w:tr2bl w:val="nil"/>
                  </w:tcBorders>
                  <w:noWrap w:val="0"/>
                  <w:vAlign w:val="center"/>
                </w:tcPr>
                <w:p w14:paraId="2581E1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明显感到臭味</w:t>
                  </w:r>
                </w:p>
              </w:tc>
            </w:tr>
            <w:tr w14:paraId="512E8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8" w:type="pct"/>
                  <w:tcBorders>
                    <w:tl2br w:val="nil"/>
                    <w:tr2bl w:val="nil"/>
                  </w:tcBorders>
                  <w:noWrap w:val="0"/>
                  <w:vAlign w:val="center"/>
                </w:tcPr>
                <w:p w14:paraId="4C4C1E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4</w:t>
                  </w:r>
                </w:p>
              </w:tc>
              <w:tc>
                <w:tcPr>
                  <w:tcW w:w="3051" w:type="pct"/>
                  <w:tcBorders>
                    <w:tl2br w:val="nil"/>
                    <w:tr2bl w:val="nil"/>
                  </w:tcBorders>
                  <w:noWrap w:val="0"/>
                  <w:vAlign w:val="center"/>
                </w:tcPr>
                <w:p w14:paraId="1F8F8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强烈臭味</w:t>
                  </w:r>
                </w:p>
              </w:tc>
            </w:tr>
            <w:tr w14:paraId="3BB66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8" w:type="pct"/>
                  <w:tcBorders>
                    <w:tl2br w:val="nil"/>
                    <w:tr2bl w:val="nil"/>
                  </w:tcBorders>
                  <w:noWrap w:val="0"/>
                  <w:vAlign w:val="center"/>
                </w:tcPr>
                <w:p w14:paraId="2E0C9D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5</w:t>
                  </w:r>
                </w:p>
              </w:tc>
              <w:tc>
                <w:tcPr>
                  <w:tcW w:w="3051" w:type="pct"/>
                  <w:tcBorders>
                    <w:tl2br w:val="nil"/>
                    <w:tr2bl w:val="nil"/>
                  </w:tcBorders>
                  <w:noWrap w:val="0"/>
                  <w:vAlign w:val="center"/>
                </w:tcPr>
                <w:p w14:paraId="6F7345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lang w:val="en-US" w:eastAsia="zh-CN"/>
                    </w:rPr>
                  </w:pPr>
                  <w:r>
                    <w:rPr>
                      <w:rFonts w:hint="default" w:ascii="Times New Roman" w:hAnsi="Times New Roman" w:eastAsia="仿宋" w:cs="Times New Roman"/>
                      <w:b w:val="0"/>
                      <w:bCs w:val="0"/>
                      <w:color w:val="auto"/>
                      <w:lang w:val="en-US" w:eastAsia="zh-CN"/>
                    </w:rPr>
                    <w:t>无法忍受的强烈臭味</w:t>
                  </w:r>
                </w:p>
              </w:tc>
            </w:tr>
          </w:tbl>
          <w:p w14:paraId="7318D77A">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为了减少恶臭对周围环境的影响，建设项目采取如下措施：</w:t>
            </w:r>
          </w:p>
          <w:p w14:paraId="1CE3A1F4">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1、生产过程中保持车间、生产工段密闭，增加废气捕集率；</w:t>
            </w:r>
          </w:p>
          <w:p w14:paraId="0FE3CB89">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2、加强周边加强绿化，种植可吸收臭味的植物。</w:t>
            </w:r>
          </w:p>
          <w:p w14:paraId="7699BB3A">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该项目在采取以上措施后，臭气强度等级可降至0-1级，对周围环境的影响将大大降低。</w:t>
            </w:r>
          </w:p>
          <w:p w14:paraId="3B11F1C4">
            <w:pPr>
              <w:pStyle w:val="25"/>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cs="Times New Roman"/>
                <w:b/>
                <w:bCs/>
                <w:color w:val="auto"/>
                <w:lang w:val="en-US" w:eastAsia="zh-CN"/>
              </w:rPr>
              <w:t>D、</w:t>
            </w:r>
            <w:r>
              <w:rPr>
                <w:rFonts w:hint="eastAsia" w:ascii="Times New Roman" w:hAnsi="Times New Roman" w:eastAsia="宋体" w:cs="Times New Roman"/>
                <w:b/>
                <w:bCs/>
                <w:color w:val="auto"/>
                <w:kern w:val="2"/>
                <w:sz w:val="21"/>
                <w:szCs w:val="24"/>
                <w:lang w:val="en-US" w:eastAsia="zh-CN" w:bidi="ar-SA"/>
              </w:rPr>
              <w:t>废气排放控制要求：</w:t>
            </w:r>
          </w:p>
          <w:p w14:paraId="21F985EF">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（1）VOCs质量占比大于等于10%的含VOCs产品，其使用过程应采用密闭设备或在密闭空间内操作，废气应排至VOCs废气收集处理系统；无法密闭的，应采取局部气体收集措施，废气应排至VOCs废气收集处理系统。</w:t>
            </w:r>
          </w:p>
          <w:p w14:paraId="735A3EF6">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（2）本项目应建立台账，记录含VOCs原辅材料和含VOCs产品的名称、使用量、回收量、废弃量、去向以及VOCs含量等信息。台账保存期限大于三年。</w:t>
            </w:r>
          </w:p>
          <w:p w14:paraId="0D80C4C4">
            <w:pPr>
              <w:pStyle w:val="25"/>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（3）工艺过程产生含VOCs废料（渣、液）应按照</w:t>
            </w:r>
            <w:r>
              <w:rPr>
                <w:rFonts w:hint="default" w:ascii="Times New Roman" w:hAnsi="Times New Roman" w:eastAsia="宋体" w:cs="Times New Roman"/>
                <w:color w:val="auto"/>
                <w:sz w:val="21"/>
                <w:szCs w:val="21"/>
                <w:highlight w:val="none"/>
              </w:rPr>
              <w:t>《挥发性有机物无组织排放控制标准》（GB37822-2019）</w:t>
            </w:r>
            <w:r>
              <w:rPr>
                <w:rFonts w:hint="eastAsia" w:ascii="Times New Roman" w:hAnsi="Times New Roman" w:eastAsia="宋体" w:cs="Times New Roman"/>
                <w:b w:val="0"/>
                <w:bCs w:val="0"/>
                <w:color w:val="auto"/>
                <w:kern w:val="2"/>
                <w:sz w:val="21"/>
                <w:szCs w:val="24"/>
                <w:lang w:val="en-US" w:eastAsia="zh-CN" w:bidi="ar-SA"/>
              </w:rPr>
              <w:t>第5章、第6章要求进行储存、转移和输送。盛装过VOCs物料废包装容器应加盖密闭。</w:t>
            </w:r>
          </w:p>
          <w:p w14:paraId="35572349">
            <w:pPr>
              <w:pStyle w:val="25"/>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4）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p w14:paraId="556744F5">
            <w:pPr>
              <w:pStyle w:val="25"/>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（5）本项目通风生产设备、操作工位、车间厂房等应在符合安全生产、职业卫生相关规定的前提下，根据行业作业规程与标准、工业建筑及洁净厂房通风设计规范等的要求，采用合理的通风量。</w:t>
            </w:r>
          </w:p>
          <w:p w14:paraId="0EB674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（4）卫生防护距离</w:t>
            </w:r>
          </w:p>
          <w:p w14:paraId="40A7DA77">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ascii="Times New Roman" w:hAnsi="Times New Roman" w:cs="Times New Roman"/>
                <w:color w:val="auto"/>
              </w:rPr>
            </w:pPr>
            <w:r>
              <w:rPr>
                <w:rFonts w:hint="default" w:ascii="Times New Roman" w:hAnsi="Times New Roman" w:cs="Times New Roman"/>
                <w:b/>
                <w:bCs/>
                <w:color w:val="auto"/>
              </w:rPr>
              <w:t>①计算公式</w:t>
            </w:r>
          </w:p>
          <w:p w14:paraId="51F30667">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auto"/>
              </w:rPr>
            </w:pPr>
            <w:r>
              <w:rPr>
                <w:rFonts w:hint="default" w:ascii="Times New Roman" w:hAnsi="Times New Roman" w:cs="Times New Roman"/>
                <w:color w:val="auto"/>
              </w:rPr>
              <w:t>根据《大气有害物质无组织排放卫生防护距离推导技术导则》（GB/T 39499</w:t>
            </w:r>
            <w:r>
              <w:rPr>
                <w:rFonts w:hint="eastAsia" w:cs="Times New Roman"/>
                <w:color w:val="auto"/>
                <w:lang w:val="en-US" w:eastAsia="zh-CN"/>
              </w:rPr>
              <w:t>-</w:t>
            </w:r>
            <w:r>
              <w:rPr>
                <w:rFonts w:hint="default" w:ascii="Times New Roman" w:hAnsi="Times New Roman" w:cs="Times New Roman"/>
                <w:color w:val="auto"/>
              </w:rPr>
              <w:t>2020）规定，无组织排放有害气体的生产单元（生产区、车间、工段）与居民区之间应设置卫生防护距离，计算公式如下：</w:t>
            </w:r>
          </w:p>
          <w:p w14:paraId="5E06282C">
            <w:pPr>
              <w:pStyle w:val="25"/>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position w:val="-30"/>
                <w:lang w:eastAsia="zh-CN"/>
              </w:rPr>
              <w:object>
                <v:shape id="_x0000_i1028" o:spt="75" type="#_x0000_t75" style="height:34pt;width:138pt;" o:ole="t" filled="f" o:preferrelative="t" stroked="f" coordsize="21600,21600">
                  <v:path/>
                  <v:fill on="f" focussize="0,0"/>
                  <v:stroke on="f"/>
                  <v:imagedata r:id="rId23" o:title=""/>
                  <o:lock v:ext="edit" aspectratio="t"/>
                  <w10:wrap type="none"/>
                  <w10:anchorlock/>
                </v:shape>
                <o:OLEObject Type="Embed" ProgID="Equation.KSEE3" ShapeID="_x0000_i1028" DrawAspect="Content" ObjectID="_1468075728" r:id="rId22">
                  <o:LockedField>false</o:LockedField>
                </o:OLEObject>
              </w:object>
            </w:r>
          </w:p>
          <w:p w14:paraId="3C3B7C31">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auto"/>
              </w:rPr>
            </w:pPr>
            <w:r>
              <w:rPr>
                <w:rFonts w:hint="default" w:ascii="Times New Roman" w:hAnsi="Times New Roman" w:cs="Times New Roman"/>
                <w:color w:val="auto"/>
              </w:rPr>
              <w:t>式中：</w:t>
            </w:r>
          </w:p>
          <w:p w14:paraId="3277E204">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Qc为大气有害物质的无组织排放量（</w:t>
            </w:r>
            <w:r>
              <w:rPr>
                <w:rFonts w:hint="default" w:ascii="Times New Roman" w:hAnsi="Times New Roman" w:cs="Times New Roman"/>
                <w:color w:val="auto"/>
              </w:rPr>
              <w:t>kg/h</w:t>
            </w:r>
            <w:r>
              <w:rPr>
                <w:rFonts w:hint="default" w:ascii="Times New Roman" w:hAnsi="Times New Roman" w:cs="Times New Roman"/>
                <w:color w:val="auto"/>
                <w:lang w:val="en-US" w:eastAsia="zh-CN"/>
              </w:rPr>
              <w:t>）；</w:t>
            </w:r>
          </w:p>
          <w:p w14:paraId="7A904F9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m</w:t>
            </w:r>
            <w:r>
              <w:rPr>
                <w:rFonts w:hint="default" w:ascii="Times New Roman" w:hAnsi="Times New Roman" w:cs="Times New Roman"/>
                <w:color w:val="auto"/>
              </w:rPr>
              <w:t>为环境一次浓度标准值（mg/m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14:paraId="2A859A8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auto"/>
              </w:rPr>
            </w:pPr>
            <w:r>
              <w:rPr>
                <w:rFonts w:hint="default" w:ascii="Times New Roman" w:hAnsi="Times New Roman" w:cs="Times New Roman"/>
                <w:color w:val="auto"/>
              </w:rPr>
              <w:t>Q</w:t>
            </w:r>
            <w:r>
              <w:rPr>
                <w:rFonts w:hint="default" w:ascii="Times New Roman" w:hAnsi="Times New Roman" w:cs="Times New Roman"/>
                <w:color w:val="auto"/>
                <w:vertAlign w:val="subscript"/>
              </w:rPr>
              <w:t>c</w:t>
            </w:r>
            <w:r>
              <w:rPr>
                <w:rFonts w:hint="default" w:ascii="Times New Roman" w:hAnsi="Times New Roman" w:cs="Times New Roman"/>
                <w:color w:val="auto"/>
              </w:rPr>
              <w:t>为有害气体无组织排放量可以达到的控制水平（kg/h）；</w:t>
            </w:r>
          </w:p>
          <w:p w14:paraId="19395DD1">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auto"/>
              </w:rPr>
            </w:pPr>
            <w:r>
              <w:rPr>
                <w:rFonts w:hint="default" w:ascii="Times New Roman" w:hAnsi="Times New Roman" w:cs="Times New Roman"/>
                <w:color w:val="auto"/>
                <w:lang w:val="en-US" w:eastAsia="zh-CN"/>
              </w:rPr>
              <w:t>r</w:t>
            </w:r>
            <w:r>
              <w:rPr>
                <w:rFonts w:hint="default" w:ascii="Times New Roman" w:hAnsi="Times New Roman" w:cs="Times New Roman"/>
                <w:color w:val="auto"/>
              </w:rPr>
              <w:t>为有害气体无组织排放源所在生产单元的等效半径（m）；</w:t>
            </w:r>
          </w:p>
          <w:p w14:paraId="47BEB356">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auto"/>
              </w:rPr>
            </w:pPr>
            <w:r>
              <w:rPr>
                <w:rFonts w:hint="default" w:ascii="Times New Roman" w:hAnsi="Times New Roman" w:cs="Times New Roman"/>
                <w:color w:val="auto"/>
              </w:rPr>
              <w:t>L为工业企业所需的卫生防护距离（m）；</w:t>
            </w:r>
          </w:p>
          <w:p w14:paraId="4B09C66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auto"/>
              </w:rPr>
            </w:pPr>
            <w:r>
              <w:rPr>
                <w:rFonts w:hint="default" w:ascii="Times New Roman" w:hAnsi="Times New Roman" w:cs="Times New Roman"/>
                <w:color w:val="auto"/>
              </w:rPr>
              <w:t>A、B、C、D为计算系数。根据所在地平均风速及工业企业大气污染源构成类别查取。</w:t>
            </w:r>
          </w:p>
          <w:p w14:paraId="497EC4D3">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ascii="Times New Roman" w:hAnsi="Times New Roman" w:cs="Times New Roman"/>
                <w:b/>
                <w:bCs/>
                <w:color w:val="auto"/>
              </w:rPr>
            </w:pPr>
            <w:r>
              <w:rPr>
                <w:rFonts w:hint="default" w:ascii="Times New Roman" w:hAnsi="Times New Roman" w:cs="Times New Roman"/>
                <w:b/>
                <w:bCs/>
                <w:color w:val="auto"/>
              </w:rPr>
              <w:t>②参数选取</w:t>
            </w:r>
          </w:p>
          <w:p w14:paraId="6D2DBE36">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auto"/>
              </w:rPr>
            </w:pPr>
            <w:r>
              <w:rPr>
                <w:rFonts w:hint="default" w:ascii="Times New Roman" w:hAnsi="Times New Roman" w:cs="Times New Roman"/>
                <w:color w:val="auto"/>
              </w:rPr>
              <w:t>无组织排放多种有害气体时，按Qc/Cm的最大值计算其所需的卫生防护距离。卫生防护距离在100m内时，级差为50m；超过100m，但小于1000m时，级差为100m。当按两种或两种以上有害气体的Qc/Cm计算卫生防护距离在同一级别时，该类工业企业的卫生防护距离提高一级。该地区的平均风速为2.6m/s，A、B、C、D值的选取见表4-</w:t>
            </w:r>
            <w:r>
              <w:rPr>
                <w:rFonts w:hint="eastAsia" w:cs="Times New Roman"/>
                <w:color w:val="auto"/>
                <w:lang w:val="en-US" w:eastAsia="zh-CN"/>
              </w:rPr>
              <w:t>11</w:t>
            </w:r>
            <w:r>
              <w:rPr>
                <w:rFonts w:hint="default" w:ascii="Times New Roman" w:hAnsi="Times New Roman" w:cs="Times New Roman"/>
                <w:color w:val="auto"/>
              </w:rPr>
              <w:t>。</w:t>
            </w:r>
          </w:p>
          <w:p w14:paraId="43339E97">
            <w:pPr>
              <w:keepNext w:val="0"/>
              <w:keepLines w:val="0"/>
              <w:suppressLineNumbers w:val="0"/>
              <w:autoSpaceDE w:val="0"/>
              <w:autoSpaceDN w:val="0"/>
              <w:adjustRightInd w:val="0"/>
              <w:snapToGrid w:val="0"/>
              <w:spacing w:before="0" w:beforeAutospacing="0" w:after="0" w:afterAutospacing="0"/>
              <w:ind w:left="0" w:right="0" w:firstLine="422" w:firstLineChars="20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表4-</w:t>
            </w:r>
            <w:r>
              <w:rPr>
                <w:rFonts w:hint="eastAsia" w:cs="Times New Roman"/>
                <w:b/>
                <w:color w:val="auto"/>
                <w:kern w:val="0"/>
                <w:szCs w:val="21"/>
                <w:lang w:val="en-US" w:eastAsia="zh-CN"/>
              </w:rPr>
              <w:t>11</w:t>
            </w:r>
            <w:r>
              <w:rPr>
                <w:rFonts w:hint="default" w:ascii="Times New Roman" w:hAnsi="Times New Roman" w:cs="Times New Roman"/>
                <w:b/>
                <w:color w:val="auto"/>
                <w:kern w:val="0"/>
                <w:szCs w:val="21"/>
              </w:rPr>
              <w:t xml:space="preserve">  卫生防护距离计算系数</w:t>
            </w:r>
          </w:p>
          <w:tbl>
            <w:tblPr>
              <w:tblStyle w:val="2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423"/>
              <w:gridCol w:w="857"/>
              <w:gridCol w:w="705"/>
              <w:gridCol w:w="651"/>
              <w:gridCol w:w="693"/>
              <w:gridCol w:w="737"/>
              <w:gridCol w:w="745"/>
              <w:gridCol w:w="822"/>
              <w:gridCol w:w="651"/>
              <w:gridCol w:w="678"/>
            </w:tblGrid>
            <w:tr w14:paraId="1FB8E4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3" w:type="dxa"/>
                  <w:vMerge w:val="restart"/>
                  <w:tcBorders>
                    <w:top w:val="single" w:color="auto" w:sz="12" w:space="0"/>
                  </w:tcBorders>
                  <w:noWrap w:val="0"/>
                  <w:vAlign w:val="center"/>
                </w:tcPr>
                <w:p w14:paraId="6504989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计算系数</w:t>
                  </w:r>
                </w:p>
              </w:tc>
              <w:tc>
                <w:tcPr>
                  <w:tcW w:w="1467" w:type="dxa"/>
                  <w:vMerge w:val="restart"/>
                  <w:tcBorders>
                    <w:top w:val="single" w:color="auto" w:sz="12" w:space="0"/>
                  </w:tcBorders>
                  <w:noWrap w:val="0"/>
                  <w:vAlign w:val="center"/>
                </w:tcPr>
                <w:p w14:paraId="5849F3CA">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5年平均风速（m/s）</w:t>
                  </w:r>
                </w:p>
              </w:tc>
              <w:tc>
                <w:tcPr>
                  <w:tcW w:w="6698" w:type="dxa"/>
                  <w:gridSpan w:val="9"/>
                  <w:tcBorders>
                    <w:top w:val="single" w:color="auto" w:sz="12" w:space="0"/>
                  </w:tcBorders>
                  <w:noWrap w:val="0"/>
                  <w:vAlign w:val="center"/>
                </w:tcPr>
                <w:p w14:paraId="248919F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卫生防护距离L（m）</w:t>
                  </w:r>
                </w:p>
              </w:tc>
            </w:tr>
            <w:tr w14:paraId="57BC36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3" w:type="dxa"/>
                  <w:vMerge w:val="continue"/>
                  <w:noWrap w:val="0"/>
                  <w:vAlign w:val="center"/>
                </w:tcPr>
                <w:p w14:paraId="4443597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p>
              </w:tc>
              <w:tc>
                <w:tcPr>
                  <w:tcW w:w="1467" w:type="dxa"/>
                  <w:vMerge w:val="continue"/>
                  <w:noWrap w:val="0"/>
                  <w:vAlign w:val="center"/>
                </w:tcPr>
                <w:p w14:paraId="42D9EFE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p>
              </w:tc>
              <w:tc>
                <w:tcPr>
                  <w:tcW w:w="2270" w:type="dxa"/>
                  <w:gridSpan w:val="3"/>
                  <w:noWrap w:val="0"/>
                  <w:vAlign w:val="center"/>
                </w:tcPr>
                <w:p w14:paraId="2D70ABA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L≤1000</w:t>
                  </w:r>
                </w:p>
              </w:tc>
              <w:tc>
                <w:tcPr>
                  <w:tcW w:w="2228" w:type="dxa"/>
                  <w:gridSpan w:val="3"/>
                  <w:noWrap w:val="0"/>
                  <w:vAlign w:val="center"/>
                </w:tcPr>
                <w:p w14:paraId="644F7A5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1000＜L≤2000</w:t>
                  </w:r>
                </w:p>
              </w:tc>
              <w:tc>
                <w:tcPr>
                  <w:tcW w:w="2200" w:type="dxa"/>
                  <w:gridSpan w:val="3"/>
                  <w:noWrap w:val="0"/>
                  <w:vAlign w:val="center"/>
                </w:tcPr>
                <w:p w14:paraId="6953993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L＞2000</w:t>
                  </w:r>
                </w:p>
              </w:tc>
            </w:tr>
            <w:tr w14:paraId="17B566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3" w:type="dxa"/>
                  <w:vMerge w:val="continue"/>
                  <w:noWrap w:val="0"/>
                  <w:vAlign w:val="center"/>
                </w:tcPr>
                <w:p w14:paraId="6282263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p>
              </w:tc>
              <w:tc>
                <w:tcPr>
                  <w:tcW w:w="1467" w:type="dxa"/>
                  <w:vMerge w:val="continue"/>
                  <w:noWrap w:val="0"/>
                  <w:vAlign w:val="center"/>
                </w:tcPr>
                <w:p w14:paraId="71F2331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p>
              </w:tc>
              <w:tc>
                <w:tcPr>
                  <w:tcW w:w="6698" w:type="dxa"/>
                  <w:gridSpan w:val="9"/>
                  <w:noWrap w:val="0"/>
                  <w:vAlign w:val="center"/>
                </w:tcPr>
                <w:p w14:paraId="71BD760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工业大气污染源构成类别</w:t>
                  </w:r>
                </w:p>
              </w:tc>
            </w:tr>
            <w:tr w14:paraId="51677B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3" w:type="dxa"/>
                  <w:vMerge w:val="continue"/>
                  <w:noWrap w:val="0"/>
                  <w:vAlign w:val="center"/>
                </w:tcPr>
                <w:p w14:paraId="1C6E81D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p>
              </w:tc>
              <w:tc>
                <w:tcPr>
                  <w:tcW w:w="1467" w:type="dxa"/>
                  <w:vMerge w:val="continue"/>
                  <w:noWrap w:val="0"/>
                  <w:vAlign w:val="center"/>
                </w:tcPr>
                <w:p w14:paraId="7DBB4F4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p>
              </w:tc>
              <w:tc>
                <w:tcPr>
                  <w:tcW w:w="887" w:type="dxa"/>
                  <w:noWrap w:val="0"/>
                  <w:vAlign w:val="center"/>
                </w:tcPr>
                <w:p w14:paraId="3C87F8E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Ⅰ</w:t>
                  </w:r>
                </w:p>
              </w:tc>
              <w:tc>
                <w:tcPr>
                  <w:tcW w:w="721" w:type="dxa"/>
                  <w:noWrap w:val="0"/>
                  <w:vAlign w:val="center"/>
                </w:tcPr>
                <w:p w14:paraId="583C190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Ⅱ</w:t>
                  </w:r>
                </w:p>
              </w:tc>
              <w:tc>
                <w:tcPr>
                  <w:tcW w:w="662" w:type="dxa"/>
                  <w:noWrap w:val="0"/>
                  <w:vAlign w:val="center"/>
                </w:tcPr>
                <w:p w14:paraId="4263A26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Ⅲ</w:t>
                  </w:r>
                </w:p>
              </w:tc>
              <w:tc>
                <w:tcPr>
                  <w:tcW w:w="708" w:type="dxa"/>
                  <w:noWrap w:val="0"/>
                  <w:vAlign w:val="center"/>
                </w:tcPr>
                <w:p w14:paraId="7C10BE0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Ⅰ</w:t>
                  </w:r>
                </w:p>
              </w:tc>
              <w:tc>
                <w:tcPr>
                  <w:tcW w:w="756" w:type="dxa"/>
                  <w:noWrap w:val="0"/>
                  <w:vAlign w:val="center"/>
                </w:tcPr>
                <w:p w14:paraId="62E75E5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Ⅱ</w:t>
                  </w:r>
                </w:p>
              </w:tc>
              <w:tc>
                <w:tcPr>
                  <w:tcW w:w="764" w:type="dxa"/>
                  <w:noWrap w:val="0"/>
                  <w:vAlign w:val="center"/>
                </w:tcPr>
                <w:p w14:paraId="3F38787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Ⅲ</w:t>
                  </w:r>
                </w:p>
              </w:tc>
              <w:tc>
                <w:tcPr>
                  <w:tcW w:w="848" w:type="dxa"/>
                  <w:noWrap w:val="0"/>
                  <w:vAlign w:val="center"/>
                </w:tcPr>
                <w:p w14:paraId="0834237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Ⅰ</w:t>
                  </w:r>
                </w:p>
              </w:tc>
              <w:tc>
                <w:tcPr>
                  <w:tcW w:w="662" w:type="dxa"/>
                  <w:noWrap w:val="0"/>
                  <w:vAlign w:val="center"/>
                </w:tcPr>
                <w:p w14:paraId="352A379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Ⅱ</w:t>
                  </w:r>
                </w:p>
              </w:tc>
              <w:tc>
                <w:tcPr>
                  <w:tcW w:w="690" w:type="dxa"/>
                  <w:noWrap w:val="0"/>
                  <w:vAlign w:val="center"/>
                </w:tcPr>
                <w:p w14:paraId="4ABBDF2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Ⅲ</w:t>
                  </w:r>
                </w:p>
              </w:tc>
            </w:tr>
            <w:tr w14:paraId="285533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3" w:type="dxa"/>
                  <w:vMerge w:val="restart"/>
                  <w:noWrap w:val="0"/>
                  <w:vAlign w:val="center"/>
                </w:tcPr>
                <w:p w14:paraId="554EF58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A</w:t>
                  </w:r>
                </w:p>
              </w:tc>
              <w:tc>
                <w:tcPr>
                  <w:tcW w:w="1467" w:type="dxa"/>
                  <w:noWrap w:val="0"/>
                  <w:vAlign w:val="center"/>
                </w:tcPr>
                <w:p w14:paraId="217F20B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887" w:type="dxa"/>
                  <w:noWrap w:val="0"/>
                  <w:vAlign w:val="center"/>
                </w:tcPr>
                <w:p w14:paraId="4FF4379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721" w:type="dxa"/>
                  <w:noWrap w:val="0"/>
                  <w:vAlign w:val="center"/>
                </w:tcPr>
                <w:p w14:paraId="00E1190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662" w:type="dxa"/>
                  <w:noWrap w:val="0"/>
                  <w:vAlign w:val="center"/>
                </w:tcPr>
                <w:p w14:paraId="55B6ADC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708" w:type="dxa"/>
                  <w:noWrap w:val="0"/>
                  <w:vAlign w:val="center"/>
                </w:tcPr>
                <w:p w14:paraId="48B2FB9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756" w:type="dxa"/>
                  <w:noWrap w:val="0"/>
                  <w:vAlign w:val="center"/>
                </w:tcPr>
                <w:p w14:paraId="6DC4F4D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764" w:type="dxa"/>
                  <w:noWrap w:val="0"/>
                  <w:vAlign w:val="center"/>
                </w:tcPr>
                <w:p w14:paraId="0302B65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848" w:type="dxa"/>
                  <w:noWrap w:val="0"/>
                  <w:vAlign w:val="center"/>
                </w:tcPr>
                <w:p w14:paraId="45936F2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w:t>
                  </w:r>
                </w:p>
              </w:tc>
              <w:tc>
                <w:tcPr>
                  <w:tcW w:w="662" w:type="dxa"/>
                  <w:noWrap w:val="0"/>
                  <w:vAlign w:val="center"/>
                </w:tcPr>
                <w:p w14:paraId="12D1D9F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w:t>
                  </w:r>
                </w:p>
              </w:tc>
              <w:tc>
                <w:tcPr>
                  <w:tcW w:w="690" w:type="dxa"/>
                  <w:noWrap w:val="0"/>
                  <w:vAlign w:val="center"/>
                </w:tcPr>
                <w:p w14:paraId="0CA5405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w:t>
                  </w:r>
                </w:p>
              </w:tc>
            </w:tr>
            <w:tr w14:paraId="256949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3" w:type="dxa"/>
                  <w:vMerge w:val="continue"/>
                  <w:noWrap w:val="0"/>
                  <w:vAlign w:val="center"/>
                </w:tcPr>
                <w:p w14:paraId="142AFB3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p>
              </w:tc>
              <w:tc>
                <w:tcPr>
                  <w:tcW w:w="1467" w:type="dxa"/>
                  <w:noWrap w:val="0"/>
                  <w:vAlign w:val="center"/>
                </w:tcPr>
                <w:p w14:paraId="5035AD9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2～4</w:t>
                  </w:r>
                </w:p>
              </w:tc>
              <w:tc>
                <w:tcPr>
                  <w:tcW w:w="887" w:type="dxa"/>
                  <w:noWrap w:val="0"/>
                  <w:vAlign w:val="center"/>
                </w:tcPr>
                <w:p w14:paraId="2FAA75A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700</w:t>
                  </w:r>
                </w:p>
              </w:tc>
              <w:tc>
                <w:tcPr>
                  <w:tcW w:w="721" w:type="dxa"/>
                  <w:noWrap w:val="0"/>
                  <w:vAlign w:val="center"/>
                </w:tcPr>
                <w:p w14:paraId="643D96B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470</w:t>
                  </w:r>
                </w:p>
              </w:tc>
              <w:tc>
                <w:tcPr>
                  <w:tcW w:w="662" w:type="dxa"/>
                  <w:noWrap w:val="0"/>
                  <w:vAlign w:val="center"/>
                </w:tcPr>
                <w:p w14:paraId="4F3BF16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350</w:t>
                  </w:r>
                </w:p>
              </w:tc>
              <w:tc>
                <w:tcPr>
                  <w:tcW w:w="708" w:type="dxa"/>
                  <w:noWrap w:val="0"/>
                  <w:vAlign w:val="center"/>
                </w:tcPr>
                <w:p w14:paraId="713CC23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700</w:t>
                  </w:r>
                </w:p>
              </w:tc>
              <w:tc>
                <w:tcPr>
                  <w:tcW w:w="756" w:type="dxa"/>
                  <w:noWrap w:val="0"/>
                  <w:vAlign w:val="center"/>
                </w:tcPr>
                <w:p w14:paraId="6176C28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470</w:t>
                  </w:r>
                </w:p>
              </w:tc>
              <w:tc>
                <w:tcPr>
                  <w:tcW w:w="764" w:type="dxa"/>
                  <w:noWrap w:val="0"/>
                  <w:vAlign w:val="center"/>
                </w:tcPr>
                <w:p w14:paraId="4434464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350</w:t>
                  </w:r>
                </w:p>
              </w:tc>
              <w:tc>
                <w:tcPr>
                  <w:tcW w:w="848" w:type="dxa"/>
                  <w:noWrap w:val="0"/>
                  <w:vAlign w:val="center"/>
                </w:tcPr>
                <w:p w14:paraId="79FD905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380</w:t>
                  </w:r>
                </w:p>
              </w:tc>
              <w:tc>
                <w:tcPr>
                  <w:tcW w:w="662" w:type="dxa"/>
                  <w:noWrap w:val="0"/>
                  <w:vAlign w:val="center"/>
                </w:tcPr>
                <w:p w14:paraId="7A05509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250</w:t>
                  </w:r>
                </w:p>
              </w:tc>
              <w:tc>
                <w:tcPr>
                  <w:tcW w:w="690" w:type="dxa"/>
                  <w:noWrap w:val="0"/>
                  <w:vAlign w:val="center"/>
                </w:tcPr>
                <w:p w14:paraId="155B354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190</w:t>
                  </w:r>
                </w:p>
              </w:tc>
            </w:tr>
            <w:tr w14:paraId="15C53C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3" w:type="dxa"/>
                  <w:vMerge w:val="continue"/>
                  <w:noWrap w:val="0"/>
                  <w:vAlign w:val="center"/>
                </w:tcPr>
                <w:p w14:paraId="3EF9E37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p>
              </w:tc>
              <w:tc>
                <w:tcPr>
                  <w:tcW w:w="1467" w:type="dxa"/>
                  <w:noWrap w:val="0"/>
                  <w:vAlign w:val="center"/>
                </w:tcPr>
                <w:p w14:paraId="6F33FE1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w:t>
                  </w:r>
                </w:p>
              </w:tc>
              <w:tc>
                <w:tcPr>
                  <w:tcW w:w="887" w:type="dxa"/>
                  <w:noWrap w:val="0"/>
                  <w:vAlign w:val="center"/>
                </w:tcPr>
                <w:p w14:paraId="4174E41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530</w:t>
                  </w:r>
                </w:p>
              </w:tc>
              <w:tc>
                <w:tcPr>
                  <w:tcW w:w="721" w:type="dxa"/>
                  <w:noWrap w:val="0"/>
                  <w:vAlign w:val="center"/>
                </w:tcPr>
                <w:p w14:paraId="5EB7467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350</w:t>
                  </w:r>
                </w:p>
              </w:tc>
              <w:tc>
                <w:tcPr>
                  <w:tcW w:w="662" w:type="dxa"/>
                  <w:noWrap w:val="0"/>
                  <w:vAlign w:val="center"/>
                </w:tcPr>
                <w:p w14:paraId="7797387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260</w:t>
                  </w:r>
                </w:p>
              </w:tc>
              <w:tc>
                <w:tcPr>
                  <w:tcW w:w="708" w:type="dxa"/>
                  <w:noWrap w:val="0"/>
                  <w:vAlign w:val="center"/>
                </w:tcPr>
                <w:p w14:paraId="58DAF77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530</w:t>
                  </w:r>
                </w:p>
              </w:tc>
              <w:tc>
                <w:tcPr>
                  <w:tcW w:w="756" w:type="dxa"/>
                  <w:noWrap w:val="0"/>
                  <w:vAlign w:val="center"/>
                </w:tcPr>
                <w:p w14:paraId="33C1349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350</w:t>
                  </w:r>
                </w:p>
              </w:tc>
              <w:tc>
                <w:tcPr>
                  <w:tcW w:w="764" w:type="dxa"/>
                  <w:noWrap w:val="0"/>
                  <w:vAlign w:val="center"/>
                </w:tcPr>
                <w:p w14:paraId="343DDA4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260</w:t>
                  </w:r>
                </w:p>
              </w:tc>
              <w:tc>
                <w:tcPr>
                  <w:tcW w:w="848" w:type="dxa"/>
                  <w:noWrap w:val="0"/>
                  <w:vAlign w:val="center"/>
                </w:tcPr>
                <w:p w14:paraId="228F82B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290</w:t>
                  </w:r>
                </w:p>
              </w:tc>
              <w:tc>
                <w:tcPr>
                  <w:tcW w:w="662" w:type="dxa"/>
                  <w:noWrap w:val="0"/>
                  <w:vAlign w:val="center"/>
                </w:tcPr>
                <w:p w14:paraId="45DEAB2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190</w:t>
                  </w:r>
                </w:p>
              </w:tc>
              <w:tc>
                <w:tcPr>
                  <w:tcW w:w="690" w:type="dxa"/>
                  <w:noWrap w:val="0"/>
                  <w:vAlign w:val="center"/>
                </w:tcPr>
                <w:p w14:paraId="09A4D56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r>
                    <w:rPr>
                      <w:rFonts w:hint="default" w:ascii="Times New Roman" w:hAnsi="Times New Roman" w:eastAsia="仿宋" w:cs="Times New Roman"/>
                      <w:color w:val="auto"/>
                      <w:szCs w:val="21"/>
                      <w:lang w:val="en-US" w:eastAsia="zh-CN"/>
                    </w:rPr>
                    <w:t>1</w:t>
                  </w:r>
                  <w:r>
                    <w:rPr>
                      <w:rFonts w:hint="default" w:ascii="Times New Roman" w:hAnsi="Times New Roman" w:eastAsia="仿宋" w:cs="Times New Roman"/>
                      <w:color w:val="auto"/>
                      <w:szCs w:val="21"/>
                    </w:rPr>
                    <w:t>0</w:t>
                  </w:r>
                </w:p>
              </w:tc>
            </w:tr>
            <w:tr w14:paraId="253431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3" w:type="dxa"/>
                  <w:vMerge w:val="restart"/>
                  <w:noWrap w:val="0"/>
                  <w:vAlign w:val="center"/>
                </w:tcPr>
                <w:p w14:paraId="2E306C5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B</w:t>
                  </w:r>
                </w:p>
              </w:tc>
              <w:tc>
                <w:tcPr>
                  <w:tcW w:w="1467" w:type="dxa"/>
                  <w:noWrap w:val="0"/>
                  <w:vAlign w:val="center"/>
                </w:tcPr>
                <w:p w14:paraId="0A03B19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2270" w:type="dxa"/>
                  <w:gridSpan w:val="3"/>
                  <w:noWrap w:val="0"/>
                  <w:vAlign w:val="center"/>
                </w:tcPr>
                <w:p w14:paraId="710C688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0.01</w:t>
                  </w:r>
                </w:p>
              </w:tc>
              <w:tc>
                <w:tcPr>
                  <w:tcW w:w="2228" w:type="dxa"/>
                  <w:gridSpan w:val="3"/>
                  <w:noWrap w:val="0"/>
                  <w:vAlign w:val="center"/>
                </w:tcPr>
                <w:p w14:paraId="4007C5C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0.015</w:t>
                  </w:r>
                </w:p>
              </w:tc>
              <w:tc>
                <w:tcPr>
                  <w:tcW w:w="2200" w:type="dxa"/>
                  <w:gridSpan w:val="3"/>
                  <w:noWrap w:val="0"/>
                  <w:vAlign w:val="center"/>
                </w:tcPr>
                <w:p w14:paraId="4EC0703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0.015</w:t>
                  </w:r>
                </w:p>
              </w:tc>
            </w:tr>
            <w:tr w14:paraId="496EFB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3" w:type="dxa"/>
                  <w:vMerge w:val="continue"/>
                  <w:noWrap w:val="0"/>
                  <w:vAlign w:val="center"/>
                </w:tcPr>
                <w:p w14:paraId="5480D78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p>
              </w:tc>
              <w:tc>
                <w:tcPr>
                  <w:tcW w:w="1467" w:type="dxa"/>
                  <w:noWrap w:val="0"/>
                  <w:vAlign w:val="center"/>
                </w:tcPr>
                <w:p w14:paraId="7B80F83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2270" w:type="dxa"/>
                  <w:gridSpan w:val="3"/>
                  <w:noWrap w:val="0"/>
                  <w:vAlign w:val="center"/>
                </w:tcPr>
                <w:p w14:paraId="78E17C5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0.021</w:t>
                  </w:r>
                </w:p>
              </w:tc>
              <w:tc>
                <w:tcPr>
                  <w:tcW w:w="2228" w:type="dxa"/>
                  <w:gridSpan w:val="3"/>
                  <w:noWrap w:val="0"/>
                  <w:vAlign w:val="center"/>
                </w:tcPr>
                <w:p w14:paraId="7355D25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0.036</w:t>
                  </w:r>
                </w:p>
              </w:tc>
              <w:tc>
                <w:tcPr>
                  <w:tcW w:w="2200" w:type="dxa"/>
                  <w:gridSpan w:val="3"/>
                  <w:noWrap w:val="0"/>
                  <w:vAlign w:val="center"/>
                </w:tcPr>
                <w:p w14:paraId="6E7EB09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0.036</w:t>
                  </w:r>
                </w:p>
              </w:tc>
            </w:tr>
            <w:tr w14:paraId="4AD600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3" w:type="dxa"/>
                  <w:vMerge w:val="restart"/>
                  <w:noWrap w:val="0"/>
                  <w:vAlign w:val="center"/>
                </w:tcPr>
                <w:p w14:paraId="23E3E9F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w:t>
                  </w:r>
                </w:p>
              </w:tc>
              <w:tc>
                <w:tcPr>
                  <w:tcW w:w="1467" w:type="dxa"/>
                  <w:noWrap w:val="0"/>
                  <w:vAlign w:val="center"/>
                </w:tcPr>
                <w:p w14:paraId="34E5466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2270" w:type="dxa"/>
                  <w:gridSpan w:val="3"/>
                  <w:noWrap w:val="0"/>
                  <w:vAlign w:val="center"/>
                </w:tcPr>
                <w:p w14:paraId="759E750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1.85</w:t>
                  </w:r>
                </w:p>
              </w:tc>
              <w:tc>
                <w:tcPr>
                  <w:tcW w:w="2228" w:type="dxa"/>
                  <w:gridSpan w:val="3"/>
                  <w:noWrap w:val="0"/>
                  <w:vAlign w:val="center"/>
                </w:tcPr>
                <w:p w14:paraId="44F3BCC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1.79</w:t>
                  </w:r>
                </w:p>
              </w:tc>
              <w:tc>
                <w:tcPr>
                  <w:tcW w:w="2200" w:type="dxa"/>
                  <w:gridSpan w:val="3"/>
                  <w:noWrap w:val="0"/>
                  <w:vAlign w:val="center"/>
                </w:tcPr>
                <w:p w14:paraId="7A146F5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1.79</w:t>
                  </w:r>
                </w:p>
              </w:tc>
            </w:tr>
            <w:tr w14:paraId="483901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3" w:type="dxa"/>
                  <w:vMerge w:val="continue"/>
                  <w:noWrap w:val="0"/>
                  <w:vAlign w:val="center"/>
                </w:tcPr>
                <w:p w14:paraId="280E650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p>
              </w:tc>
              <w:tc>
                <w:tcPr>
                  <w:tcW w:w="1467" w:type="dxa"/>
                  <w:noWrap w:val="0"/>
                  <w:vAlign w:val="center"/>
                </w:tcPr>
                <w:p w14:paraId="3EF2C89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2270" w:type="dxa"/>
                  <w:gridSpan w:val="3"/>
                  <w:noWrap w:val="0"/>
                  <w:vAlign w:val="center"/>
                </w:tcPr>
                <w:p w14:paraId="4683A83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1.85</w:t>
                  </w:r>
                </w:p>
              </w:tc>
              <w:tc>
                <w:tcPr>
                  <w:tcW w:w="2228" w:type="dxa"/>
                  <w:gridSpan w:val="3"/>
                  <w:noWrap w:val="0"/>
                  <w:vAlign w:val="center"/>
                </w:tcPr>
                <w:p w14:paraId="64A1D25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1.77</w:t>
                  </w:r>
                </w:p>
              </w:tc>
              <w:tc>
                <w:tcPr>
                  <w:tcW w:w="2200" w:type="dxa"/>
                  <w:gridSpan w:val="3"/>
                  <w:noWrap w:val="0"/>
                  <w:vAlign w:val="center"/>
                </w:tcPr>
                <w:p w14:paraId="22EA7B6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1.77</w:t>
                  </w:r>
                </w:p>
              </w:tc>
            </w:tr>
            <w:tr w14:paraId="70D5F9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3" w:type="dxa"/>
                  <w:vMerge w:val="restart"/>
                  <w:noWrap w:val="0"/>
                  <w:vAlign w:val="center"/>
                </w:tcPr>
                <w:p w14:paraId="340C752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D</w:t>
                  </w:r>
                </w:p>
              </w:tc>
              <w:tc>
                <w:tcPr>
                  <w:tcW w:w="1467" w:type="dxa"/>
                  <w:noWrap w:val="0"/>
                  <w:vAlign w:val="center"/>
                </w:tcPr>
                <w:p w14:paraId="63E4358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2270" w:type="dxa"/>
                  <w:gridSpan w:val="3"/>
                  <w:noWrap w:val="0"/>
                  <w:vAlign w:val="center"/>
                </w:tcPr>
                <w:p w14:paraId="7F31F39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0.78</w:t>
                  </w:r>
                </w:p>
              </w:tc>
              <w:tc>
                <w:tcPr>
                  <w:tcW w:w="2228" w:type="dxa"/>
                  <w:gridSpan w:val="3"/>
                  <w:noWrap w:val="0"/>
                  <w:vAlign w:val="center"/>
                </w:tcPr>
                <w:p w14:paraId="33C2E71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0.78</w:t>
                  </w:r>
                </w:p>
              </w:tc>
              <w:tc>
                <w:tcPr>
                  <w:tcW w:w="2200" w:type="dxa"/>
                  <w:gridSpan w:val="3"/>
                  <w:noWrap w:val="0"/>
                  <w:vAlign w:val="center"/>
                </w:tcPr>
                <w:p w14:paraId="08D10AB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0.57</w:t>
                  </w:r>
                </w:p>
              </w:tc>
            </w:tr>
            <w:tr w14:paraId="11898A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3" w:type="dxa"/>
                  <w:vMerge w:val="continue"/>
                  <w:tcBorders>
                    <w:bottom w:val="single" w:color="auto" w:sz="12" w:space="0"/>
                  </w:tcBorders>
                  <w:noWrap w:val="0"/>
                  <w:vAlign w:val="center"/>
                </w:tcPr>
                <w:p w14:paraId="3FA6A91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p>
              </w:tc>
              <w:tc>
                <w:tcPr>
                  <w:tcW w:w="1467" w:type="dxa"/>
                  <w:tcBorders>
                    <w:bottom w:val="single" w:color="auto" w:sz="12" w:space="0"/>
                  </w:tcBorders>
                  <w:noWrap w:val="0"/>
                  <w:vAlign w:val="center"/>
                </w:tcPr>
                <w:p w14:paraId="39AC7FA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2270" w:type="dxa"/>
                  <w:gridSpan w:val="3"/>
                  <w:tcBorders>
                    <w:bottom w:val="single" w:color="auto" w:sz="12" w:space="0"/>
                  </w:tcBorders>
                  <w:noWrap w:val="0"/>
                  <w:vAlign w:val="center"/>
                </w:tcPr>
                <w:p w14:paraId="3E321CE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0.84</w:t>
                  </w:r>
                </w:p>
              </w:tc>
              <w:tc>
                <w:tcPr>
                  <w:tcW w:w="2228" w:type="dxa"/>
                  <w:gridSpan w:val="3"/>
                  <w:tcBorders>
                    <w:bottom w:val="single" w:color="auto" w:sz="12" w:space="0"/>
                  </w:tcBorders>
                  <w:noWrap w:val="0"/>
                  <w:vAlign w:val="center"/>
                </w:tcPr>
                <w:p w14:paraId="504DB27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0.84</w:t>
                  </w:r>
                </w:p>
              </w:tc>
              <w:tc>
                <w:tcPr>
                  <w:tcW w:w="2200" w:type="dxa"/>
                  <w:gridSpan w:val="3"/>
                  <w:tcBorders>
                    <w:bottom w:val="single" w:color="auto" w:sz="12" w:space="0"/>
                  </w:tcBorders>
                  <w:noWrap w:val="0"/>
                  <w:vAlign w:val="center"/>
                </w:tcPr>
                <w:p w14:paraId="4040BCB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0.76</w:t>
                  </w:r>
                </w:p>
              </w:tc>
            </w:tr>
          </w:tbl>
          <w:p w14:paraId="32CAC245">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大气有害物质无组织排放卫生防护距离推导技术导则》（GB/T39499-2020）中4行业主要特征大有害物质：不同行业及生产工艺产生无组织排放的特征大气有害物质差别较大。在选取特征大气有害物质时，应首先考虑其对人体健康损害毒性特点，并根据目标行业企业的产品产量及其原辅材料、工艺特征、中间产物、产排污特点等具体情况，确定单个大气有害物质的无组织排放量及等标排放量(Q</w:t>
            </w:r>
            <w:r>
              <w:rPr>
                <w:rFonts w:hint="default" w:ascii="Times New Roman" w:hAnsi="Times New Roman" w:eastAsia="宋体" w:cs="Times New Roman"/>
                <w:color w:val="auto"/>
                <w:vertAlign w:val="subscript"/>
              </w:rPr>
              <w:t>c</w:t>
            </w:r>
            <w:r>
              <w:rPr>
                <w:rFonts w:hint="default" w:ascii="Times New Roman" w:hAnsi="Times New Roman" w:eastAsia="宋体" w:cs="Times New Roman"/>
                <w:color w:val="auto"/>
              </w:rPr>
              <w:t>/C</w:t>
            </w:r>
            <w:r>
              <w:rPr>
                <w:rFonts w:hint="default" w:ascii="Times New Roman" w:hAnsi="Times New Roman" w:eastAsia="宋体" w:cs="Times New Roman"/>
                <w:color w:val="auto"/>
                <w:vertAlign w:val="subscript"/>
              </w:rPr>
              <w:t>m</w:t>
            </w:r>
            <w:r>
              <w:rPr>
                <w:rFonts w:hint="default" w:ascii="Times New Roman" w:hAnsi="Times New Roman" w:eastAsia="宋体" w:cs="Times New Roman"/>
                <w:color w:val="auto"/>
              </w:rPr>
              <w:t>)，最终确定卫生防护距离相关的主要特征大气有害物质1种～2种。</w:t>
            </w:r>
          </w:p>
          <w:p w14:paraId="1587B517">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当目标企业无组织排放存在多种有毒有害污染物时，基于单个污染物的等标排放量计算结果，优</w:t>
            </w:r>
            <w:r>
              <w:rPr>
                <w:rFonts w:hint="eastAsia" w:ascii="Times New Roman" w:hAnsi="Times New Roman" w:eastAsia="宋体" w:cs="Times New Roman"/>
                <w:color w:val="auto"/>
                <w:lang w:eastAsia="zh-CN"/>
              </w:rPr>
              <w:t>先选</w:t>
            </w:r>
            <w:r>
              <w:rPr>
                <w:rFonts w:hint="default" w:ascii="Times New Roman" w:hAnsi="Times New Roman" w:eastAsia="宋体" w:cs="Times New Roman"/>
                <w:color w:val="auto"/>
              </w:rPr>
              <w:t>择等标排放量最大的污染物为企业无组织排放的主要特征大气有害物质。当前两种污染物的等标排放量相差在10</w:t>
            </w:r>
            <w:r>
              <w:rPr>
                <w:rFonts w:hint="eastAsia" w:cs="Times New Roman"/>
                <w:color w:val="auto"/>
                <w:lang w:val="en-US" w:eastAsia="zh-CN"/>
              </w:rPr>
              <w:t>%</w:t>
            </w:r>
            <w:r>
              <w:rPr>
                <w:rFonts w:hint="default" w:ascii="Times New Roman" w:hAnsi="Times New Roman" w:eastAsia="宋体" w:cs="Times New Roman"/>
                <w:color w:val="auto"/>
              </w:rPr>
              <w:t>以内时，需要同时选择这两种特征大气有害物质分别计算卫生防护距离初值。详细计算结果见下表</w:t>
            </w:r>
            <w:r>
              <w:rPr>
                <w:rFonts w:hint="eastAsia" w:ascii="Times New Roman" w:hAnsi="Times New Roman" w:eastAsia="宋体" w:cs="Times New Roman"/>
                <w:color w:val="auto"/>
                <w:lang w:eastAsia="zh-CN"/>
              </w:rPr>
              <w:t>。</w:t>
            </w:r>
          </w:p>
          <w:p w14:paraId="10B4AD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w:t>
            </w:r>
            <w:r>
              <w:rPr>
                <w:rFonts w:hint="eastAsia" w:ascii="Times New Roman" w:hAnsi="Times New Roman" w:eastAsia="宋体" w:cs="Times New Roman"/>
                <w:b/>
                <w:bCs/>
                <w:color w:val="auto"/>
                <w:lang w:val="en-US" w:eastAsia="zh-CN"/>
              </w:rPr>
              <w:t>12</w:t>
            </w: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等标排放量计算值</w:t>
            </w:r>
          </w:p>
          <w:tbl>
            <w:tblPr>
              <w:tblStyle w:val="27"/>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390"/>
              <w:gridCol w:w="2131"/>
              <w:gridCol w:w="3506"/>
              <w:gridCol w:w="1083"/>
            </w:tblGrid>
            <w:tr w14:paraId="7C6F1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l2br w:val="nil"/>
                    <w:tr2bl w:val="nil"/>
                  </w:tcBorders>
                  <w:noWrap w:val="0"/>
                  <w:vAlign w:val="center"/>
                </w:tcPr>
                <w:p w14:paraId="2F16EFA6">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仿宋" w:cs="Times New Roman"/>
                      <w:color w:val="auto"/>
                      <w:szCs w:val="21"/>
                      <w:lang w:eastAsia="zh-CN"/>
                    </w:rPr>
                  </w:pPr>
                  <w:r>
                    <w:rPr>
                      <w:rFonts w:hint="eastAsia" w:ascii="Times New Roman" w:hAnsi="Times New Roman" w:eastAsia="仿宋" w:cs="Times New Roman"/>
                      <w:color w:val="auto"/>
                      <w:szCs w:val="21"/>
                      <w:lang w:val="en-US" w:eastAsia="zh-CN"/>
                    </w:rPr>
                    <w:t>污染源</w:t>
                  </w:r>
                </w:p>
              </w:tc>
              <w:tc>
                <w:tcPr>
                  <w:tcW w:w="773" w:type="pct"/>
                  <w:tcBorders>
                    <w:tl2br w:val="nil"/>
                    <w:tr2bl w:val="nil"/>
                  </w:tcBorders>
                  <w:noWrap w:val="0"/>
                  <w:vAlign w:val="center"/>
                </w:tcPr>
                <w:p w14:paraId="613C73A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污染物名称</w:t>
                  </w:r>
                </w:p>
              </w:tc>
              <w:tc>
                <w:tcPr>
                  <w:tcW w:w="1185" w:type="pct"/>
                  <w:tcBorders>
                    <w:tl2br w:val="nil"/>
                    <w:tr2bl w:val="nil"/>
                  </w:tcBorders>
                  <w:noWrap w:val="0"/>
                  <w:vAlign w:val="center"/>
                </w:tcPr>
                <w:p w14:paraId="6475C63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无组织排放</w:t>
                  </w:r>
                  <w:r>
                    <w:rPr>
                      <w:rFonts w:hint="default" w:ascii="Times New Roman" w:hAnsi="Times New Roman" w:eastAsia="仿宋" w:cs="Times New Roman"/>
                      <w:color w:val="auto"/>
                      <w:szCs w:val="21"/>
                      <w:lang w:val="en-US" w:eastAsia="zh-CN"/>
                    </w:rPr>
                    <w:t>速率</w:t>
                  </w:r>
                  <w:r>
                    <w:rPr>
                      <w:rFonts w:hint="default" w:ascii="Times New Roman" w:hAnsi="Times New Roman" w:eastAsia="仿宋" w:cs="Times New Roman"/>
                      <w:color w:val="auto"/>
                      <w:szCs w:val="21"/>
                    </w:rPr>
                    <w:t>kg/h</w:t>
                  </w:r>
                </w:p>
              </w:tc>
              <w:tc>
                <w:tcPr>
                  <w:tcW w:w="1950" w:type="pct"/>
                  <w:tcBorders>
                    <w:tl2br w:val="nil"/>
                    <w:tr2bl w:val="nil"/>
                  </w:tcBorders>
                  <w:noWrap w:val="0"/>
                  <w:vAlign w:val="center"/>
                </w:tcPr>
                <w:p w14:paraId="65DDD29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污染环境空气质量标准限值mg/m</w:t>
                  </w:r>
                  <w:r>
                    <w:rPr>
                      <w:rFonts w:hint="default" w:ascii="Times New Roman" w:hAnsi="Times New Roman" w:eastAsia="仿宋" w:cs="Times New Roman"/>
                      <w:color w:val="auto"/>
                      <w:szCs w:val="21"/>
                      <w:vertAlign w:val="superscript"/>
                    </w:rPr>
                    <w:t>3</w:t>
                  </w:r>
                </w:p>
              </w:tc>
              <w:tc>
                <w:tcPr>
                  <w:tcW w:w="602" w:type="pct"/>
                  <w:tcBorders>
                    <w:tl2br w:val="nil"/>
                    <w:tr2bl w:val="nil"/>
                  </w:tcBorders>
                  <w:noWrap w:val="0"/>
                  <w:vAlign w:val="center"/>
                </w:tcPr>
                <w:p w14:paraId="51D5FA2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计算结果</w:t>
                  </w:r>
                </w:p>
              </w:tc>
            </w:tr>
            <w:tr w14:paraId="2F914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88" w:type="pct"/>
                  <w:vMerge w:val="restart"/>
                  <w:tcBorders>
                    <w:tl2br w:val="nil"/>
                    <w:tr2bl w:val="nil"/>
                  </w:tcBorders>
                  <w:noWrap w:val="0"/>
                  <w:vAlign w:val="center"/>
                </w:tcPr>
                <w:p w14:paraId="332D8742">
                  <w:pPr>
                    <w:keepNext w:val="0"/>
                    <w:keepLines w:val="0"/>
                    <w:suppressLineNumbers w:val="0"/>
                    <w:adjustRightInd w:val="0"/>
                    <w:snapToGrid w:val="0"/>
                    <w:spacing w:before="0" w:beforeAutospacing="0" w:after="0" w:afterAutospacing="0" w:line="240" w:lineRule="auto"/>
                    <w:ind w:left="0" w:right="0"/>
                    <w:jc w:val="center"/>
                    <w:rPr>
                      <w:rFonts w:hint="eastAsia" w:eastAsia="仿宋" w:cs="Times New Roman"/>
                      <w:color w:val="auto"/>
                      <w:szCs w:val="21"/>
                      <w:lang w:val="en-US" w:eastAsia="zh-CN"/>
                    </w:rPr>
                  </w:pPr>
                  <w:r>
                    <w:rPr>
                      <w:rFonts w:hint="eastAsia" w:eastAsia="仿宋" w:cs="Times New Roman"/>
                      <w:color w:val="auto"/>
                      <w:szCs w:val="21"/>
                      <w:lang w:val="en-US" w:eastAsia="zh-CN"/>
                    </w:rPr>
                    <w:t>生产</w:t>
                  </w:r>
                </w:p>
                <w:p w14:paraId="4271FDF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车间</w:t>
                  </w:r>
                </w:p>
              </w:tc>
              <w:tc>
                <w:tcPr>
                  <w:tcW w:w="773" w:type="pct"/>
                  <w:tcBorders>
                    <w:tl2br w:val="nil"/>
                    <w:tr2bl w:val="nil"/>
                  </w:tcBorders>
                  <w:noWrap w:val="0"/>
                  <w:vAlign w:val="center"/>
                </w:tcPr>
                <w:p w14:paraId="66DBF1B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颗粒物</w:t>
                  </w:r>
                </w:p>
              </w:tc>
              <w:tc>
                <w:tcPr>
                  <w:tcW w:w="2131" w:type="dxa"/>
                  <w:tcBorders>
                    <w:tl2br w:val="nil"/>
                    <w:tr2bl w:val="nil"/>
                  </w:tcBorders>
                  <w:shd w:val="clear" w:color="auto" w:fill="auto"/>
                  <w:noWrap w:val="0"/>
                  <w:vAlign w:val="center"/>
                </w:tcPr>
                <w:p w14:paraId="7E9CF1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0.028</w:t>
                  </w:r>
                </w:p>
              </w:tc>
              <w:tc>
                <w:tcPr>
                  <w:tcW w:w="1950" w:type="pct"/>
                  <w:tcBorders>
                    <w:tl2br w:val="nil"/>
                    <w:tr2bl w:val="nil"/>
                  </w:tcBorders>
                  <w:noWrap w:val="0"/>
                  <w:vAlign w:val="center"/>
                </w:tcPr>
                <w:p w14:paraId="051AC68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0.9</w:t>
                  </w:r>
                </w:p>
              </w:tc>
              <w:tc>
                <w:tcPr>
                  <w:tcW w:w="602" w:type="pct"/>
                  <w:tcBorders>
                    <w:tl2br w:val="nil"/>
                    <w:tr2bl w:val="nil"/>
                  </w:tcBorders>
                  <w:noWrap w:val="0"/>
                  <w:vAlign w:val="center"/>
                </w:tcPr>
                <w:p w14:paraId="66D3777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0.031</w:t>
                  </w:r>
                </w:p>
              </w:tc>
            </w:tr>
            <w:tr w14:paraId="3AD71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vMerge w:val="continue"/>
                  <w:tcBorders>
                    <w:tl2br w:val="nil"/>
                    <w:tr2bl w:val="nil"/>
                  </w:tcBorders>
                  <w:noWrap w:val="0"/>
                  <w:vAlign w:val="center"/>
                </w:tcPr>
                <w:p w14:paraId="3A706FB9">
                  <w:pPr>
                    <w:keepNext w:val="0"/>
                    <w:keepLines w:val="0"/>
                    <w:suppressLineNumbers w:val="0"/>
                    <w:adjustRightInd w:val="0"/>
                    <w:snapToGrid w:val="0"/>
                    <w:spacing w:before="0" w:beforeAutospacing="0" w:after="0" w:afterAutospacing="0" w:line="240" w:lineRule="auto"/>
                    <w:ind w:left="0" w:right="0"/>
                    <w:jc w:val="center"/>
                    <w:rPr>
                      <w:rFonts w:hint="eastAsia" w:eastAsia="仿宋" w:cs="Times New Roman"/>
                      <w:color w:val="auto"/>
                      <w:szCs w:val="21"/>
                      <w:lang w:val="en-US" w:eastAsia="zh-CN"/>
                    </w:rPr>
                  </w:pPr>
                </w:p>
              </w:tc>
              <w:tc>
                <w:tcPr>
                  <w:tcW w:w="773" w:type="pct"/>
                  <w:tcBorders>
                    <w:tl2br w:val="nil"/>
                    <w:tr2bl w:val="nil"/>
                  </w:tcBorders>
                  <w:noWrap w:val="0"/>
                  <w:vAlign w:val="center"/>
                </w:tcPr>
                <w:p w14:paraId="775AA9A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非甲烷总烃</w:t>
                  </w:r>
                </w:p>
              </w:tc>
              <w:tc>
                <w:tcPr>
                  <w:tcW w:w="2131" w:type="dxa"/>
                  <w:tcBorders>
                    <w:tl2br w:val="nil"/>
                    <w:tr2bl w:val="nil"/>
                  </w:tcBorders>
                  <w:shd w:val="clear" w:color="auto" w:fill="auto"/>
                  <w:noWrap w:val="0"/>
                  <w:vAlign w:val="center"/>
                </w:tcPr>
                <w:p w14:paraId="61910A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0.01</w:t>
                  </w:r>
                </w:p>
              </w:tc>
              <w:tc>
                <w:tcPr>
                  <w:tcW w:w="1950" w:type="pct"/>
                  <w:tcBorders>
                    <w:tl2br w:val="nil"/>
                    <w:tr2bl w:val="nil"/>
                  </w:tcBorders>
                  <w:noWrap w:val="0"/>
                  <w:vAlign w:val="center"/>
                </w:tcPr>
                <w:p w14:paraId="4A87609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2</w:t>
                  </w:r>
                </w:p>
              </w:tc>
              <w:tc>
                <w:tcPr>
                  <w:tcW w:w="602" w:type="pct"/>
                  <w:tcBorders>
                    <w:tl2br w:val="nil"/>
                    <w:tr2bl w:val="nil"/>
                  </w:tcBorders>
                  <w:noWrap w:val="0"/>
                  <w:vAlign w:val="center"/>
                </w:tcPr>
                <w:p w14:paraId="11587CD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0.005</w:t>
                  </w:r>
                </w:p>
              </w:tc>
            </w:tr>
            <w:tr w14:paraId="0A2FA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vMerge w:val="continue"/>
                  <w:tcBorders>
                    <w:tl2br w:val="nil"/>
                    <w:tr2bl w:val="nil"/>
                  </w:tcBorders>
                  <w:noWrap w:val="0"/>
                  <w:vAlign w:val="center"/>
                </w:tcPr>
                <w:p w14:paraId="448E3F59">
                  <w:pPr>
                    <w:keepNext w:val="0"/>
                    <w:keepLines w:val="0"/>
                    <w:suppressLineNumbers w:val="0"/>
                    <w:adjustRightInd w:val="0"/>
                    <w:snapToGrid w:val="0"/>
                    <w:spacing w:before="0" w:beforeAutospacing="0" w:after="0" w:afterAutospacing="0" w:line="240" w:lineRule="auto"/>
                    <w:ind w:left="0" w:right="0"/>
                    <w:jc w:val="center"/>
                    <w:rPr>
                      <w:rFonts w:hint="eastAsia" w:eastAsia="仿宋" w:cs="Times New Roman"/>
                      <w:color w:val="auto"/>
                      <w:szCs w:val="21"/>
                      <w:lang w:val="en-US" w:eastAsia="zh-CN"/>
                    </w:rPr>
                  </w:pPr>
                </w:p>
              </w:tc>
              <w:tc>
                <w:tcPr>
                  <w:tcW w:w="773" w:type="pct"/>
                  <w:tcBorders>
                    <w:tl2br w:val="nil"/>
                    <w:tr2bl w:val="nil"/>
                  </w:tcBorders>
                  <w:noWrap w:val="0"/>
                  <w:vAlign w:val="center"/>
                </w:tcPr>
                <w:p w14:paraId="4D67C211">
                  <w:pPr>
                    <w:keepNext w:val="0"/>
                    <w:keepLines w:val="0"/>
                    <w:suppressLineNumbers w:val="0"/>
                    <w:adjustRightInd w:val="0"/>
                    <w:snapToGrid w:val="0"/>
                    <w:spacing w:before="0" w:beforeAutospacing="0" w:after="0" w:afterAutospacing="0" w:line="240" w:lineRule="auto"/>
                    <w:ind w:left="0" w:right="0"/>
                    <w:jc w:val="center"/>
                    <w:rPr>
                      <w:rFonts w:hint="default" w:eastAsia="仿宋" w:cs="Times New Roman"/>
                      <w:color w:val="auto"/>
                      <w:szCs w:val="21"/>
                      <w:lang w:val="en-US" w:eastAsia="zh-CN"/>
                    </w:rPr>
                  </w:pPr>
                  <w:r>
                    <w:rPr>
                      <w:rFonts w:hint="eastAsia" w:eastAsia="仿宋" w:cs="Times New Roman"/>
                      <w:color w:val="auto"/>
                      <w:szCs w:val="21"/>
                      <w:lang w:val="en-US" w:eastAsia="zh-CN"/>
                    </w:rPr>
                    <w:t>二硫化碳</w:t>
                  </w:r>
                </w:p>
              </w:tc>
              <w:tc>
                <w:tcPr>
                  <w:tcW w:w="2131" w:type="dxa"/>
                  <w:tcBorders>
                    <w:tl2br w:val="nil"/>
                    <w:tr2bl w:val="nil"/>
                  </w:tcBorders>
                  <w:shd w:val="clear" w:color="auto" w:fill="auto"/>
                  <w:noWrap w:val="0"/>
                  <w:vAlign w:val="center"/>
                </w:tcPr>
                <w:p w14:paraId="67CD8D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0.013</w:t>
                  </w:r>
                </w:p>
              </w:tc>
              <w:tc>
                <w:tcPr>
                  <w:tcW w:w="1950" w:type="pct"/>
                  <w:tcBorders>
                    <w:tl2br w:val="nil"/>
                    <w:tr2bl w:val="nil"/>
                  </w:tcBorders>
                  <w:noWrap w:val="0"/>
                  <w:vAlign w:val="center"/>
                </w:tcPr>
                <w:p w14:paraId="5184B2FA">
                  <w:pPr>
                    <w:keepNext w:val="0"/>
                    <w:keepLines w:val="0"/>
                    <w:suppressLineNumbers w:val="0"/>
                    <w:adjustRightInd w:val="0"/>
                    <w:snapToGrid w:val="0"/>
                    <w:spacing w:before="0" w:beforeAutospacing="0" w:after="0" w:afterAutospacing="0" w:line="240" w:lineRule="auto"/>
                    <w:ind w:left="0" w:right="0"/>
                    <w:jc w:val="center"/>
                    <w:rPr>
                      <w:rFonts w:hint="default" w:eastAsia="仿宋" w:cs="Times New Roman"/>
                      <w:color w:val="auto"/>
                      <w:szCs w:val="21"/>
                      <w:lang w:val="en-US" w:eastAsia="zh-CN"/>
                    </w:rPr>
                  </w:pPr>
                  <w:r>
                    <w:rPr>
                      <w:rFonts w:hint="eastAsia" w:eastAsia="仿宋" w:cs="Times New Roman"/>
                      <w:color w:val="auto"/>
                      <w:szCs w:val="21"/>
                      <w:lang w:val="en-US" w:eastAsia="zh-CN"/>
                    </w:rPr>
                    <w:t>0.04</w:t>
                  </w:r>
                </w:p>
              </w:tc>
              <w:tc>
                <w:tcPr>
                  <w:tcW w:w="602" w:type="pct"/>
                  <w:tcBorders>
                    <w:tl2br w:val="nil"/>
                    <w:tr2bl w:val="nil"/>
                  </w:tcBorders>
                  <w:noWrap w:val="0"/>
                  <w:vAlign w:val="center"/>
                </w:tcPr>
                <w:p w14:paraId="108FC81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0.325</w:t>
                  </w:r>
                </w:p>
              </w:tc>
            </w:tr>
          </w:tbl>
          <w:p w14:paraId="40312C33">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由上表计算结果可知</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本项目</w:t>
            </w:r>
            <w:r>
              <w:rPr>
                <w:rFonts w:hint="eastAsia" w:cs="Times New Roman"/>
                <w:color w:val="auto"/>
                <w:lang w:val="en-US" w:eastAsia="zh-CN"/>
              </w:rPr>
              <w:t>生产</w:t>
            </w:r>
            <w:r>
              <w:rPr>
                <w:rFonts w:hint="eastAsia" w:ascii="Times New Roman" w:hAnsi="Times New Roman" w:eastAsia="宋体" w:cs="Times New Roman"/>
                <w:color w:val="auto"/>
                <w:lang w:val="en-US" w:eastAsia="zh-CN"/>
              </w:rPr>
              <w:t>车间</w:t>
            </w:r>
            <w:r>
              <w:rPr>
                <w:rFonts w:hint="default" w:ascii="Times New Roman" w:hAnsi="Times New Roman" w:eastAsia="宋体" w:cs="Times New Roman"/>
                <w:color w:val="auto"/>
              </w:rPr>
              <w:t>排放的</w:t>
            </w:r>
            <w:r>
              <w:rPr>
                <w:rFonts w:hint="eastAsia" w:ascii="Times New Roman" w:hAnsi="Times New Roman" w:eastAsia="宋体" w:cs="Times New Roman"/>
                <w:color w:val="auto"/>
                <w:lang w:val="en-US" w:eastAsia="zh-CN"/>
              </w:rPr>
              <w:t>多种污染物</w:t>
            </w:r>
            <w:r>
              <w:rPr>
                <w:rFonts w:hint="default" w:ascii="Times New Roman" w:hAnsi="Times New Roman" w:eastAsia="宋体" w:cs="Times New Roman"/>
                <w:color w:val="auto"/>
              </w:rPr>
              <w:t>等标排放相差不在10%内，因此选择等标排放量最大的污染物作为本项目无组织排放的主要特征大气有害物质。</w:t>
            </w:r>
            <w:r>
              <w:rPr>
                <w:rFonts w:hint="default" w:ascii="Times New Roman" w:hAnsi="Times New Roman" w:eastAsia="宋体" w:cs="Times New Roman"/>
                <w:color w:val="auto"/>
                <w:lang w:val="en-US" w:eastAsia="zh-CN"/>
              </w:rPr>
              <w:t>本项目</w:t>
            </w:r>
            <w:r>
              <w:rPr>
                <w:rFonts w:hint="eastAsia" w:cs="Times New Roman"/>
                <w:color w:val="auto"/>
                <w:lang w:val="en-US" w:eastAsia="zh-CN"/>
              </w:rPr>
              <w:t>生产</w:t>
            </w:r>
            <w:r>
              <w:rPr>
                <w:rFonts w:hint="eastAsia" w:ascii="Times New Roman" w:hAnsi="Times New Roman" w:eastAsia="宋体" w:cs="Times New Roman"/>
                <w:color w:val="auto"/>
                <w:lang w:val="en-US" w:eastAsia="zh-CN"/>
              </w:rPr>
              <w:t>车间</w:t>
            </w:r>
            <w:r>
              <w:rPr>
                <w:rFonts w:hint="default" w:ascii="Times New Roman" w:hAnsi="Times New Roman" w:eastAsia="宋体" w:cs="Times New Roman"/>
                <w:color w:val="auto"/>
                <w:lang w:val="en-US" w:eastAsia="zh-CN"/>
              </w:rPr>
              <w:t>主要</w:t>
            </w:r>
            <w:r>
              <w:rPr>
                <w:rFonts w:hint="default" w:ascii="Times New Roman" w:hAnsi="Times New Roman" w:eastAsia="宋体" w:cs="Times New Roman"/>
                <w:color w:val="auto"/>
              </w:rPr>
              <w:t>特征大气有害物质</w:t>
            </w:r>
            <w:r>
              <w:rPr>
                <w:rFonts w:hint="default" w:ascii="Times New Roman" w:hAnsi="Times New Roman" w:eastAsia="宋体" w:cs="Times New Roman"/>
                <w:color w:val="auto"/>
                <w:lang w:val="en-US" w:eastAsia="zh-CN"/>
              </w:rPr>
              <w:t>为</w:t>
            </w:r>
            <w:r>
              <w:rPr>
                <w:rFonts w:hint="eastAsia" w:cs="Times New Roman"/>
                <w:color w:val="auto"/>
                <w:lang w:val="en-US" w:eastAsia="zh-CN"/>
              </w:rPr>
              <w:t>二硫化碳</w:t>
            </w:r>
            <w:r>
              <w:rPr>
                <w:rFonts w:hint="default" w:ascii="Times New Roman" w:hAnsi="Times New Roman" w:eastAsia="宋体" w:cs="Times New Roman"/>
                <w:color w:val="auto"/>
                <w:lang w:val="en-US" w:eastAsia="zh-CN"/>
              </w:rPr>
              <w:t>，本报告主要以</w:t>
            </w:r>
            <w:r>
              <w:rPr>
                <w:rFonts w:hint="eastAsia" w:cs="Times New Roman"/>
                <w:color w:val="auto"/>
                <w:lang w:val="en-US" w:eastAsia="zh-CN"/>
              </w:rPr>
              <w:t>二硫化碳</w:t>
            </w:r>
            <w:r>
              <w:rPr>
                <w:rFonts w:hint="default" w:ascii="Times New Roman" w:hAnsi="Times New Roman" w:eastAsia="宋体" w:cs="Times New Roman"/>
                <w:color w:val="auto"/>
                <w:lang w:val="en-US" w:eastAsia="zh-CN"/>
              </w:rPr>
              <w:t>为主要污染物设置</w:t>
            </w:r>
            <w:r>
              <w:rPr>
                <w:rFonts w:hint="eastAsia" w:ascii="Times New Roman" w:hAnsi="Times New Roman" w:eastAsia="宋体" w:cs="Times New Roman"/>
                <w:color w:val="auto"/>
                <w:lang w:val="en-US" w:eastAsia="zh-CN"/>
              </w:rPr>
              <w:t>生产车间</w:t>
            </w:r>
            <w:r>
              <w:rPr>
                <w:rFonts w:hint="default" w:ascii="Times New Roman" w:hAnsi="Times New Roman" w:eastAsia="宋体" w:cs="Times New Roman"/>
                <w:color w:val="auto"/>
                <w:lang w:val="en-US" w:eastAsia="zh-CN"/>
              </w:rPr>
              <w:t>卫生防护距离。</w:t>
            </w:r>
          </w:p>
          <w:p w14:paraId="702981E0">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本项目卫生防护距离计算结果见下表</w:t>
            </w:r>
            <w:r>
              <w:rPr>
                <w:rFonts w:hint="eastAsia" w:ascii="Times New Roman" w:hAnsi="Times New Roman" w:eastAsia="宋体" w:cs="Times New Roman"/>
                <w:color w:val="auto"/>
                <w:lang w:eastAsia="zh-CN"/>
              </w:rPr>
              <w:t>：</w:t>
            </w:r>
          </w:p>
          <w:p w14:paraId="47D6E8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rPr>
            </w:pPr>
            <w:r>
              <w:rPr>
                <w:rFonts w:hint="default" w:ascii="Times New Roman" w:hAnsi="Times New Roman" w:cs="Times New Roman"/>
                <w:b/>
                <w:bCs/>
                <w:color w:val="auto"/>
              </w:rPr>
              <w:t>表4</w:t>
            </w:r>
            <w:r>
              <w:rPr>
                <w:rFonts w:hint="eastAsia" w:ascii="Times New Roman" w:hAnsi="Times New Roman" w:cs="Times New Roman"/>
                <w:b/>
                <w:bCs/>
                <w:color w:val="auto"/>
                <w:lang w:val="en-US" w:eastAsia="zh-CN"/>
              </w:rPr>
              <w:t>-1</w:t>
            </w:r>
            <w:r>
              <w:rPr>
                <w:rFonts w:hint="eastAsia" w:cs="Times New Roman"/>
                <w:b/>
                <w:bCs/>
                <w:color w:val="auto"/>
                <w:lang w:val="en-US" w:eastAsia="zh-CN"/>
              </w:rPr>
              <w:t>3</w:t>
            </w:r>
            <w:r>
              <w:rPr>
                <w:rFonts w:hint="default" w:ascii="Times New Roman" w:hAnsi="Times New Roman" w:cs="Times New Roman"/>
                <w:b/>
                <w:bCs/>
                <w:color w:val="auto"/>
              </w:rPr>
              <w:t xml:space="preserve">  卫生防护距离计算结果表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989"/>
              <w:gridCol w:w="767"/>
              <w:gridCol w:w="583"/>
              <w:gridCol w:w="823"/>
              <w:gridCol w:w="663"/>
              <w:gridCol w:w="737"/>
              <w:gridCol w:w="1049"/>
              <w:gridCol w:w="870"/>
              <w:gridCol w:w="811"/>
              <w:gridCol w:w="995"/>
            </w:tblGrid>
            <w:tr w14:paraId="33080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noWrap w:val="0"/>
                  <w:vAlign w:val="center"/>
                </w:tcPr>
                <w:p w14:paraId="797C8FD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面源</w:t>
                  </w:r>
                </w:p>
                <w:p w14:paraId="41C7BA6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名称</w:t>
                  </w:r>
                </w:p>
              </w:tc>
              <w:tc>
                <w:tcPr>
                  <w:tcW w:w="548" w:type="pct"/>
                  <w:noWrap w:val="0"/>
                  <w:vAlign w:val="center"/>
                </w:tcPr>
                <w:p w14:paraId="62364C0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污染物名称</w:t>
                  </w:r>
                </w:p>
              </w:tc>
              <w:tc>
                <w:tcPr>
                  <w:tcW w:w="425" w:type="pct"/>
                  <w:noWrap w:val="0"/>
                  <w:vAlign w:val="center"/>
                </w:tcPr>
                <w:p w14:paraId="5769EE4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平均风速(m/s)</w:t>
                  </w:r>
                </w:p>
              </w:tc>
              <w:tc>
                <w:tcPr>
                  <w:tcW w:w="323" w:type="pct"/>
                  <w:noWrap w:val="0"/>
                  <w:vAlign w:val="center"/>
                </w:tcPr>
                <w:p w14:paraId="7AE93AE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A</w:t>
                  </w:r>
                </w:p>
              </w:tc>
              <w:tc>
                <w:tcPr>
                  <w:tcW w:w="456" w:type="pct"/>
                  <w:noWrap w:val="0"/>
                  <w:vAlign w:val="center"/>
                </w:tcPr>
                <w:p w14:paraId="23B1B27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B</w:t>
                  </w:r>
                </w:p>
              </w:tc>
              <w:tc>
                <w:tcPr>
                  <w:tcW w:w="367" w:type="pct"/>
                  <w:noWrap w:val="0"/>
                  <w:vAlign w:val="center"/>
                </w:tcPr>
                <w:p w14:paraId="74365D6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w:t>
                  </w:r>
                </w:p>
              </w:tc>
              <w:tc>
                <w:tcPr>
                  <w:tcW w:w="408" w:type="pct"/>
                  <w:noWrap w:val="0"/>
                  <w:vAlign w:val="center"/>
                </w:tcPr>
                <w:p w14:paraId="440239A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D</w:t>
                  </w:r>
                </w:p>
              </w:tc>
              <w:tc>
                <w:tcPr>
                  <w:tcW w:w="581" w:type="pct"/>
                  <w:noWrap w:val="0"/>
                  <w:vAlign w:val="center"/>
                </w:tcPr>
                <w:p w14:paraId="2DB01CF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w:t>
                  </w:r>
                  <w:r>
                    <w:rPr>
                      <w:rFonts w:hint="default" w:ascii="Times New Roman" w:hAnsi="Times New Roman" w:eastAsia="仿宋" w:cs="Times New Roman"/>
                      <w:color w:val="auto"/>
                      <w:szCs w:val="21"/>
                      <w:vertAlign w:val="subscript"/>
                    </w:rPr>
                    <w:t>m</w:t>
                  </w:r>
                </w:p>
                <w:p w14:paraId="378DF53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482" w:type="pct"/>
                  <w:noWrap w:val="0"/>
                  <w:vAlign w:val="center"/>
                </w:tcPr>
                <w:p w14:paraId="4C9DBF4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Qc</w:t>
                  </w:r>
                </w:p>
                <w:p w14:paraId="0DC59E7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(kg/h)</w:t>
                  </w:r>
                </w:p>
              </w:tc>
              <w:tc>
                <w:tcPr>
                  <w:tcW w:w="449" w:type="pct"/>
                  <w:noWrap w:val="0"/>
                  <w:vAlign w:val="center"/>
                </w:tcPr>
                <w:p w14:paraId="1C7CD22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L(m)</w:t>
                  </w:r>
                </w:p>
              </w:tc>
              <w:tc>
                <w:tcPr>
                  <w:tcW w:w="551" w:type="pct"/>
                  <w:noWrap w:val="0"/>
                  <w:vAlign w:val="center"/>
                </w:tcPr>
                <w:p w14:paraId="783EFB8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卫生防护距离（m）</w:t>
                  </w:r>
                </w:p>
              </w:tc>
            </w:tr>
            <w:tr w14:paraId="75EDC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noWrap w:val="0"/>
                  <w:vAlign w:val="center"/>
                </w:tcPr>
                <w:p w14:paraId="5E660B16">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生产</w:t>
                  </w:r>
                  <w:r>
                    <w:rPr>
                      <w:rFonts w:hint="default" w:ascii="Times New Roman" w:hAnsi="Times New Roman" w:eastAsia="仿宋" w:cs="Times New Roman"/>
                      <w:color w:val="auto"/>
                      <w:szCs w:val="21"/>
                    </w:rPr>
                    <w:t>车间</w:t>
                  </w:r>
                </w:p>
              </w:tc>
              <w:tc>
                <w:tcPr>
                  <w:tcW w:w="548" w:type="pct"/>
                  <w:shd w:val="clear" w:color="auto" w:fill="auto"/>
                  <w:noWrap w:val="0"/>
                  <w:vAlign w:val="center"/>
                </w:tcPr>
                <w:p w14:paraId="7F2D468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二硫化碳</w:t>
                  </w:r>
                </w:p>
              </w:tc>
              <w:tc>
                <w:tcPr>
                  <w:tcW w:w="425" w:type="pct"/>
                  <w:shd w:val="clear" w:color="auto" w:fill="auto"/>
                  <w:noWrap w:val="0"/>
                  <w:vAlign w:val="center"/>
                </w:tcPr>
                <w:p w14:paraId="32BF9B1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2.6</w:t>
                  </w:r>
                </w:p>
              </w:tc>
              <w:tc>
                <w:tcPr>
                  <w:tcW w:w="323" w:type="pct"/>
                  <w:shd w:val="clear" w:color="auto" w:fill="auto"/>
                  <w:noWrap w:val="0"/>
                  <w:vAlign w:val="center"/>
                </w:tcPr>
                <w:p w14:paraId="40870D1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470</w:t>
                  </w:r>
                </w:p>
              </w:tc>
              <w:tc>
                <w:tcPr>
                  <w:tcW w:w="456" w:type="pct"/>
                  <w:shd w:val="clear" w:color="auto" w:fill="auto"/>
                  <w:noWrap w:val="0"/>
                  <w:vAlign w:val="center"/>
                </w:tcPr>
                <w:p w14:paraId="4265309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0.021</w:t>
                  </w:r>
                </w:p>
              </w:tc>
              <w:tc>
                <w:tcPr>
                  <w:tcW w:w="367" w:type="pct"/>
                  <w:shd w:val="clear" w:color="auto" w:fill="auto"/>
                  <w:noWrap w:val="0"/>
                  <w:vAlign w:val="center"/>
                </w:tcPr>
                <w:p w14:paraId="48CD5FF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1.85</w:t>
                  </w:r>
                </w:p>
              </w:tc>
              <w:tc>
                <w:tcPr>
                  <w:tcW w:w="408" w:type="pct"/>
                  <w:shd w:val="clear" w:color="auto" w:fill="auto"/>
                  <w:noWrap w:val="0"/>
                  <w:vAlign w:val="center"/>
                </w:tcPr>
                <w:p w14:paraId="7CA8986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0.84</w:t>
                  </w:r>
                </w:p>
              </w:tc>
              <w:tc>
                <w:tcPr>
                  <w:tcW w:w="581" w:type="pct"/>
                  <w:shd w:val="clear" w:color="auto" w:fill="auto"/>
                  <w:noWrap w:val="0"/>
                  <w:vAlign w:val="center"/>
                </w:tcPr>
                <w:p w14:paraId="740ED2B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0.04</w:t>
                  </w:r>
                </w:p>
              </w:tc>
              <w:tc>
                <w:tcPr>
                  <w:tcW w:w="482" w:type="pct"/>
                  <w:shd w:val="clear" w:color="auto" w:fill="auto"/>
                  <w:noWrap w:val="0"/>
                  <w:vAlign w:val="center"/>
                </w:tcPr>
                <w:p w14:paraId="7E8289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0.013</w:t>
                  </w:r>
                </w:p>
              </w:tc>
              <w:tc>
                <w:tcPr>
                  <w:tcW w:w="449" w:type="pct"/>
                  <w:shd w:val="clear" w:color="auto" w:fill="auto"/>
                  <w:noWrap w:val="0"/>
                  <w:vAlign w:val="center"/>
                </w:tcPr>
                <w:p w14:paraId="47F3275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15.493</w:t>
                  </w:r>
                </w:p>
              </w:tc>
              <w:tc>
                <w:tcPr>
                  <w:tcW w:w="551" w:type="pct"/>
                  <w:noWrap w:val="0"/>
                  <w:vAlign w:val="center"/>
                </w:tcPr>
                <w:p w14:paraId="5BD7565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50</w:t>
                  </w:r>
                </w:p>
              </w:tc>
            </w:tr>
          </w:tbl>
          <w:p w14:paraId="7E2EF9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根据卫生防护距离的制定原则，</w:t>
            </w:r>
            <w:r>
              <w:rPr>
                <w:rFonts w:hint="eastAsia" w:ascii="Times New Roman" w:hAnsi="Times New Roman" w:cs="Times New Roman"/>
                <w:color w:val="auto"/>
                <w:lang w:val="en-US" w:eastAsia="zh-CN"/>
              </w:rPr>
              <w:t>项目建成后全厂</w:t>
            </w:r>
            <w:r>
              <w:rPr>
                <w:rFonts w:hint="default" w:ascii="Times New Roman" w:hAnsi="Times New Roman" w:cs="Times New Roman"/>
                <w:color w:val="auto"/>
                <w:lang w:val="en-US" w:eastAsia="zh-CN"/>
              </w:rPr>
              <w:t>确定以</w:t>
            </w:r>
            <w:r>
              <w:rPr>
                <w:rFonts w:hint="eastAsia" w:cs="Times New Roman"/>
                <w:color w:val="auto"/>
                <w:lang w:val="en-US" w:eastAsia="zh-CN"/>
              </w:rPr>
              <w:t>生产车间</w:t>
            </w:r>
            <w:r>
              <w:rPr>
                <w:rFonts w:hint="default" w:ascii="Times New Roman" w:hAnsi="Times New Roman" w:cs="Times New Roman"/>
                <w:color w:val="auto"/>
                <w:lang w:val="en-US" w:eastAsia="zh-CN"/>
              </w:rPr>
              <w:t>为边界外扩</w:t>
            </w:r>
            <w:r>
              <w:rPr>
                <w:rFonts w:hint="eastAsia" w:cs="Times New Roman"/>
                <w:color w:val="auto"/>
                <w:lang w:val="en-US" w:eastAsia="zh-CN"/>
              </w:rPr>
              <w:t>50</w:t>
            </w:r>
            <w:r>
              <w:rPr>
                <w:rFonts w:hint="default" w:ascii="Times New Roman" w:hAnsi="Times New Roman" w:cs="Times New Roman"/>
                <w:color w:val="auto"/>
                <w:lang w:val="en-US" w:eastAsia="zh-CN"/>
              </w:rPr>
              <w:t>米设置为卫生防护距离。经调查，本项目卫生防护距离内无环境敏感点，符合卫生防护距离要求。</w:t>
            </w:r>
          </w:p>
          <w:p w14:paraId="2B78BA08">
            <w:pPr>
              <w:pStyle w:val="8"/>
              <w:keepNext w:val="0"/>
              <w:keepLines w:val="0"/>
              <w:suppressLineNumbers w:val="0"/>
              <w:spacing w:beforeAutospacing="0" w:afterAutospacing="0"/>
              <w:ind w:left="0"/>
              <w:rPr>
                <w:rFonts w:hint="default"/>
                <w:lang w:val="en-US" w:eastAsia="zh-CN"/>
              </w:rPr>
            </w:pPr>
          </w:p>
          <w:p w14:paraId="4BCBB1DC">
            <w:pPr>
              <w:keepNext w:val="0"/>
              <w:keepLines w:val="0"/>
              <w:pageBreakBefore w:val="0"/>
              <w:widowControl w:val="0"/>
              <w:numPr>
                <w:ilvl w:val="0"/>
                <w:numId w:val="1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监测要求</w:t>
            </w:r>
          </w:p>
          <w:p w14:paraId="0BE93A1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kern w:val="0"/>
                <w:sz w:val="21"/>
                <w:szCs w:val="21"/>
                <w:lang w:val="en-US" w:eastAsia="zh-CN" w:bidi="ar-SA"/>
              </w:rPr>
              <w:t>根据《排污许可证申请与核发技术规范 铁路、船舶、航空航天和其他运输设备制造业》（HJ 1124-2020）、《排污单位自行监测技术指南 橡胶和塑料制品》（HJ1207-2021）的相关要求，</w:t>
            </w:r>
            <w:r>
              <w:rPr>
                <w:rFonts w:hint="default" w:ascii="Times New Roman" w:hAnsi="Times New Roman" w:cs="Times New Roman"/>
                <w:color w:val="auto"/>
                <w:lang w:val="en-US" w:eastAsia="zh-CN"/>
              </w:rPr>
              <w:t>具体监测计划见表4-</w:t>
            </w:r>
            <w:r>
              <w:rPr>
                <w:rFonts w:hint="eastAsia" w:cs="Times New Roman"/>
                <w:color w:val="auto"/>
                <w:lang w:val="en-US" w:eastAsia="zh-CN"/>
              </w:rPr>
              <w:t>14</w:t>
            </w:r>
            <w:r>
              <w:rPr>
                <w:rFonts w:hint="default" w:ascii="Times New Roman" w:hAnsi="Times New Roman" w:cs="Times New Roman"/>
                <w:color w:val="auto"/>
                <w:lang w:val="en-US" w:eastAsia="zh-CN"/>
              </w:rPr>
              <w:t>和表4-</w:t>
            </w:r>
            <w:r>
              <w:rPr>
                <w:rFonts w:hint="eastAsia" w:ascii="Times New Roman" w:hAnsi="Times New Roman" w:cs="Times New Roman"/>
                <w:color w:val="auto"/>
                <w:lang w:val="en-US" w:eastAsia="zh-CN"/>
              </w:rPr>
              <w:t>1</w:t>
            </w:r>
            <w:r>
              <w:rPr>
                <w:rFonts w:hint="eastAsia" w:cs="Times New Roman"/>
                <w:color w:val="auto"/>
                <w:lang w:val="en-US" w:eastAsia="zh-CN"/>
              </w:rPr>
              <w:t>5</w:t>
            </w:r>
            <w:r>
              <w:rPr>
                <w:rFonts w:hint="default" w:ascii="Times New Roman" w:hAnsi="Times New Roman" w:cs="Times New Roman"/>
                <w:color w:val="auto"/>
                <w:lang w:val="en-US" w:eastAsia="zh-CN"/>
              </w:rPr>
              <w:t>。</w:t>
            </w:r>
          </w:p>
          <w:p w14:paraId="0DBC1D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cs="Times New Roman"/>
                <w:b/>
                <w:bCs/>
                <w:color w:val="auto"/>
                <w:lang w:val="en-US" w:eastAsia="zh-CN"/>
              </w:rPr>
              <w:t>14</w:t>
            </w:r>
            <w:r>
              <w:rPr>
                <w:rFonts w:hint="default" w:ascii="Times New Roman" w:hAnsi="Times New Roman" w:cs="Times New Roman"/>
                <w:b/>
                <w:bCs/>
                <w:color w:val="auto"/>
              </w:rPr>
              <w:t xml:space="preserve">  有组织废气监测方案</w:t>
            </w:r>
          </w:p>
          <w:tbl>
            <w:tblPr>
              <w:tblStyle w:val="27"/>
              <w:tblW w:w="90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452"/>
              <w:gridCol w:w="1851"/>
              <w:gridCol w:w="4649"/>
            </w:tblGrid>
            <w:tr w14:paraId="0DA22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6" w:type="dxa"/>
                  <w:noWrap w:val="0"/>
                  <w:vAlign w:val="center"/>
                </w:tcPr>
                <w:p w14:paraId="42089949">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监测点位</w:t>
                  </w:r>
                </w:p>
              </w:tc>
              <w:tc>
                <w:tcPr>
                  <w:tcW w:w="1452" w:type="dxa"/>
                  <w:noWrap w:val="0"/>
                  <w:vAlign w:val="center"/>
                </w:tcPr>
                <w:p w14:paraId="281C884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监测指标</w:t>
                  </w:r>
                </w:p>
              </w:tc>
              <w:tc>
                <w:tcPr>
                  <w:tcW w:w="1851" w:type="dxa"/>
                  <w:noWrap w:val="0"/>
                  <w:vAlign w:val="center"/>
                </w:tcPr>
                <w:p w14:paraId="0E2035A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监测频次</w:t>
                  </w:r>
                </w:p>
              </w:tc>
              <w:tc>
                <w:tcPr>
                  <w:tcW w:w="4649" w:type="dxa"/>
                  <w:noWrap w:val="0"/>
                  <w:vAlign w:val="center"/>
                </w:tcPr>
                <w:p w14:paraId="07C863A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执行排放标准</w:t>
                  </w:r>
                </w:p>
              </w:tc>
            </w:tr>
            <w:tr w14:paraId="1E081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6" w:type="dxa"/>
                  <w:noWrap w:val="0"/>
                  <w:vAlign w:val="center"/>
                </w:tcPr>
                <w:p w14:paraId="4435D1BE">
                  <w:pPr>
                    <w:keepNext w:val="0"/>
                    <w:keepLines w:val="0"/>
                    <w:suppressLineNumbers w:val="0"/>
                    <w:spacing w:before="0" w:beforeAutospacing="0" w:after="0" w:afterAutospacing="0"/>
                    <w:ind w:left="0" w:right="0"/>
                    <w:jc w:val="center"/>
                    <w:rPr>
                      <w:rFonts w:hint="default" w:eastAsia="仿宋" w:cs="Times New Roman"/>
                      <w:color w:val="auto"/>
                      <w:szCs w:val="21"/>
                      <w:lang w:val="en-US" w:eastAsia="zh-CN"/>
                    </w:rPr>
                  </w:pPr>
                  <w:r>
                    <w:rPr>
                      <w:rFonts w:hint="eastAsia" w:eastAsia="仿宋" w:cs="Times New Roman"/>
                      <w:color w:val="auto"/>
                      <w:szCs w:val="21"/>
                      <w:lang w:val="en-US" w:eastAsia="zh-CN"/>
                    </w:rPr>
                    <w:t>DA001排气筒</w:t>
                  </w:r>
                </w:p>
              </w:tc>
              <w:tc>
                <w:tcPr>
                  <w:tcW w:w="1452" w:type="dxa"/>
                  <w:noWrap w:val="0"/>
                  <w:vAlign w:val="center"/>
                </w:tcPr>
                <w:p w14:paraId="2557BBD4">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颗粒物</w:t>
                  </w:r>
                </w:p>
              </w:tc>
              <w:tc>
                <w:tcPr>
                  <w:tcW w:w="1851" w:type="dxa"/>
                  <w:noWrap w:val="0"/>
                  <w:vAlign w:val="center"/>
                </w:tcPr>
                <w:p w14:paraId="2617326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rPr>
                    <w:t>1次/年</w:t>
                  </w:r>
                </w:p>
              </w:tc>
              <w:tc>
                <w:tcPr>
                  <w:tcW w:w="4649" w:type="dxa"/>
                  <w:noWrap w:val="0"/>
                  <w:vAlign w:val="center"/>
                </w:tcPr>
                <w:p w14:paraId="6D7C2D6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《大气污染物综合排放标准》（DB32/4041-2021）表</w:t>
                  </w:r>
                  <w:r>
                    <w:rPr>
                      <w:rFonts w:hint="eastAsia" w:ascii="Times New Roman" w:hAnsi="Times New Roman" w:eastAsia="仿宋" w:cs="Times New Roman"/>
                      <w:color w:val="auto"/>
                      <w:szCs w:val="21"/>
                      <w:lang w:val="en-US" w:eastAsia="zh-CN"/>
                    </w:rPr>
                    <w:t>1</w:t>
                  </w:r>
                  <w:r>
                    <w:rPr>
                      <w:rFonts w:hint="default" w:ascii="Times New Roman" w:hAnsi="Times New Roman" w:eastAsia="仿宋" w:cs="Times New Roman"/>
                      <w:color w:val="auto"/>
                      <w:szCs w:val="21"/>
                      <w:lang w:val="en-US" w:eastAsia="zh-CN"/>
                    </w:rPr>
                    <w:t>限值</w:t>
                  </w:r>
                </w:p>
              </w:tc>
            </w:tr>
            <w:tr w14:paraId="29B79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6" w:type="dxa"/>
                  <w:vMerge w:val="restart"/>
                  <w:noWrap w:val="0"/>
                  <w:vAlign w:val="center"/>
                </w:tcPr>
                <w:p w14:paraId="6C645770">
                  <w:pPr>
                    <w:keepNext w:val="0"/>
                    <w:keepLines w:val="0"/>
                    <w:suppressLineNumbers w:val="0"/>
                    <w:spacing w:before="0" w:beforeAutospacing="0" w:after="0" w:afterAutospacing="0"/>
                    <w:ind w:left="0" w:right="0"/>
                    <w:jc w:val="center"/>
                    <w:rPr>
                      <w:rFonts w:hint="eastAsia" w:eastAsia="仿宋" w:cs="Times New Roman"/>
                      <w:color w:val="auto"/>
                      <w:szCs w:val="21"/>
                      <w:lang w:val="en-US" w:eastAsia="zh-CN"/>
                    </w:rPr>
                  </w:pPr>
                  <w:r>
                    <w:rPr>
                      <w:rFonts w:hint="eastAsia" w:eastAsia="仿宋" w:cs="Times New Roman"/>
                      <w:color w:val="auto"/>
                      <w:szCs w:val="21"/>
                      <w:lang w:val="en-US" w:eastAsia="zh-CN"/>
                    </w:rPr>
                    <w:t>DA002排气筒</w:t>
                  </w:r>
                </w:p>
              </w:tc>
              <w:tc>
                <w:tcPr>
                  <w:tcW w:w="1452" w:type="dxa"/>
                  <w:shd w:val="clear" w:color="auto" w:fill="auto"/>
                  <w:noWrap w:val="0"/>
                  <w:vAlign w:val="center"/>
                </w:tcPr>
                <w:p w14:paraId="53A1DD9A">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颗粒物</w:t>
                  </w:r>
                </w:p>
              </w:tc>
              <w:tc>
                <w:tcPr>
                  <w:tcW w:w="1851" w:type="dxa"/>
                  <w:noWrap w:val="0"/>
                  <w:vAlign w:val="center"/>
                </w:tcPr>
                <w:p w14:paraId="041934C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rPr>
                    <w:t>1次/年</w:t>
                  </w:r>
                </w:p>
              </w:tc>
              <w:tc>
                <w:tcPr>
                  <w:tcW w:w="4649" w:type="dxa"/>
                  <w:vMerge w:val="restart"/>
                  <w:noWrap w:val="0"/>
                  <w:vAlign w:val="center"/>
                </w:tcPr>
                <w:p w14:paraId="7EA6458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《橡胶制品工业污染物排放标准》（GB27632-2011）表</w:t>
                  </w:r>
                  <w:r>
                    <w:rPr>
                      <w:rFonts w:hint="eastAsia" w:eastAsia="仿宋" w:cs="Times New Roman"/>
                      <w:color w:val="auto"/>
                      <w:szCs w:val="21"/>
                      <w:lang w:val="en-US" w:eastAsia="zh-CN"/>
                    </w:rPr>
                    <w:t>5</w:t>
                  </w:r>
                  <w:r>
                    <w:rPr>
                      <w:rFonts w:hint="default" w:ascii="Times New Roman" w:hAnsi="Times New Roman" w:eastAsia="仿宋" w:cs="Times New Roman"/>
                      <w:color w:val="auto"/>
                      <w:szCs w:val="21"/>
                      <w:lang w:val="en-US" w:eastAsia="zh-CN"/>
                    </w:rPr>
                    <w:t>限值</w:t>
                  </w:r>
                </w:p>
              </w:tc>
            </w:tr>
            <w:tr w14:paraId="1A625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6" w:type="dxa"/>
                  <w:vMerge w:val="continue"/>
                  <w:noWrap w:val="0"/>
                  <w:vAlign w:val="center"/>
                </w:tcPr>
                <w:p w14:paraId="3D9B2D9B">
                  <w:pPr>
                    <w:keepNext w:val="0"/>
                    <w:keepLines w:val="0"/>
                    <w:suppressLineNumbers w:val="0"/>
                    <w:spacing w:before="0" w:beforeAutospacing="0" w:after="0" w:afterAutospacing="0"/>
                    <w:ind w:left="0" w:right="0"/>
                    <w:jc w:val="center"/>
                    <w:rPr>
                      <w:rFonts w:hint="default" w:eastAsia="仿宋" w:cs="Times New Roman"/>
                      <w:color w:val="auto"/>
                      <w:szCs w:val="21"/>
                      <w:lang w:val="en-US" w:eastAsia="zh-CN"/>
                    </w:rPr>
                  </w:pPr>
                </w:p>
              </w:tc>
              <w:tc>
                <w:tcPr>
                  <w:tcW w:w="1452" w:type="dxa"/>
                  <w:shd w:val="clear" w:color="auto" w:fill="auto"/>
                  <w:noWrap w:val="0"/>
                  <w:vAlign w:val="center"/>
                </w:tcPr>
                <w:p w14:paraId="40324A34">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非甲烷总烃</w:t>
                  </w:r>
                </w:p>
              </w:tc>
              <w:tc>
                <w:tcPr>
                  <w:tcW w:w="1851" w:type="dxa"/>
                  <w:noWrap w:val="0"/>
                  <w:vAlign w:val="center"/>
                </w:tcPr>
                <w:p w14:paraId="4B52DE5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rPr>
                    <w:t>1次/年</w:t>
                  </w:r>
                </w:p>
              </w:tc>
              <w:tc>
                <w:tcPr>
                  <w:tcW w:w="4649" w:type="dxa"/>
                  <w:vMerge w:val="continue"/>
                  <w:noWrap w:val="0"/>
                  <w:vAlign w:val="center"/>
                </w:tcPr>
                <w:p w14:paraId="579E0A8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szCs w:val="21"/>
                      <w:lang w:val="en-US"/>
                    </w:rPr>
                  </w:pPr>
                </w:p>
              </w:tc>
            </w:tr>
            <w:tr w14:paraId="1F2A6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6" w:type="dxa"/>
                  <w:vMerge w:val="continue"/>
                  <w:noWrap w:val="0"/>
                  <w:vAlign w:val="center"/>
                </w:tcPr>
                <w:p w14:paraId="4B78A01E">
                  <w:pPr>
                    <w:keepNext w:val="0"/>
                    <w:keepLines w:val="0"/>
                    <w:suppressLineNumbers w:val="0"/>
                    <w:spacing w:before="0" w:beforeAutospacing="0" w:after="0" w:afterAutospacing="0"/>
                    <w:ind w:left="0" w:right="0"/>
                    <w:jc w:val="center"/>
                    <w:rPr>
                      <w:rFonts w:hint="eastAsia" w:eastAsia="仿宋" w:cs="Times New Roman"/>
                      <w:color w:val="auto"/>
                      <w:szCs w:val="21"/>
                      <w:lang w:val="en-US" w:eastAsia="zh-CN"/>
                    </w:rPr>
                  </w:pPr>
                </w:p>
              </w:tc>
              <w:tc>
                <w:tcPr>
                  <w:tcW w:w="1452" w:type="dxa"/>
                  <w:shd w:val="clear" w:color="auto" w:fill="auto"/>
                  <w:noWrap w:val="0"/>
                  <w:vAlign w:val="center"/>
                </w:tcPr>
                <w:p w14:paraId="646BCD35">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硫化氢</w:t>
                  </w:r>
                </w:p>
              </w:tc>
              <w:tc>
                <w:tcPr>
                  <w:tcW w:w="1851" w:type="dxa"/>
                  <w:noWrap w:val="0"/>
                  <w:vAlign w:val="center"/>
                </w:tcPr>
                <w:p w14:paraId="717D3DB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rPr>
                    <w:t>1次/年</w:t>
                  </w:r>
                </w:p>
              </w:tc>
              <w:tc>
                <w:tcPr>
                  <w:tcW w:w="4649" w:type="dxa"/>
                  <w:vMerge w:val="restart"/>
                  <w:shd w:val="clear" w:color="auto" w:fill="auto"/>
                  <w:noWrap w:val="0"/>
                  <w:vAlign w:val="center"/>
                </w:tcPr>
                <w:p w14:paraId="3CB09F1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w:t>
                  </w:r>
                  <w:r>
                    <w:rPr>
                      <w:rFonts w:hint="default" w:ascii="Times New Roman" w:hAnsi="Times New Roman" w:eastAsia="仿宋" w:cs="Times New Roman"/>
                      <w:color w:val="auto"/>
                      <w:szCs w:val="21"/>
                      <w:lang w:val="en-US" w:eastAsia="zh-CN"/>
                    </w:rPr>
                    <w:t>恶臭污染物排放标准》（GB14554-93）表2二级标准中新改扩建标准</w:t>
                  </w:r>
                </w:p>
              </w:tc>
            </w:tr>
            <w:tr w14:paraId="0F544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6" w:type="dxa"/>
                  <w:vMerge w:val="continue"/>
                  <w:noWrap w:val="0"/>
                  <w:vAlign w:val="center"/>
                </w:tcPr>
                <w:p w14:paraId="783E98A4">
                  <w:pPr>
                    <w:keepNext w:val="0"/>
                    <w:keepLines w:val="0"/>
                    <w:suppressLineNumbers w:val="0"/>
                    <w:spacing w:before="0" w:beforeAutospacing="0" w:after="0" w:afterAutospacing="0"/>
                    <w:ind w:left="0" w:right="0"/>
                    <w:jc w:val="center"/>
                    <w:rPr>
                      <w:rFonts w:hint="eastAsia" w:eastAsia="仿宋" w:cs="Times New Roman"/>
                      <w:color w:val="auto"/>
                      <w:szCs w:val="21"/>
                      <w:lang w:val="en-US" w:eastAsia="zh-CN"/>
                    </w:rPr>
                  </w:pPr>
                </w:p>
              </w:tc>
              <w:tc>
                <w:tcPr>
                  <w:tcW w:w="1452" w:type="dxa"/>
                  <w:shd w:val="clear" w:color="auto" w:fill="auto"/>
                  <w:noWrap w:val="0"/>
                  <w:vAlign w:val="center"/>
                </w:tcPr>
                <w:p w14:paraId="49820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二硫化碳</w:t>
                  </w:r>
                </w:p>
              </w:tc>
              <w:tc>
                <w:tcPr>
                  <w:tcW w:w="1851" w:type="dxa"/>
                  <w:noWrap w:val="0"/>
                  <w:vAlign w:val="center"/>
                </w:tcPr>
                <w:p w14:paraId="0232BF3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rPr>
                    <w:t>1次/年</w:t>
                  </w:r>
                </w:p>
              </w:tc>
              <w:tc>
                <w:tcPr>
                  <w:tcW w:w="4649" w:type="dxa"/>
                  <w:vMerge w:val="continue"/>
                  <w:noWrap w:val="0"/>
                  <w:vAlign w:val="center"/>
                </w:tcPr>
                <w:p w14:paraId="7C435B86">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szCs w:val="21"/>
                      <w:lang w:val="en-US" w:eastAsia="zh-CN"/>
                    </w:rPr>
                  </w:pPr>
                </w:p>
              </w:tc>
            </w:tr>
            <w:tr w14:paraId="55C06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6" w:type="dxa"/>
                  <w:vMerge w:val="continue"/>
                  <w:noWrap w:val="0"/>
                  <w:vAlign w:val="center"/>
                </w:tcPr>
                <w:p w14:paraId="0FA0522D">
                  <w:pPr>
                    <w:keepNext w:val="0"/>
                    <w:keepLines w:val="0"/>
                    <w:suppressLineNumbers w:val="0"/>
                    <w:spacing w:before="0" w:beforeAutospacing="0" w:after="0" w:afterAutospacing="0"/>
                    <w:ind w:left="0" w:right="0"/>
                    <w:jc w:val="center"/>
                    <w:rPr>
                      <w:rFonts w:hint="eastAsia" w:eastAsia="仿宋" w:cs="Times New Roman"/>
                      <w:color w:val="auto"/>
                      <w:szCs w:val="21"/>
                      <w:lang w:val="en-US" w:eastAsia="zh-CN"/>
                    </w:rPr>
                  </w:pPr>
                </w:p>
              </w:tc>
              <w:tc>
                <w:tcPr>
                  <w:tcW w:w="1452" w:type="dxa"/>
                  <w:shd w:val="clear" w:color="auto" w:fill="auto"/>
                  <w:noWrap w:val="0"/>
                  <w:vAlign w:val="center"/>
                </w:tcPr>
                <w:p w14:paraId="3DB2097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臭气浓度</w:t>
                  </w:r>
                </w:p>
              </w:tc>
              <w:tc>
                <w:tcPr>
                  <w:tcW w:w="1851" w:type="dxa"/>
                  <w:noWrap w:val="0"/>
                  <w:vAlign w:val="center"/>
                </w:tcPr>
                <w:p w14:paraId="7DC7B23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1次/年</w:t>
                  </w:r>
                </w:p>
              </w:tc>
              <w:tc>
                <w:tcPr>
                  <w:tcW w:w="4649" w:type="dxa"/>
                  <w:vMerge w:val="continue"/>
                  <w:noWrap w:val="0"/>
                  <w:vAlign w:val="center"/>
                </w:tcPr>
                <w:p w14:paraId="673B223D">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szCs w:val="21"/>
                      <w:lang w:val="en-US" w:eastAsia="zh-CN"/>
                    </w:rPr>
                  </w:pPr>
                </w:p>
              </w:tc>
            </w:tr>
          </w:tbl>
          <w:p w14:paraId="19CABB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ascii="Times New Roman" w:hAnsi="Times New Roman" w:cs="Times New Roman"/>
                <w:b/>
                <w:bCs/>
                <w:color w:val="auto"/>
                <w:lang w:val="en-US" w:eastAsia="zh-CN"/>
              </w:rPr>
              <w:t>1</w:t>
            </w:r>
            <w:r>
              <w:rPr>
                <w:rFonts w:hint="eastAsia" w:cs="Times New Roman"/>
                <w:b/>
                <w:bCs/>
                <w:color w:val="auto"/>
                <w:lang w:val="en-US" w:eastAsia="zh-CN"/>
              </w:rPr>
              <w:t>5</w:t>
            </w:r>
            <w:r>
              <w:rPr>
                <w:rFonts w:hint="default" w:ascii="Times New Roman" w:hAnsi="Times New Roman" w:cs="Times New Roman"/>
                <w:b/>
                <w:bCs/>
                <w:color w:val="auto"/>
              </w:rPr>
              <w:t xml:space="preserve">  无组织废气监测方案</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621"/>
              <w:gridCol w:w="1360"/>
              <w:gridCol w:w="1115"/>
              <w:gridCol w:w="3903"/>
            </w:tblGrid>
            <w:tr w14:paraId="2DA6AE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 w:hRule="atLeast"/>
                <w:jc w:val="center"/>
              </w:trPr>
              <w:tc>
                <w:tcPr>
                  <w:tcW w:w="2621" w:type="dxa"/>
                  <w:noWrap w:val="0"/>
                  <w:vAlign w:val="center"/>
                </w:tcPr>
                <w:p w14:paraId="2672E404">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监测点位</w:t>
                  </w:r>
                </w:p>
              </w:tc>
              <w:tc>
                <w:tcPr>
                  <w:tcW w:w="1360" w:type="dxa"/>
                  <w:noWrap w:val="0"/>
                  <w:vAlign w:val="center"/>
                </w:tcPr>
                <w:p w14:paraId="2F3427F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监测指标</w:t>
                  </w:r>
                </w:p>
              </w:tc>
              <w:tc>
                <w:tcPr>
                  <w:tcW w:w="1115" w:type="dxa"/>
                  <w:noWrap w:val="0"/>
                  <w:vAlign w:val="center"/>
                </w:tcPr>
                <w:p w14:paraId="461EB11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监测频次</w:t>
                  </w:r>
                </w:p>
              </w:tc>
              <w:tc>
                <w:tcPr>
                  <w:tcW w:w="3903" w:type="dxa"/>
                  <w:noWrap w:val="0"/>
                  <w:vAlign w:val="center"/>
                </w:tcPr>
                <w:p w14:paraId="47A4E53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执行排放标准</w:t>
                  </w:r>
                </w:p>
              </w:tc>
            </w:tr>
            <w:tr w14:paraId="49089F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1" w:type="dxa"/>
                  <w:vMerge w:val="restart"/>
                  <w:noWrap w:val="0"/>
                  <w:vAlign w:val="center"/>
                </w:tcPr>
                <w:p w14:paraId="39859E0C">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仿宋" w:cs="Times New Roman"/>
                      <w:color w:val="auto"/>
                      <w:lang w:eastAsia="zh-CN"/>
                    </w:rPr>
                  </w:pPr>
                  <w:r>
                    <w:rPr>
                      <w:rFonts w:hint="default" w:ascii="Times New Roman" w:hAnsi="Times New Roman" w:eastAsia="仿宋" w:cs="Times New Roman"/>
                      <w:color w:val="auto"/>
                    </w:rPr>
                    <w:t>上风向参照点（1个）</w:t>
                  </w:r>
                  <w:r>
                    <w:rPr>
                      <w:rFonts w:hint="eastAsia" w:ascii="Times New Roman" w:hAnsi="Times New Roman" w:eastAsia="仿宋" w:cs="Times New Roman"/>
                      <w:color w:val="auto"/>
                      <w:lang w:eastAsia="zh-CN"/>
                    </w:rPr>
                    <w:t>、</w:t>
                  </w:r>
                </w:p>
                <w:p w14:paraId="0161330D">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下风向监控点（3个）</w:t>
                  </w:r>
                </w:p>
              </w:tc>
              <w:tc>
                <w:tcPr>
                  <w:tcW w:w="1360" w:type="dxa"/>
                  <w:noWrap w:val="0"/>
                  <w:vAlign w:val="center"/>
                </w:tcPr>
                <w:p w14:paraId="6B4E5420">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颗粒物</w:t>
                  </w:r>
                </w:p>
              </w:tc>
              <w:tc>
                <w:tcPr>
                  <w:tcW w:w="1115" w:type="dxa"/>
                  <w:noWrap w:val="0"/>
                  <w:vAlign w:val="center"/>
                </w:tcPr>
                <w:p w14:paraId="7109BE66">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1次/年</w:t>
                  </w:r>
                </w:p>
              </w:tc>
              <w:tc>
                <w:tcPr>
                  <w:tcW w:w="3903" w:type="dxa"/>
                  <w:noWrap w:val="0"/>
                  <w:vAlign w:val="center"/>
                </w:tcPr>
                <w:p w14:paraId="797B5FEA">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lang w:val="en-US"/>
                    </w:rPr>
                  </w:pPr>
                  <w:r>
                    <w:rPr>
                      <w:rFonts w:hint="default" w:ascii="Times New Roman" w:hAnsi="Times New Roman" w:eastAsia="仿宋" w:cs="Times New Roman"/>
                      <w:color w:val="auto"/>
                      <w:szCs w:val="21"/>
                      <w:lang w:val="en-US" w:eastAsia="zh-CN"/>
                    </w:rPr>
                    <w:t>《大气污染物综合排放标准》（DB32/4041-2021）表3限值</w:t>
                  </w:r>
                </w:p>
              </w:tc>
            </w:tr>
            <w:tr w14:paraId="41D712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1" w:type="dxa"/>
                  <w:vMerge w:val="continue"/>
                  <w:noWrap w:val="0"/>
                  <w:vAlign w:val="center"/>
                </w:tcPr>
                <w:p w14:paraId="57117674">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p>
              </w:tc>
              <w:tc>
                <w:tcPr>
                  <w:tcW w:w="1360" w:type="dxa"/>
                  <w:noWrap w:val="0"/>
                  <w:vAlign w:val="center"/>
                </w:tcPr>
                <w:p w14:paraId="58815AC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非甲烷总烃</w:t>
                  </w:r>
                </w:p>
              </w:tc>
              <w:tc>
                <w:tcPr>
                  <w:tcW w:w="1115" w:type="dxa"/>
                  <w:noWrap w:val="0"/>
                  <w:vAlign w:val="center"/>
                </w:tcPr>
                <w:p w14:paraId="7A0A757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rPr>
                    <w:t>1次/年</w:t>
                  </w:r>
                </w:p>
              </w:tc>
              <w:tc>
                <w:tcPr>
                  <w:tcW w:w="3903" w:type="dxa"/>
                  <w:noWrap w:val="0"/>
                  <w:vAlign w:val="center"/>
                </w:tcPr>
                <w:p w14:paraId="359CAB08">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lang w:val="en-US"/>
                    </w:rPr>
                  </w:pPr>
                  <w:r>
                    <w:rPr>
                      <w:rFonts w:hint="default" w:ascii="Times New Roman" w:hAnsi="Times New Roman" w:eastAsia="仿宋" w:cs="Times New Roman"/>
                      <w:color w:val="auto"/>
                      <w:szCs w:val="21"/>
                      <w:lang w:val="en-US" w:eastAsia="zh-CN"/>
                    </w:rPr>
                    <w:t>《橡胶制品工业污染物排放标准》（GB27632-2011）表6限值</w:t>
                  </w:r>
                </w:p>
              </w:tc>
            </w:tr>
            <w:tr w14:paraId="6F2109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1" w:type="dxa"/>
                  <w:vMerge w:val="continue"/>
                  <w:noWrap w:val="0"/>
                  <w:vAlign w:val="center"/>
                </w:tcPr>
                <w:p w14:paraId="4830A0B6">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p>
              </w:tc>
              <w:tc>
                <w:tcPr>
                  <w:tcW w:w="1360" w:type="dxa"/>
                  <w:noWrap w:val="0"/>
                  <w:vAlign w:val="center"/>
                </w:tcPr>
                <w:p w14:paraId="124D13C0">
                  <w:pPr>
                    <w:keepNext w:val="0"/>
                    <w:keepLines w:val="0"/>
                    <w:suppressLineNumbers w:val="0"/>
                    <w:adjustRightInd w:val="0"/>
                    <w:snapToGrid w:val="0"/>
                    <w:spacing w:before="0" w:beforeAutospacing="0" w:after="0" w:afterAutospacing="0" w:line="360" w:lineRule="exact"/>
                    <w:ind w:left="0" w:right="0"/>
                    <w:jc w:val="center"/>
                    <w:rPr>
                      <w:rFonts w:hint="default" w:eastAsia="仿宋" w:cs="Times New Roman"/>
                      <w:color w:val="auto"/>
                      <w:szCs w:val="21"/>
                      <w:lang w:val="en-US" w:eastAsia="zh-CN"/>
                    </w:rPr>
                  </w:pPr>
                  <w:r>
                    <w:rPr>
                      <w:rFonts w:hint="eastAsia" w:eastAsia="仿宋" w:cs="Times New Roman"/>
                      <w:color w:val="auto"/>
                      <w:szCs w:val="21"/>
                      <w:lang w:val="en-US" w:eastAsia="zh-CN"/>
                    </w:rPr>
                    <w:t>硫化氢</w:t>
                  </w:r>
                </w:p>
              </w:tc>
              <w:tc>
                <w:tcPr>
                  <w:tcW w:w="1115" w:type="dxa"/>
                  <w:noWrap w:val="0"/>
                  <w:vAlign w:val="center"/>
                </w:tcPr>
                <w:p w14:paraId="3E5890F4">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1次/年</w:t>
                  </w:r>
                </w:p>
              </w:tc>
              <w:tc>
                <w:tcPr>
                  <w:tcW w:w="3903" w:type="dxa"/>
                  <w:vMerge w:val="restart"/>
                  <w:noWrap w:val="0"/>
                  <w:vAlign w:val="center"/>
                </w:tcPr>
                <w:p w14:paraId="0B0EE2C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《恶臭污染物排放标准》（GB14554-93）表1限值</w:t>
                  </w:r>
                </w:p>
              </w:tc>
            </w:tr>
            <w:tr w14:paraId="72C443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1" w:type="dxa"/>
                  <w:vMerge w:val="continue"/>
                  <w:noWrap w:val="0"/>
                  <w:vAlign w:val="center"/>
                </w:tcPr>
                <w:p w14:paraId="1D662AD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p>
              </w:tc>
              <w:tc>
                <w:tcPr>
                  <w:tcW w:w="1360" w:type="dxa"/>
                  <w:noWrap w:val="0"/>
                  <w:vAlign w:val="center"/>
                </w:tcPr>
                <w:p w14:paraId="6A90B072">
                  <w:pPr>
                    <w:keepNext w:val="0"/>
                    <w:keepLines w:val="0"/>
                    <w:suppressLineNumbers w:val="0"/>
                    <w:adjustRightInd w:val="0"/>
                    <w:snapToGrid w:val="0"/>
                    <w:spacing w:before="0" w:beforeAutospacing="0" w:after="0" w:afterAutospacing="0" w:line="360" w:lineRule="exact"/>
                    <w:ind w:left="0" w:right="0"/>
                    <w:jc w:val="center"/>
                    <w:rPr>
                      <w:rFonts w:hint="default" w:eastAsia="仿宋" w:cs="Times New Roman"/>
                      <w:color w:val="auto"/>
                      <w:szCs w:val="21"/>
                      <w:lang w:val="en-US" w:eastAsia="zh-CN"/>
                    </w:rPr>
                  </w:pPr>
                  <w:r>
                    <w:rPr>
                      <w:rFonts w:hint="eastAsia" w:eastAsia="仿宋" w:cs="Times New Roman"/>
                      <w:color w:val="auto"/>
                      <w:szCs w:val="21"/>
                      <w:lang w:val="en-US" w:eastAsia="zh-CN"/>
                    </w:rPr>
                    <w:t>二硫化碳</w:t>
                  </w:r>
                </w:p>
              </w:tc>
              <w:tc>
                <w:tcPr>
                  <w:tcW w:w="1115" w:type="dxa"/>
                  <w:noWrap w:val="0"/>
                  <w:vAlign w:val="center"/>
                </w:tcPr>
                <w:p w14:paraId="662F75D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rPr>
                    <w:t>1次/年</w:t>
                  </w:r>
                </w:p>
              </w:tc>
              <w:tc>
                <w:tcPr>
                  <w:tcW w:w="3903" w:type="dxa"/>
                  <w:vMerge w:val="continue"/>
                  <w:noWrap w:val="0"/>
                  <w:vAlign w:val="center"/>
                </w:tcPr>
                <w:p w14:paraId="49BFE2A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szCs w:val="21"/>
                      <w:lang w:val="en-US" w:eastAsia="zh-CN"/>
                    </w:rPr>
                  </w:pPr>
                </w:p>
              </w:tc>
            </w:tr>
            <w:tr w14:paraId="649293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1" w:type="dxa"/>
                  <w:vMerge w:val="continue"/>
                  <w:noWrap w:val="0"/>
                  <w:vAlign w:val="center"/>
                </w:tcPr>
                <w:p w14:paraId="6BE9A7D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p>
              </w:tc>
              <w:tc>
                <w:tcPr>
                  <w:tcW w:w="1360" w:type="dxa"/>
                  <w:noWrap w:val="0"/>
                  <w:vAlign w:val="center"/>
                </w:tcPr>
                <w:p w14:paraId="1C993351">
                  <w:pPr>
                    <w:keepNext w:val="0"/>
                    <w:keepLines w:val="0"/>
                    <w:suppressLineNumbers w:val="0"/>
                    <w:adjustRightInd w:val="0"/>
                    <w:snapToGrid w:val="0"/>
                    <w:spacing w:before="0" w:beforeAutospacing="0" w:after="0" w:afterAutospacing="0" w:line="360" w:lineRule="exact"/>
                    <w:ind w:left="0" w:right="0"/>
                    <w:jc w:val="center"/>
                    <w:rPr>
                      <w:rFonts w:hint="default" w:eastAsia="仿宋" w:cs="Times New Roman"/>
                      <w:color w:val="auto"/>
                      <w:szCs w:val="21"/>
                      <w:lang w:val="en-US" w:eastAsia="zh-CN"/>
                    </w:rPr>
                  </w:pPr>
                  <w:r>
                    <w:rPr>
                      <w:rFonts w:hint="eastAsia" w:eastAsia="仿宋" w:cs="Times New Roman"/>
                      <w:color w:val="auto"/>
                      <w:szCs w:val="21"/>
                      <w:lang w:val="en-US" w:eastAsia="zh-CN"/>
                    </w:rPr>
                    <w:t>臭气浓度</w:t>
                  </w:r>
                </w:p>
              </w:tc>
              <w:tc>
                <w:tcPr>
                  <w:tcW w:w="1115" w:type="dxa"/>
                  <w:noWrap w:val="0"/>
                  <w:vAlign w:val="center"/>
                </w:tcPr>
                <w:p w14:paraId="0B0A65E8">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1次/年</w:t>
                  </w:r>
                </w:p>
              </w:tc>
              <w:tc>
                <w:tcPr>
                  <w:tcW w:w="3903" w:type="dxa"/>
                  <w:vMerge w:val="continue"/>
                  <w:noWrap w:val="0"/>
                  <w:vAlign w:val="center"/>
                </w:tcPr>
                <w:p w14:paraId="675CA9E8">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仿宋" w:cs="Times New Roman"/>
                      <w:color w:val="auto"/>
                      <w:szCs w:val="21"/>
                      <w:lang w:val="en-US" w:eastAsia="zh-CN"/>
                    </w:rPr>
                  </w:pPr>
                </w:p>
              </w:tc>
            </w:tr>
            <w:tr w14:paraId="1C3866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1" w:type="dxa"/>
                  <w:noWrap w:val="0"/>
                  <w:vAlign w:val="center"/>
                </w:tcPr>
                <w:p w14:paraId="0D3C5A78">
                  <w:pPr>
                    <w:keepNext w:val="0"/>
                    <w:keepLines w:val="0"/>
                    <w:suppressLineNumbers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在厂房外设置监控点（在厂房门窗或通风口、其他开口（孔）等排放口外1m）</w:t>
                  </w:r>
                </w:p>
              </w:tc>
              <w:tc>
                <w:tcPr>
                  <w:tcW w:w="1360" w:type="dxa"/>
                  <w:noWrap w:val="0"/>
                  <w:vAlign w:val="center"/>
                </w:tcPr>
                <w:p w14:paraId="10F7D1AE">
                  <w:pPr>
                    <w:keepNext w:val="0"/>
                    <w:keepLines w:val="0"/>
                    <w:suppressLineNumbers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非甲烷总烃</w:t>
                  </w:r>
                </w:p>
              </w:tc>
              <w:tc>
                <w:tcPr>
                  <w:tcW w:w="1115" w:type="dxa"/>
                  <w:noWrap w:val="0"/>
                  <w:vAlign w:val="center"/>
                </w:tcPr>
                <w:p w14:paraId="34A29BC5">
                  <w:pPr>
                    <w:keepNext w:val="0"/>
                    <w:keepLines w:val="0"/>
                    <w:suppressLineNumbers w:val="0"/>
                    <w:spacing w:before="0" w:beforeAutospacing="0" w:after="0" w:afterAutospacing="0" w:line="360" w:lineRule="exact"/>
                    <w:ind w:left="0" w:right="0"/>
                    <w:jc w:val="center"/>
                    <w:rPr>
                      <w:rFonts w:hint="eastAsia" w:ascii="Times New Roman" w:hAnsi="Times New Roman" w:eastAsia="仿宋" w:cs="Times New Roman"/>
                      <w:color w:val="auto"/>
                      <w:lang w:eastAsia="zh-CN"/>
                    </w:rPr>
                  </w:pPr>
                  <w:r>
                    <w:rPr>
                      <w:rFonts w:hint="default" w:ascii="Times New Roman" w:hAnsi="Times New Roman" w:eastAsia="仿宋" w:cs="Times New Roman"/>
                      <w:color w:val="auto"/>
                    </w:rPr>
                    <w:t>1次/</w:t>
                  </w:r>
                  <w:r>
                    <w:rPr>
                      <w:rFonts w:hint="eastAsia" w:eastAsia="仿宋" w:cs="Times New Roman"/>
                      <w:color w:val="auto"/>
                      <w:lang w:eastAsia="zh-CN"/>
                    </w:rPr>
                    <w:t>年</w:t>
                  </w:r>
                </w:p>
              </w:tc>
              <w:tc>
                <w:tcPr>
                  <w:tcW w:w="3903" w:type="dxa"/>
                  <w:noWrap w:val="0"/>
                  <w:vAlign w:val="center"/>
                </w:tcPr>
                <w:p w14:paraId="13A93EEA">
                  <w:pPr>
                    <w:keepNext w:val="0"/>
                    <w:keepLines w:val="0"/>
                    <w:suppressLineNumbers w:val="0"/>
                    <w:spacing w:before="0" w:beforeAutospacing="0" w:after="0" w:afterAutospacing="0" w:line="360" w:lineRule="exact"/>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szCs w:val="21"/>
                      <w:lang w:val="en-US" w:eastAsia="zh-CN"/>
                    </w:rPr>
                    <w:t>《大气污染物综合排放标准》（DB32/4041-2021）表2限值</w:t>
                  </w:r>
                </w:p>
              </w:tc>
            </w:tr>
          </w:tbl>
          <w:p w14:paraId="6143FB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2" w:firstLineChars="20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（6）环境影响分析</w:t>
            </w:r>
          </w:p>
          <w:p w14:paraId="74F62D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本项目所在地环境状况较好，尚有一定环境容量；本项目产生的废气经采取相应的</w:t>
            </w:r>
            <w:r>
              <w:rPr>
                <w:rFonts w:hint="eastAsia" w:ascii="Times New Roman" w:hAnsi="Times New Roman" w:cs="Times New Roman"/>
                <w:color w:val="auto"/>
                <w:lang w:val="en-US" w:eastAsia="zh-CN"/>
              </w:rPr>
              <w:t>措施</w:t>
            </w:r>
            <w:r>
              <w:rPr>
                <w:rFonts w:hint="default" w:ascii="Times New Roman" w:hAnsi="Times New Roman" w:cs="Times New Roman"/>
                <w:color w:val="auto"/>
                <w:lang w:val="en-US" w:eastAsia="zh-CN"/>
              </w:rPr>
              <w:t>处理后均能稳定达标排放；本项目</w:t>
            </w:r>
            <w:r>
              <w:rPr>
                <w:rFonts w:hint="eastAsia" w:ascii="Times New Roman" w:hAnsi="Times New Roman" w:cs="Times New Roman"/>
                <w:color w:val="auto"/>
                <w:lang w:val="en-US" w:eastAsia="zh-CN"/>
              </w:rPr>
              <w:t>建成后，全厂</w:t>
            </w:r>
            <w:r>
              <w:rPr>
                <w:rFonts w:hint="default" w:ascii="Times New Roman" w:hAnsi="Times New Roman" w:cs="Times New Roman"/>
                <w:color w:val="auto"/>
                <w:lang w:val="en-US" w:eastAsia="zh-CN"/>
              </w:rPr>
              <w:t>确定以</w:t>
            </w:r>
            <w:r>
              <w:rPr>
                <w:rFonts w:hint="eastAsia" w:cs="Times New Roman"/>
                <w:color w:val="auto"/>
                <w:lang w:val="en-US" w:eastAsia="zh-CN"/>
              </w:rPr>
              <w:t>生产车间</w:t>
            </w:r>
            <w:r>
              <w:rPr>
                <w:rFonts w:hint="default" w:ascii="Times New Roman" w:hAnsi="Times New Roman" w:cs="Times New Roman"/>
                <w:color w:val="auto"/>
                <w:lang w:val="en-US" w:eastAsia="zh-CN"/>
              </w:rPr>
              <w:t>边界外扩</w:t>
            </w:r>
            <w:r>
              <w:rPr>
                <w:rFonts w:hint="eastAsia" w:cs="Times New Roman"/>
                <w:color w:val="auto"/>
                <w:lang w:val="en-US" w:eastAsia="zh-CN"/>
              </w:rPr>
              <w:t>50</w:t>
            </w:r>
            <w:r>
              <w:rPr>
                <w:rFonts w:hint="default" w:ascii="Times New Roman" w:hAnsi="Times New Roman" w:cs="Times New Roman"/>
                <w:color w:val="auto"/>
                <w:lang w:val="en-US" w:eastAsia="zh-CN"/>
              </w:rPr>
              <w:t>米设置为卫生防护距离，经调查，卫生防护距离范围内无环境敏感点，符合卫生防护距离要求。因此，本项目排放的废气对周围大气环境及周围敏感点影响较小。</w:t>
            </w:r>
          </w:p>
          <w:p w14:paraId="5F067D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2、废水</w:t>
            </w:r>
          </w:p>
          <w:p w14:paraId="77E2EB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cs="Times New Roman"/>
                <w:b/>
                <w:bCs/>
                <w:color w:val="auto"/>
                <w:lang w:val="en-US" w:eastAsia="zh-CN"/>
              </w:rPr>
            </w:pPr>
            <w:r>
              <w:rPr>
                <w:rFonts w:hint="eastAsia" w:cs="Times New Roman"/>
                <w:b/>
                <w:bCs/>
                <w:color w:val="auto"/>
                <w:lang w:val="en-US" w:eastAsia="zh-CN"/>
              </w:rPr>
              <w:t>本项目地面清洁仅为干式清洁，无相关废水产生。</w:t>
            </w:r>
          </w:p>
          <w:p w14:paraId="001C86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cs="Times New Roman"/>
                <w:b/>
                <w:bCs/>
                <w:color w:val="auto"/>
                <w:lang w:val="en-US" w:eastAsia="zh-CN"/>
              </w:rPr>
            </w:pPr>
            <w:r>
              <w:rPr>
                <w:rFonts w:hint="eastAsia" w:cs="Times New Roman"/>
                <w:b/>
                <w:bCs/>
                <w:color w:val="auto"/>
                <w:lang w:val="en-US" w:eastAsia="zh-CN"/>
              </w:rPr>
              <w:t>①生产用水</w:t>
            </w:r>
          </w:p>
          <w:p w14:paraId="5793C4F7">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循环冷却水：</w:t>
            </w:r>
            <w:r>
              <w:rPr>
                <w:rFonts w:hint="eastAsia" w:ascii="Times New Roman" w:hAnsi="Times New Roman" w:eastAsia="宋体" w:cs="Times New Roman"/>
                <w:b w:val="0"/>
                <w:bCs w:val="0"/>
                <w:color w:val="auto"/>
                <w:kern w:val="2"/>
                <w:sz w:val="21"/>
                <w:szCs w:val="24"/>
                <w:lang w:val="en-US" w:eastAsia="zh-CN" w:bidi="ar-SA"/>
              </w:rPr>
              <w:t>本项目开炼机、硫化罐等设备需使用水进行间接冷却，冷却用水循环使用，循环冷却系统用的循环水泵总流量为2.0m</w:t>
            </w:r>
            <w:r>
              <w:rPr>
                <w:rFonts w:hint="eastAsia" w:ascii="Times New Roman" w:hAnsi="Times New Roman" w:eastAsia="宋体" w:cs="Times New Roman"/>
                <w:b w:val="0"/>
                <w:bCs w:val="0"/>
                <w:color w:val="auto"/>
                <w:kern w:val="2"/>
                <w:sz w:val="21"/>
                <w:szCs w:val="24"/>
                <w:vertAlign w:val="superscript"/>
                <w:lang w:val="en-US" w:eastAsia="zh-CN" w:bidi="ar-SA"/>
              </w:rPr>
              <w:t>3</w:t>
            </w:r>
            <w:r>
              <w:rPr>
                <w:rFonts w:hint="eastAsia" w:ascii="Times New Roman" w:hAnsi="Times New Roman" w:eastAsia="宋体" w:cs="Times New Roman"/>
                <w:b w:val="0"/>
                <w:bCs w:val="0"/>
                <w:color w:val="auto"/>
                <w:kern w:val="2"/>
                <w:sz w:val="21"/>
                <w:szCs w:val="24"/>
                <w:lang w:val="en-US" w:eastAsia="zh-CN" w:bidi="ar-SA"/>
              </w:rPr>
              <w:t>/h，循环水总量为4800m</w:t>
            </w:r>
            <w:r>
              <w:rPr>
                <w:rFonts w:hint="eastAsia" w:ascii="Times New Roman" w:hAnsi="Times New Roman" w:eastAsia="宋体" w:cs="Times New Roman"/>
                <w:b w:val="0"/>
                <w:bCs w:val="0"/>
                <w:color w:val="auto"/>
                <w:kern w:val="2"/>
                <w:sz w:val="21"/>
                <w:szCs w:val="24"/>
                <w:vertAlign w:val="superscript"/>
                <w:lang w:val="en-US" w:eastAsia="zh-CN" w:bidi="ar-SA"/>
              </w:rPr>
              <w:t>3</w:t>
            </w:r>
            <w:r>
              <w:rPr>
                <w:rFonts w:hint="eastAsia" w:ascii="Times New Roman" w:hAnsi="Times New Roman" w:eastAsia="宋体" w:cs="Times New Roman"/>
                <w:b w:val="0"/>
                <w:bCs w:val="0"/>
                <w:color w:val="auto"/>
                <w:kern w:val="2"/>
                <w:sz w:val="21"/>
                <w:szCs w:val="24"/>
                <w:lang w:val="en-US" w:eastAsia="zh-CN" w:bidi="ar-SA"/>
              </w:rPr>
              <w:t>/a，补水量为循环水量的2~4%，本项目补水量取4%，则定期补水量为192m</w:t>
            </w:r>
            <w:r>
              <w:rPr>
                <w:rFonts w:hint="eastAsia" w:ascii="Times New Roman" w:hAnsi="Times New Roman" w:eastAsia="宋体" w:cs="Times New Roman"/>
                <w:b w:val="0"/>
                <w:bCs w:val="0"/>
                <w:color w:val="auto"/>
                <w:kern w:val="2"/>
                <w:sz w:val="21"/>
                <w:szCs w:val="24"/>
                <w:vertAlign w:val="superscript"/>
                <w:lang w:val="en-US" w:eastAsia="zh-CN" w:bidi="ar-SA"/>
              </w:rPr>
              <w:t>3</w:t>
            </w:r>
            <w:r>
              <w:rPr>
                <w:rFonts w:hint="eastAsia" w:ascii="Times New Roman" w:hAnsi="Times New Roman" w:eastAsia="宋体" w:cs="Times New Roman"/>
                <w:b w:val="0"/>
                <w:bCs w:val="0"/>
                <w:color w:val="auto"/>
                <w:kern w:val="2"/>
                <w:sz w:val="21"/>
                <w:szCs w:val="24"/>
                <w:lang w:val="en-US" w:eastAsia="zh-CN" w:bidi="ar-SA"/>
              </w:rPr>
              <w:t>/a。</w:t>
            </w:r>
          </w:p>
          <w:p w14:paraId="3753A8D5">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喷淋用水：</w:t>
            </w:r>
            <w:r>
              <w:rPr>
                <w:rFonts w:hint="eastAsia" w:ascii="Times New Roman" w:hAnsi="Times New Roman" w:eastAsia="宋体" w:cs="Times New Roman"/>
                <w:b w:val="0"/>
                <w:bCs w:val="0"/>
                <w:color w:val="auto"/>
                <w:kern w:val="2"/>
                <w:sz w:val="21"/>
                <w:szCs w:val="24"/>
                <w:lang w:val="en-US" w:eastAsia="zh-CN" w:bidi="ar-SA"/>
              </w:rPr>
              <w:t>根据建设单位提供资料，本项目设置</w:t>
            </w:r>
            <w:r>
              <w:rPr>
                <w:rFonts w:hint="eastAsia" w:cs="Times New Roman"/>
                <w:b w:val="0"/>
                <w:bCs w:val="0"/>
                <w:color w:val="auto"/>
                <w:kern w:val="2"/>
                <w:sz w:val="21"/>
                <w:szCs w:val="24"/>
                <w:lang w:val="en-US" w:eastAsia="zh-CN" w:bidi="ar-SA"/>
              </w:rPr>
              <w:t>1</w:t>
            </w:r>
            <w:r>
              <w:rPr>
                <w:rFonts w:hint="eastAsia" w:ascii="Times New Roman" w:hAnsi="Times New Roman" w:eastAsia="宋体" w:cs="Times New Roman"/>
                <w:b w:val="0"/>
                <w:bCs w:val="0"/>
                <w:color w:val="auto"/>
                <w:kern w:val="2"/>
                <w:sz w:val="21"/>
                <w:szCs w:val="24"/>
                <w:lang w:val="en-US" w:eastAsia="zh-CN" w:bidi="ar-SA"/>
              </w:rPr>
              <w:t>座有效容积为0.5m</w:t>
            </w:r>
            <w:r>
              <w:rPr>
                <w:rFonts w:hint="eastAsia" w:ascii="Times New Roman" w:hAnsi="Times New Roman" w:eastAsia="宋体" w:cs="Times New Roman"/>
                <w:b w:val="0"/>
                <w:bCs w:val="0"/>
                <w:color w:val="auto"/>
                <w:kern w:val="2"/>
                <w:sz w:val="21"/>
                <w:szCs w:val="24"/>
                <w:vertAlign w:val="superscript"/>
                <w:lang w:val="en-US" w:eastAsia="zh-CN" w:bidi="ar-SA"/>
              </w:rPr>
              <w:t>3</w:t>
            </w:r>
            <w:r>
              <w:rPr>
                <w:rFonts w:hint="eastAsia" w:ascii="Times New Roman" w:hAnsi="Times New Roman" w:eastAsia="宋体" w:cs="Times New Roman"/>
                <w:b w:val="0"/>
                <w:bCs w:val="0"/>
                <w:color w:val="auto"/>
                <w:kern w:val="2"/>
                <w:sz w:val="21"/>
                <w:szCs w:val="24"/>
                <w:vertAlign w:val="baseline"/>
                <w:lang w:val="en-US" w:eastAsia="zh-CN" w:bidi="ar-SA"/>
              </w:rPr>
              <w:t>的</w:t>
            </w:r>
            <w:r>
              <w:rPr>
                <w:rFonts w:hint="eastAsia" w:cs="Times New Roman"/>
                <w:b w:val="0"/>
                <w:bCs w:val="0"/>
                <w:color w:val="auto"/>
                <w:kern w:val="2"/>
                <w:sz w:val="21"/>
                <w:szCs w:val="24"/>
                <w:lang w:val="en-US" w:eastAsia="zh-CN" w:bidi="ar-SA"/>
              </w:rPr>
              <w:t>喷淋</w:t>
            </w:r>
            <w:r>
              <w:rPr>
                <w:rFonts w:hint="eastAsia" w:ascii="Times New Roman" w:hAnsi="Times New Roman" w:eastAsia="宋体" w:cs="Times New Roman"/>
                <w:b w:val="0"/>
                <w:bCs w:val="0"/>
                <w:color w:val="auto"/>
                <w:kern w:val="2"/>
                <w:sz w:val="21"/>
                <w:szCs w:val="24"/>
                <w:lang w:val="en-US" w:eastAsia="zh-CN" w:bidi="ar-SA"/>
              </w:rPr>
              <w:t>塔，喷淋塔水泵总流量为3.0m</w:t>
            </w:r>
            <w:r>
              <w:rPr>
                <w:rFonts w:hint="eastAsia" w:ascii="Times New Roman" w:hAnsi="Times New Roman" w:eastAsia="宋体" w:cs="Times New Roman"/>
                <w:b w:val="0"/>
                <w:bCs w:val="0"/>
                <w:color w:val="auto"/>
                <w:kern w:val="2"/>
                <w:sz w:val="21"/>
                <w:szCs w:val="24"/>
                <w:vertAlign w:val="superscript"/>
                <w:lang w:val="en-US" w:eastAsia="zh-CN" w:bidi="ar-SA"/>
              </w:rPr>
              <w:t>3</w:t>
            </w:r>
            <w:r>
              <w:rPr>
                <w:rFonts w:hint="eastAsia" w:ascii="Times New Roman" w:hAnsi="Times New Roman" w:eastAsia="宋体" w:cs="Times New Roman"/>
                <w:b w:val="0"/>
                <w:bCs w:val="0"/>
                <w:color w:val="auto"/>
                <w:kern w:val="2"/>
                <w:sz w:val="21"/>
                <w:szCs w:val="24"/>
                <w:lang w:val="en-US" w:eastAsia="zh-CN" w:bidi="ar-SA"/>
              </w:rPr>
              <w:t>/h，循环水总量为7200m</w:t>
            </w:r>
            <w:r>
              <w:rPr>
                <w:rFonts w:hint="eastAsia" w:ascii="Times New Roman" w:hAnsi="Times New Roman" w:eastAsia="宋体" w:cs="Times New Roman"/>
                <w:b w:val="0"/>
                <w:bCs w:val="0"/>
                <w:color w:val="auto"/>
                <w:kern w:val="2"/>
                <w:sz w:val="21"/>
                <w:szCs w:val="24"/>
                <w:vertAlign w:val="superscript"/>
                <w:lang w:val="en-US" w:eastAsia="zh-CN" w:bidi="ar-SA"/>
              </w:rPr>
              <w:t>3</w:t>
            </w:r>
            <w:r>
              <w:rPr>
                <w:rFonts w:hint="eastAsia" w:ascii="Times New Roman" w:hAnsi="Times New Roman" w:eastAsia="宋体" w:cs="Times New Roman"/>
                <w:b w:val="0"/>
                <w:bCs w:val="0"/>
                <w:color w:val="auto"/>
                <w:kern w:val="2"/>
                <w:sz w:val="21"/>
                <w:szCs w:val="24"/>
                <w:lang w:val="en-US" w:eastAsia="zh-CN" w:bidi="ar-SA"/>
              </w:rPr>
              <w:t>/a，补水量为循环水量的1~3%，本项目补水量取3%，则定期补水量为216m</w:t>
            </w:r>
            <w:r>
              <w:rPr>
                <w:rFonts w:hint="eastAsia" w:ascii="Times New Roman" w:hAnsi="Times New Roman" w:eastAsia="宋体" w:cs="Times New Roman"/>
                <w:b w:val="0"/>
                <w:bCs w:val="0"/>
                <w:color w:val="auto"/>
                <w:kern w:val="2"/>
                <w:sz w:val="21"/>
                <w:szCs w:val="24"/>
                <w:vertAlign w:val="superscript"/>
                <w:lang w:val="en-US" w:eastAsia="zh-CN" w:bidi="ar-SA"/>
              </w:rPr>
              <w:t>3</w:t>
            </w:r>
            <w:r>
              <w:rPr>
                <w:rFonts w:hint="eastAsia" w:ascii="Times New Roman" w:hAnsi="Times New Roman" w:eastAsia="宋体" w:cs="Times New Roman"/>
                <w:b w:val="0"/>
                <w:bCs w:val="0"/>
                <w:color w:val="auto"/>
                <w:kern w:val="2"/>
                <w:sz w:val="21"/>
                <w:szCs w:val="24"/>
                <w:lang w:val="en-US" w:eastAsia="zh-CN" w:bidi="ar-SA"/>
              </w:rPr>
              <w:t>/a。为保证</w:t>
            </w:r>
            <w:r>
              <w:rPr>
                <w:rFonts w:hint="eastAsia" w:cs="Times New Roman"/>
                <w:b w:val="0"/>
                <w:bCs w:val="0"/>
                <w:color w:val="auto"/>
                <w:kern w:val="2"/>
                <w:sz w:val="21"/>
                <w:szCs w:val="24"/>
                <w:lang w:val="en-US" w:eastAsia="zh-CN" w:bidi="ar-SA"/>
              </w:rPr>
              <w:t>喷淋塔</w:t>
            </w:r>
            <w:r>
              <w:rPr>
                <w:rFonts w:hint="eastAsia" w:ascii="Times New Roman" w:hAnsi="Times New Roman" w:eastAsia="宋体" w:cs="Times New Roman"/>
                <w:b w:val="0"/>
                <w:bCs w:val="0"/>
                <w:color w:val="auto"/>
                <w:kern w:val="2"/>
                <w:sz w:val="21"/>
                <w:szCs w:val="24"/>
                <w:lang w:val="en-US" w:eastAsia="zh-CN" w:bidi="ar-SA"/>
              </w:rPr>
              <w:t>的处理效率，喷淋</w:t>
            </w:r>
            <w:r>
              <w:rPr>
                <w:rFonts w:hint="eastAsia" w:cs="Times New Roman"/>
                <w:b w:val="0"/>
                <w:bCs w:val="0"/>
                <w:color w:val="auto"/>
                <w:kern w:val="2"/>
                <w:sz w:val="21"/>
                <w:szCs w:val="24"/>
                <w:lang w:val="en-US" w:eastAsia="zh-CN" w:bidi="ar-SA"/>
              </w:rPr>
              <w:t>用水</w:t>
            </w:r>
            <w:r>
              <w:rPr>
                <w:rFonts w:hint="eastAsia" w:ascii="Times New Roman" w:hAnsi="Times New Roman" w:eastAsia="宋体" w:cs="Times New Roman"/>
                <w:b w:val="0"/>
                <w:bCs w:val="0"/>
                <w:color w:val="auto"/>
                <w:kern w:val="2"/>
                <w:sz w:val="21"/>
                <w:szCs w:val="24"/>
                <w:lang w:val="en-US" w:eastAsia="zh-CN" w:bidi="ar-SA"/>
              </w:rPr>
              <w:t>定期更换，更换周期为</w:t>
            </w:r>
            <w:r>
              <w:rPr>
                <w:rFonts w:hint="eastAsia" w:cs="Times New Roman"/>
                <w:b w:val="0"/>
                <w:bCs w:val="0"/>
                <w:color w:val="auto"/>
                <w:kern w:val="2"/>
                <w:sz w:val="21"/>
                <w:szCs w:val="24"/>
                <w:lang w:val="en-US" w:eastAsia="zh-CN" w:bidi="ar-SA"/>
              </w:rPr>
              <w:t>每半年一</w:t>
            </w:r>
            <w:r>
              <w:rPr>
                <w:rFonts w:hint="eastAsia" w:ascii="Times New Roman" w:hAnsi="Times New Roman" w:eastAsia="宋体" w:cs="Times New Roman"/>
                <w:b w:val="0"/>
                <w:bCs w:val="0"/>
                <w:color w:val="auto"/>
                <w:kern w:val="2"/>
                <w:sz w:val="21"/>
                <w:szCs w:val="24"/>
                <w:lang w:val="en-US" w:eastAsia="zh-CN" w:bidi="ar-SA"/>
              </w:rPr>
              <w:t>次</w:t>
            </w:r>
            <w:r>
              <w:rPr>
                <w:rFonts w:hint="eastAsia" w:cs="Times New Roman"/>
                <w:b w:val="0"/>
                <w:bCs w:val="0"/>
                <w:color w:val="auto"/>
                <w:kern w:val="2"/>
                <w:sz w:val="21"/>
                <w:szCs w:val="24"/>
                <w:lang w:val="en-US" w:eastAsia="zh-CN" w:bidi="ar-SA"/>
              </w:rPr>
              <w:t>，故喷淋废液产生量共计1t/a，</w:t>
            </w:r>
            <w:r>
              <w:rPr>
                <w:rFonts w:hint="default" w:ascii="Times New Roman" w:hAnsi="Times New Roman" w:eastAsia="宋体" w:cs="Times New Roman"/>
                <w:b w:val="0"/>
                <w:bCs w:val="0"/>
                <w:color w:val="auto"/>
                <w:kern w:val="2"/>
                <w:sz w:val="21"/>
                <w:szCs w:val="24"/>
                <w:lang w:val="en-US" w:eastAsia="zh-CN" w:bidi="ar-SA"/>
              </w:rPr>
              <w:t>作为危废（HW09）委托有资质单位处理。</w:t>
            </w:r>
          </w:p>
          <w:p w14:paraId="5708CC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②</w:t>
            </w:r>
            <w:r>
              <w:rPr>
                <w:rFonts w:hint="default" w:ascii="Times New Roman" w:hAnsi="Times New Roman" w:cs="Times New Roman"/>
                <w:b/>
                <w:bCs/>
                <w:color w:val="auto"/>
                <w:lang w:val="en-US" w:eastAsia="zh-CN"/>
              </w:rPr>
              <w:t>生活污水</w:t>
            </w:r>
          </w:p>
          <w:p w14:paraId="4F2311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w:t>
            </w:r>
            <w:r>
              <w:rPr>
                <w:rFonts w:hint="eastAsia" w:cs="Times New Roman"/>
                <w:color w:val="auto"/>
                <w:lang w:val="en-US" w:eastAsia="zh-CN"/>
              </w:rPr>
              <w:t>建成后全厂</w:t>
            </w:r>
            <w:r>
              <w:rPr>
                <w:rFonts w:hint="default" w:ascii="Times New Roman" w:hAnsi="Times New Roman" w:cs="Times New Roman"/>
                <w:color w:val="auto"/>
                <w:lang w:val="en-US" w:eastAsia="zh-CN"/>
              </w:rPr>
              <w:t>职工</w:t>
            </w:r>
            <w:r>
              <w:rPr>
                <w:rFonts w:hint="eastAsia" w:cs="Times New Roman"/>
                <w:color w:val="auto"/>
                <w:lang w:val="en-US" w:eastAsia="zh-CN"/>
              </w:rPr>
              <w:t>30</w:t>
            </w:r>
            <w:r>
              <w:rPr>
                <w:rFonts w:hint="default" w:ascii="Times New Roman" w:hAnsi="Times New Roman" w:cs="Times New Roman"/>
                <w:color w:val="auto"/>
                <w:lang w:val="en-US" w:eastAsia="zh-CN"/>
              </w:rPr>
              <w:t>人，不设食堂、宿舍，职工用水定额按</w:t>
            </w:r>
            <w:r>
              <w:rPr>
                <w:rFonts w:hint="eastAsia" w:ascii="Times New Roman" w:hAnsi="Times New Roman" w:cs="Times New Roman"/>
                <w:color w:val="auto"/>
                <w:lang w:val="en-US" w:eastAsia="zh-CN"/>
              </w:rPr>
              <w:t>100</w:t>
            </w:r>
            <w:r>
              <w:rPr>
                <w:rFonts w:hint="default" w:ascii="Times New Roman" w:hAnsi="Times New Roman" w:cs="Times New Roman"/>
                <w:color w:val="auto"/>
                <w:lang w:val="en-US" w:eastAsia="zh-CN"/>
              </w:rPr>
              <w:t>L/人•天计，则生活用水量为</w:t>
            </w:r>
            <w:r>
              <w:rPr>
                <w:rFonts w:hint="eastAsia" w:cs="Times New Roman"/>
                <w:color w:val="auto"/>
                <w:lang w:val="en-US" w:eastAsia="zh-CN"/>
              </w:rPr>
              <w:t>900</w:t>
            </w:r>
            <w:r>
              <w:rPr>
                <w:rFonts w:hint="eastAsia" w:ascii="Times New Roman" w:hAnsi="Times New Roman" w:eastAsia="宋体" w:cs="Times New Roman"/>
                <w:b w:val="0"/>
                <w:bCs w:val="0"/>
                <w:color w:val="auto"/>
                <w:kern w:val="2"/>
                <w:sz w:val="21"/>
                <w:szCs w:val="24"/>
                <w:lang w:val="en-US" w:eastAsia="zh-CN" w:bidi="ar-SA"/>
              </w:rPr>
              <w:t>m</w:t>
            </w:r>
            <w:r>
              <w:rPr>
                <w:rFonts w:hint="eastAsia" w:ascii="Times New Roman" w:hAnsi="Times New Roman" w:eastAsia="宋体" w:cs="Times New Roman"/>
                <w:b w:val="0"/>
                <w:bCs w:val="0"/>
                <w:color w:val="auto"/>
                <w:kern w:val="2"/>
                <w:sz w:val="21"/>
                <w:szCs w:val="24"/>
                <w:vertAlign w:val="superscript"/>
                <w:lang w:val="en-US" w:eastAsia="zh-CN" w:bidi="ar-SA"/>
              </w:rPr>
              <w:t>3</w:t>
            </w:r>
            <w:r>
              <w:rPr>
                <w:rFonts w:hint="default" w:ascii="Times New Roman" w:hAnsi="Times New Roman" w:cs="Times New Roman"/>
                <w:color w:val="auto"/>
                <w:lang w:val="en-US" w:eastAsia="zh-CN"/>
              </w:rPr>
              <w:t>/a</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生活污水排放系数取0.8，则排放量为</w:t>
            </w:r>
            <w:r>
              <w:rPr>
                <w:rFonts w:hint="eastAsia" w:cs="Times New Roman"/>
                <w:color w:val="auto"/>
                <w:lang w:val="en-US" w:eastAsia="zh-CN"/>
              </w:rPr>
              <w:t>72</w:t>
            </w:r>
            <w:r>
              <w:rPr>
                <w:rFonts w:hint="eastAsia" w:ascii="Times New Roman" w:hAnsi="Times New Roman" w:cs="Times New Roman"/>
                <w:color w:val="auto"/>
                <w:lang w:val="en-US" w:eastAsia="zh-CN"/>
              </w:rPr>
              <w:t>0</w:t>
            </w:r>
            <w:r>
              <w:rPr>
                <w:rFonts w:hint="default" w:ascii="Times New Roman" w:hAnsi="Times New Roman" w:cs="Times New Roman"/>
                <w:color w:val="auto"/>
                <w:lang w:val="en-US" w:eastAsia="zh-CN"/>
              </w:rPr>
              <w:t>t/a，污染物浓度为：</w:t>
            </w:r>
            <w:r>
              <w:rPr>
                <w:rFonts w:hint="eastAsia" w:cs="Times New Roman"/>
                <w:color w:val="auto"/>
                <w:lang w:val="en-US" w:eastAsia="zh-CN"/>
              </w:rPr>
              <w:t>pH值6.5~9、</w:t>
            </w:r>
            <w:r>
              <w:rPr>
                <w:rFonts w:hint="default" w:ascii="Times New Roman" w:hAnsi="Times New Roman" w:cs="Times New Roman"/>
                <w:color w:val="auto"/>
                <w:lang w:val="en-US" w:eastAsia="zh-CN"/>
              </w:rPr>
              <w:t xml:space="preserve">COD </w:t>
            </w:r>
            <w:r>
              <w:rPr>
                <w:rFonts w:hint="eastAsia" w:ascii="Times New Roman" w:hAnsi="Times New Roman" w:cs="Times New Roman"/>
                <w:color w:val="auto"/>
                <w:lang w:val="en-US" w:eastAsia="zh-CN"/>
              </w:rPr>
              <w:t>400</w:t>
            </w:r>
            <w:r>
              <w:rPr>
                <w:rFonts w:hint="default" w:ascii="Times New Roman" w:hAnsi="Times New Roman" w:cs="Times New Roman"/>
                <w:color w:val="auto"/>
                <w:lang w:val="en-US" w:eastAsia="zh-CN"/>
              </w:rPr>
              <w:t xml:space="preserve">mg/L、SS </w:t>
            </w:r>
            <w:r>
              <w:rPr>
                <w:rFonts w:hint="eastAsia" w:ascii="Times New Roman" w:hAnsi="Times New Roman" w:cs="Times New Roman"/>
                <w:color w:val="auto"/>
                <w:lang w:val="en-US" w:eastAsia="zh-CN"/>
              </w:rPr>
              <w:t>300</w:t>
            </w:r>
            <w:r>
              <w:rPr>
                <w:rFonts w:hint="default" w:ascii="Times New Roman" w:hAnsi="Times New Roman" w:cs="Times New Roman"/>
                <w:color w:val="auto"/>
                <w:lang w:val="en-US" w:eastAsia="zh-CN"/>
              </w:rPr>
              <w:t>mg/L、NH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 xml:space="preserve">-N </w:t>
            </w:r>
            <w:r>
              <w:rPr>
                <w:rFonts w:hint="eastAsia" w:ascii="Times New Roman" w:hAnsi="Times New Roman" w:cs="Times New Roman"/>
                <w:color w:val="auto"/>
                <w:lang w:val="en-US" w:eastAsia="zh-CN"/>
              </w:rPr>
              <w:t>3</w:t>
            </w:r>
            <w:r>
              <w:rPr>
                <w:rFonts w:hint="eastAsia" w:cs="Times New Roman"/>
                <w:color w:val="auto"/>
                <w:lang w:val="en-US" w:eastAsia="zh-CN"/>
              </w:rPr>
              <w:t>5</w:t>
            </w:r>
            <w:r>
              <w:rPr>
                <w:rFonts w:hint="default" w:ascii="Times New Roman" w:hAnsi="Times New Roman" w:cs="Times New Roman"/>
                <w:color w:val="auto"/>
                <w:lang w:val="en-US" w:eastAsia="zh-CN"/>
              </w:rPr>
              <w:t xml:space="preserve">mg/L、TP </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 xml:space="preserve">mg/L、TN </w:t>
            </w:r>
            <w:r>
              <w:rPr>
                <w:rFonts w:hint="eastAsia" w:cs="Times New Roman"/>
                <w:color w:val="auto"/>
                <w:lang w:val="en-US" w:eastAsia="zh-CN"/>
              </w:rPr>
              <w:t>50</w:t>
            </w:r>
            <w:r>
              <w:rPr>
                <w:rFonts w:hint="default" w:ascii="Times New Roman" w:hAnsi="Times New Roman" w:cs="Times New Roman"/>
                <w:color w:val="auto"/>
                <w:lang w:val="en-US" w:eastAsia="zh-CN"/>
              </w:rPr>
              <w:t>mg/L。</w:t>
            </w:r>
          </w:p>
          <w:p w14:paraId="5395D3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eastAsia" w:cs="Times New Roman"/>
                <w:color w:val="auto"/>
                <w:lang w:val="en-US" w:eastAsia="zh-CN"/>
              </w:rPr>
              <w:t>本项目废水</w:t>
            </w:r>
            <w:r>
              <w:rPr>
                <w:rFonts w:hint="default" w:ascii="Times New Roman" w:hAnsi="Times New Roman" w:cs="Times New Roman"/>
                <w:color w:val="auto"/>
                <w:lang w:val="en-US" w:eastAsia="zh-CN"/>
              </w:rPr>
              <w:t>产</w:t>
            </w:r>
            <w:r>
              <w:rPr>
                <w:rFonts w:hint="eastAsia" w:ascii="Times New Roman" w:hAnsi="Times New Roman" w:cs="Times New Roman"/>
                <w:color w:val="auto"/>
                <w:lang w:val="en-US" w:eastAsia="zh-CN"/>
              </w:rPr>
              <w:t>生</w:t>
            </w:r>
            <w:r>
              <w:rPr>
                <w:rFonts w:hint="default" w:ascii="Times New Roman" w:hAnsi="Times New Roman" w:cs="Times New Roman"/>
                <w:color w:val="auto"/>
                <w:lang w:val="en-US" w:eastAsia="zh-CN"/>
              </w:rPr>
              <w:t>情况详见表4-1</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w:t>
            </w:r>
          </w:p>
          <w:p w14:paraId="36C1A1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rPr>
            </w:pPr>
            <w:r>
              <w:rPr>
                <w:rFonts w:hint="default" w:ascii="Times New Roman" w:hAnsi="Times New Roman" w:cs="Times New Roman"/>
                <w:b/>
                <w:bCs/>
                <w:color w:val="auto"/>
              </w:rPr>
              <w:t>表4-1</w:t>
            </w:r>
            <w:r>
              <w:rPr>
                <w:rFonts w:hint="eastAsia" w:ascii="Times New Roman" w:hAnsi="Times New Roman" w:cs="Times New Roman"/>
                <w:b/>
                <w:bCs/>
                <w:color w:val="auto"/>
                <w:lang w:val="en-US" w:eastAsia="zh-CN"/>
              </w:rPr>
              <w:t>6</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 xml:space="preserve"> 本项目</w:t>
            </w:r>
            <w:r>
              <w:rPr>
                <w:rFonts w:hint="eastAsia" w:cs="Times New Roman"/>
                <w:b/>
                <w:bCs/>
                <w:color w:val="auto"/>
                <w:lang w:val="en-US" w:eastAsia="zh-CN"/>
              </w:rPr>
              <w:t>废水</w:t>
            </w:r>
            <w:r>
              <w:rPr>
                <w:rFonts w:hint="default" w:ascii="Times New Roman" w:hAnsi="Times New Roman" w:cs="Times New Roman"/>
                <w:b/>
                <w:bCs/>
                <w:color w:val="auto"/>
              </w:rPr>
              <w:t>产</w:t>
            </w:r>
            <w:r>
              <w:rPr>
                <w:rFonts w:hint="eastAsia" w:ascii="Times New Roman" w:hAnsi="Times New Roman" w:cs="Times New Roman"/>
                <w:b/>
                <w:bCs/>
                <w:color w:val="auto"/>
                <w:lang w:val="en-US" w:eastAsia="zh-CN"/>
              </w:rPr>
              <w:t>生</w:t>
            </w:r>
            <w:r>
              <w:rPr>
                <w:rFonts w:hint="default" w:ascii="Times New Roman" w:hAnsi="Times New Roman" w:cs="Times New Roman"/>
                <w:b/>
                <w:bCs/>
                <w:color w:val="auto"/>
              </w:rPr>
              <w:t>情况表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567"/>
              <w:gridCol w:w="1800"/>
              <w:gridCol w:w="1778"/>
              <w:gridCol w:w="2146"/>
              <w:gridCol w:w="1722"/>
            </w:tblGrid>
            <w:tr w14:paraId="67E01D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69" w:type="pct"/>
                  <w:noWrap w:val="0"/>
                  <w:vAlign w:val="center"/>
                </w:tcPr>
                <w:p w14:paraId="4FC2903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类别</w:t>
                  </w:r>
                </w:p>
              </w:tc>
              <w:tc>
                <w:tcPr>
                  <w:tcW w:w="998" w:type="pct"/>
                  <w:noWrap w:val="0"/>
                  <w:vAlign w:val="center"/>
                </w:tcPr>
                <w:p w14:paraId="0546EAE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废水量（</w:t>
                  </w:r>
                  <w:r>
                    <w:rPr>
                      <w:rFonts w:hint="eastAsia" w:ascii="Times New Roman" w:hAnsi="Times New Roman" w:eastAsia="宋体" w:cs="Times New Roman"/>
                      <w:b w:val="0"/>
                      <w:bCs w:val="0"/>
                      <w:color w:val="auto"/>
                      <w:lang w:val="en-US" w:eastAsia="zh-CN"/>
                    </w:rPr>
                    <w:t>m</w:t>
                  </w:r>
                  <w:r>
                    <w:rPr>
                      <w:rFonts w:hint="eastAsia" w:ascii="Times New Roman" w:hAnsi="Times New Roman" w:eastAsia="宋体" w:cs="Times New Roman"/>
                      <w:b w:val="0"/>
                      <w:bCs w:val="0"/>
                      <w:color w:val="auto"/>
                      <w:vertAlign w:val="superscript"/>
                      <w:lang w:val="en-US" w:eastAsia="zh-CN"/>
                    </w:rPr>
                    <w:t>3</w:t>
                  </w:r>
                  <w:r>
                    <w:rPr>
                      <w:rFonts w:hint="default" w:ascii="Times New Roman" w:hAnsi="Times New Roman" w:eastAsia="仿宋" w:cs="Times New Roman"/>
                      <w:color w:val="auto"/>
                    </w:rPr>
                    <w:t>/a）</w:t>
                  </w:r>
                </w:p>
              </w:tc>
              <w:tc>
                <w:tcPr>
                  <w:tcW w:w="986" w:type="pct"/>
                  <w:noWrap w:val="0"/>
                  <w:vAlign w:val="center"/>
                </w:tcPr>
                <w:p w14:paraId="68D1CDE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污染物名称</w:t>
                  </w:r>
                </w:p>
              </w:tc>
              <w:tc>
                <w:tcPr>
                  <w:tcW w:w="1190" w:type="pct"/>
                  <w:noWrap w:val="0"/>
                  <w:vAlign w:val="center"/>
                </w:tcPr>
                <w:p w14:paraId="0952DD5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产生浓度（mg/L）</w:t>
                  </w:r>
                </w:p>
              </w:tc>
              <w:tc>
                <w:tcPr>
                  <w:tcW w:w="955" w:type="pct"/>
                  <w:noWrap w:val="0"/>
                  <w:vAlign w:val="center"/>
                </w:tcPr>
                <w:p w14:paraId="09DA945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产生量（t/a）</w:t>
                  </w:r>
                </w:p>
              </w:tc>
            </w:tr>
            <w:tr w14:paraId="123361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14:paraId="4742A37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生活污水</w:t>
                  </w:r>
                </w:p>
              </w:tc>
              <w:tc>
                <w:tcPr>
                  <w:tcW w:w="998" w:type="pct"/>
                  <w:vMerge w:val="restart"/>
                  <w:noWrap w:val="0"/>
                  <w:vAlign w:val="center"/>
                </w:tcPr>
                <w:p w14:paraId="65F2F9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lang w:val="en-US" w:eastAsia="zh-CN"/>
                    </w:rPr>
                  </w:pPr>
                  <w:r>
                    <w:rPr>
                      <w:rFonts w:hint="eastAsia" w:ascii="Times New Roman" w:hAnsi="Times New Roman" w:eastAsia="等线" w:cs="Times New Roman"/>
                      <w:i w:val="0"/>
                      <w:iCs w:val="0"/>
                      <w:color w:val="auto"/>
                      <w:kern w:val="0"/>
                      <w:sz w:val="21"/>
                      <w:szCs w:val="21"/>
                      <w:u w:val="none"/>
                      <w:lang w:val="en-US" w:eastAsia="zh-CN" w:bidi="ar"/>
                    </w:rPr>
                    <w:t>720</w:t>
                  </w:r>
                </w:p>
              </w:tc>
              <w:tc>
                <w:tcPr>
                  <w:tcW w:w="986" w:type="pct"/>
                  <w:noWrap w:val="0"/>
                  <w:vAlign w:val="center"/>
                </w:tcPr>
                <w:p w14:paraId="1A635B68">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lang w:val="en-US" w:eastAsia="zh-CN"/>
                    </w:rPr>
                  </w:pPr>
                  <w:r>
                    <w:rPr>
                      <w:rFonts w:hint="default" w:ascii="Times New Roman" w:hAnsi="Times New Roman" w:eastAsia="仿宋" w:cs="Times New Roman"/>
                      <w:color w:val="auto"/>
                    </w:rPr>
                    <w:t>pH值</w:t>
                  </w:r>
                  <w:r>
                    <w:rPr>
                      <w:rFonts w:hint="eastAsia" w:ascii="Times New Roman" w:hAnsi="Times New Roman" w:eastAsia="仿宋" w:cs="Times New Roman"/>
                      <w:color w:val="auto"/>
                      <w:lang w:eastAsia="zh-CN"/>
                    </w:rPr>
                    <w:t>（</w:t>
                  </w:r>
                  <w:r>
                    <w:rPr>
                      <w:rFonts w:hint="eastAsia" w:ascii="Times New Roman" w:hAnsi="Times New Roman" w:eastAsia="仿宋" w:cs="Times New Roman"/>
                      <w:color w:val="auto"/>
                      <w:lang w:val="en-US" w:eastAsia="zh-CN"/>
                    </w:rPr>
                    <w:t>无量纲</w:t>
                  </w:r>
                  <w:r>
                    <w:rPr>
                      <w:rFonts w:hint="eastAsia" w:ascii="Times New Roman" w:hAnsi="Times New Roman" w:eastAsia="仿宋" w:cs="Times New Roman"/>
                      <w:color w:val="auto"/>
                      <w:lang w:eastAsia="zh-CN"/>
                    </w:rPr>
                    <w:t>）</w:t>
                  </w:r>
                </w:p>
              </w:tc>
              <w:tc>
                <w:tcPr>
                  <w:tcW w:w="1190" w:type="pct"/>
                  <w:noWrap w:val="0"/>
                  <w:vAlign w:val="center"/>
                </w:tcPr>
                <w:p w14:paraId="46B3072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6.5~9</w:t>
                  </w:r>
                </w:p>
              </w:tc>
              <w:tc>
                <w:tcPr>
                  <w:tcW w:w="955" w:type="pct"/>
                  <w:noWrap w:val="0"/>
                  <w:vAlign w:val="center"/>
                </w:tcPr>
                <w:p w14:paraId="4899F34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eastAsia" w:ascii="Times New Roman" w:hAnsi="Times New Roman" w:eastAsia="仿宋" w:cs="Times New Roman"/>
                      <w:color w:val="auto"/>
                      <w:lang w:val="en-US" w:eastAsia="zh-CN"/>
                    </w:rPr>
                    <w:t>6.5~9</w:t>
                  </w:r>
                </w:p>
              </w:tc>
            </w:tr>
            <w:tr w14:paraId="5261C80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14:paraId="156B98A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998" w:type="pct"/>
                  <w:vMerge w:val="continue"/>
                  <w:noWrap w:val="0"/>
                  <w:vAlign w:val="center"/>
                </w:tcPr>
                <w:p w14:paraId="5F8B81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lang w:val="en-US" w:eastAsia="zh-CN"/>
                    </w:rPr>
                  </w:pPr>
                </w:p>
              </w:tc>
              <w:tc>
                <w:tcPr>
                  <w:tcW w:w="986" w:type="pct"/>
                  <w:noWrap w:val="0"/>
                  <w:vAlign w:val="bottom"/>
                </w:tcPr>
                <w:p w14:paraId="61B81C4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 w:cs="Times New Roman"/>
                      <w:color w:val="auto"/>
                    </w:rPr>
                  </w:pPr>
                  <w:r>
                    <w:rPr>
                      <w:rFonts w:hint="default" w:ascii="Times New Roman" w:hAnsi="Times New Roman" w:eastAsia="等线" w:cs="Times New Roman"/>
                      <w:i w:val="0"/>
                      <w:iCs w:val="0"/>
                      <w:color w:val="auto"/>
                      <w:kern w:val="0"/>
                      <w:sz w:val="21"/>
                      <w:szCs w:val="21"/>
                      <w:u w:val="none"/>
                      <w:lang w:val="en-US" w:eastAsia="zh-CN" w:bidi="ar"/>
                    </w:rPr>
                    <w:t>COD</w:t>
                  </w:r>
                </w:p>
              </w:tc>
              <w:tc>
                <w:tcPr>
                  <w:tcW w:w="1190" w:type="pct"/>
                  <w:noWrap w:val="0"/>
                  <w:vAlign w:val="center"/>
                </w:tcPr>
                <w:p w14:paraId="568FD1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400</w:t>
                  </w:r>
                </w:p>
              </w:tc>
              <w:tc>
                <w:tcPr>
                  <w:tcW w:w="1722" w:type="dxa"/>
                  <w:noWrap w:val="0"/>
                  <w:vAlign w:val="center"/>
                </w:tcPr>
                <w:p w14:paraId="7CEF9A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0.288</w:t>
                  </w:r>
                </w:p>
              </w:tc>
            </w:tr>
            <w:tr w14:paraId="0F3E0C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14:paraId="686CBDE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998" w:type="pct"/>
                  <w:vMerge w:val="continue"/>
                  <w:noWrap w:val="0"/>
                  <w:vAlign w:val="center"/>
                </w:tcPr>
                <w:p w14:paraId="2F2727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rPr>
                  </w:pPr>
                </w:p>
              </w:tc>
              <w:tc>
                <w:tcPr>
                  <w:tcW w:w="986" w:type="pct"/>
                  <w:noWrap w:val="0"/>
                  <w:vAlign w:val="bottom"/>
                </w:tcPr>
                <w:p w14:paraId="71AB93F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 w:cs="Times New Roman"/>
                      <w:color w:val="auto"/>
                    </w:rPr>
                  </w:pPr>
                  <w:r>
                    <w:rPr>
                      <w:rFonts w:hint="default" w:ascii="Times New Roman" w:hAnsi="Times New Roman" w:eastAsia="等线" w:cs="Times New Roman"/>
                      <w:i w:val="0"/>
                      <w:iCs w:val="0"/>
                      <w:color w:val="auto"/>
                      <w:kern w:val="0"/>
                      <w:sz w:val="21"/>
                      <w:szCs w:val="21"/>
                      <w:u w:val="none"/>
                      <w:lang w:val="en-US" w:eastAsia="zh-CN" w:bidi="ar"/>
                    </w:rPr>
                    <w:t>SS</w:t>
                  </w:r>
                </w:p>
              </w:tc>
              <w:tc>
                <w:tcPr>
                  <w:tcW w:w="1190" w:type="pct"/>
                  <w:noWrap w:val="0"/>
                  <w:vAlign w:val="center"/>
                </w:tcPr>
                <w:p w14:paraId="2ECAAA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300</w:t>
                  </w:r>
                </w:p>
              </w:tc>
              <w:tc>
                <w:tcPr>
                  <w:tcW w:w="1722" w:type="dxa"/>
                  <w:noWrap w:val="0"/>
                  <w:vAlign w:val="center"/>
                </w:tcPr>
                <w:p w14:paraId="385339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0.216</w:t>
                  </w:r>
                </w:p>
              </w:tc>
            </w:tr>
            <w:tr w14:paraId="15E269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14:paraId="17C2E06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998" w:type="pct"/>
                  <w:vMerge w:val="continue"/>
                  <w:noWrap w:val="0"/>
                  <w:vAlign w:val="center"/>
                </w:tcPr>
                <w:p w14:paraId="5A7E6B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rPr>
                  </w:pPr>
                </w:p>
              </w:tc>
              <w:tc>
                <w:tcPr>
                  <w:tcW w:w="986" w:type="pct"/>
                  <w:noWrap w:val="0"/>
                  <w:vAlign w:val="bottom"/>
                </w:tcPr>
                <w:p w14:paraId="247E831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 w:cs="Times New Roman"/>
                      <w:color w:val="auto"/>
                    </w:rPr>
                  </w:pPr>
                  <w:r>
                    <w:rPr>
                      <w:rFonts w:hint="default" w:ascii="Times New Roman" w:hAnsi="Times New Roman" w:eastAsia="等线" w:cs="Times New Roman"/>
                      <w:i w:val="0"/>
                      <w:iCs w:val="0"/>
                      <w:color w:val="auto"/>
                      <w:kern w:val="0"/>
                      <w:sz w:val="21"/>
                      <w:szCs w:val="21"/>
                      <w:u w:val="none"/>
                      <w:lang w:val="en-US" w:eastAsia="zh-CN" w:bidi="ar"/>
                    </w:rPr>
                    <w:t>NH</w:t>
                  </w:r>
                  <w:r>
                    <w:rPr>
                      <w:rFonts w:hint="default" w:ascii="Times New Roman" w:hAnsi="Times New Roman" w:eastAsia="等线" w:cs="Times New Roman"/>
                      <w:i w:val="0"/>
                      <w:iCs w:val="0"/>
                      <w:color w:val="auto"/>
                      <w:kern w:val="0"/>
                      <w:sz w:val="21"/>
                      <w:szCs w:val="21"/>
                      <w:u w:val="none"/>
                      <w:vertAlign w:val="subscript"/>
                      <w:lang w:val="en-US" w:eastAsia="zh-CN" w:bidi="ar"/>
                    </w:rPr>
                    <w:t>3</w:t>
                  </w:r>
                  <w:r>
                    <w:rPr>
                      <w:rFonts w:hint="default" w:ascii="Times New Roman" w:hAnsi="Times New Roman" w:eastAsia="等线" w:cs="Times New Roman"/>
                      <w:i w:val="0"/>
                      <w:iCs w:val="0"/>
                      <w:color w:val="auto"/>
                      <w:kern w:val="0"/>
                      <w:sz w:val="21"/>
                      <w:szCs w:val="21"/>
                      <w:u w:val="none"/>
                      <w:lang w:val="en-US" w:eastAsia="zh-CN" w:bidi="ar"/>
                    </w:rPr>
                    <w:t>-N</w:t>
                  </w:r>
                </w:p>
              </w:tc>
              <w:tc>
                <w:tcPr>
                  <w:tcW w:w="1190" w:type="pct"/>
                  <w:noWrap w:val="0"/>
                  <w:vAlign w:val="center"/>
                </w:tcPr>
                <w:p w14:paraId="0FB82C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35</w:t>
                  </w:r>
                </w:p>
              </w:tc>
              <w:tc>
                <w:tcPr>
                  <w:tcW w:w="1722" w:type="dxa"/>
                  <w:noWrap w:val="0"/>
                  <w:vAlign w:val="center"/>
                </w:tcPr>
                <w:p w14:paraId="0E0DBC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0.025</w:t>
                  </w:r>
                </w:p>
              </w:tc>
            </w:tr>
            <w:tr w14:paraId="1D4BF3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14:paraId="3B29875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998" w:type="pct"/>
                  <w:vMerge w:val="continue"/>
                  <w:noWrap w:val="0"/>
                  <w:vAlign w:val="center"/>
                </w:tcPr>
                <w:p w14:paraId="432F10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rPr>
                  </w:pPr>
                </w:p>
              </w:tc>
              <w:tc>
                <w:tcPr>
                  <w:tcW w:w="986" w:type="pct"/>
                  <w:noWrap w:val="0"/>
                  <w:vAlign w:val="bottom"/>
                </w:tcPr>
                <w:p w14:paraId="290C915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 w:cs="Times New Roman"/>
                      <w:color w:val="auto"/>
                    </w:rPr>
                  </w:pPr>
                  <w:r>
                    <w:rPr>
                      <w:rFonts w:hint="default" w:ascii="Times New Roman" w:hAnsi="Times New Roman" w:eastAsia="等线" w:cs="Times New Roman"/>
                      <w:i w:val="0"/>
                      <w:iCs w:val="0"/>
                      <w:color w:val="auto"/>
                      <w:kern w:val="0"/>
                      <w:sz w:val="21"/>
                      <w:szCs w:val="21"/>
                      <w:u w:val="none"/>
                      <w:lang w:val="en-US" w:eastAsia="zh-CN" w:bidi="ar"/>
                    </w:rPr>
                    <w:t>TP</w:t>
                  </w:r>
                </w:p>
              </w:tc>
              <w:tc>
                <w:tcPr>
                  <w:tcW w:w="1190" w:type="pct"/>
                  <w:noWrap w:val="0"/>
                  <w:vAlign w:val="center"/>
                </w:tcPr>
                <w:p w14:paraId="6BE7C4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w:t>
                  </w:r>
                </w:p>
              </w:tc>
              <w:tc>
                <w:tcPr>
                  <w:tcW w:w="1722" w:type="dxa"/>
                  <w:noWrap w:val="0"/>
                  <w:vAlign w:val="center"/>
                </w:tcPr>
                <w:p w14:paraId="0B2177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4</w:t>
                  </w:r>
                </w:p>
              </w:tc>
            </w:tr>
            <w:tr w14:paraId="583862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14:paraId="5267177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998" w:type="pct"/>
                  <w:vMerge w:val="continue"/>
                  <w:noWrap w:val="0"/>
                  <w:vAlign w:val="center"/>
                </w:tcPr>
                <w:p w14:paraId="64A098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rPr>
                  </w:pPr>
                </w:p>
              </w:tc>
              <w:tc>
                <w:tcPr>
                  <w:tcW w:w="986" w:type="pct"/>
                  <w:noWrap w:val="0"/>
                  <w:vAlign w:val="bottom"/>
                </w:tcPr>
                <w:p w14:paraId="2B796DA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 w:cs="Times New Roman"/>
                      <w:color w:val="auto"/>
                    </w:rPr>
                  </w:pPr>
                  <w:r>
                    <w:rPr>
                      <w:rFonts w:hint="default" w:ascii="Times New Roman" w:hAnsi="Times New Roman" w:eastAsia="等线" w:cs="Times New Roman"/>
                      <w:i w:val="0"/>
                      <w:iCs w:val="0"/>
                      <w:color w:val="auto"/>
                      <w:kern w:val="0"/>
                      <w:sz w:val="21"/>
                      <w:szCs w:val="21"/>
                      <w:u w:val="none"/>
                      <w:lang w:val="en-US" w:eastAsia="zh-CN" w:bidi="ar"/>
                    </w:rPr>
                    <w:t>TN</w:t>
                  </w:r>
                </w:p>
              </w:tc>
              <w:tc>
                <w:tcPr>
                  <w:tcW w:w="1190" w:type="pct"/>
                  <w:noWrap w:val="0"/>
                  <w:vAlign w:val="center"/>
                </w:tcPr>
                <w:p w14:paraId="0F5725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sz w:val="21"/>
                      <w:szCs w:val="21"/>
                      <w:lang w:val="en-US" w:eastAsia="zh-CN"/>
                    </w:rPr>
                  </w:pPr>
                  <w:r>
                    <w:rPr>
                      <w:rFonts w:hint="eastAsia" w:ascii="Times New Roman" w:hAnsi="Times New Roman" w:eastAsia="等线" w:cs="Times New Roman"/>
                      <w:i w:val="0"/>
                      <w:iCs w:val="0"/>
                      <w:color w:val="auto"/>
                      <w:kern w:val="0"/>
                      <w:sz w:val="21"/>
                      <w:szCs w:val="21"/>
                      <w:u w:val="none"/>
                      <w:lang w:val="en-US" w:eastAsia="zh-CN" w:bidi="ar"/>
                    </w:rPr>
                    <w:t>50</w:t>
                  </w:r>
                </w:p>
              </w:tc>
              <w:tc>
                <w:tcPr>
                  <w:tcW w:w="1722" w:type="dxa"/>
                  <w:noWrap w:val="0"/>
                  <w:vAlign w:val="center"/>
                </w:tcPr>
                <w:p w14:paraId="25A23E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0.036</w:t>
                  </w:r>
                </w:p>
              </w:tc>
            </w:tr>
          </w:tbl>
          <w:p w14:paraId="4557B3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w:t>
            </w:r>
            <w:r>
              <w:rPr>
                <w:rFonts w:hint="eastAsia" w:cs="Times New Roman"/>
                <w:b/>
                <w:bCs/>
                <w:color w:val="auto"/>
                <w:lang w:val="en-US" w:eastAsia="zh-CN"/>
              </w:rPr>
              <w:t>2</w:t>
            </w:r>
            <w:r>
              <w:rPr>
                <w:rFonts w:hint="default" w:ascii="Times New Roman" w:hAnsi="Times New Roman" w:cs="Times New Roman"/>
                <w:b/>
                <w:bCs/>
                <w:color w:val="auto"/>
                <w:lang w:val="en-US" w:eastAsia="zh-CN"/>
              </w:rPr>
              <w:t>）废水治理措施</w:t>
            </w:r>
          </w:p>
          <w:p w14:paraId="2B6ABF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本项目生活污水经</w:t>
            </w:r>
            <w:r>
              <w:rPr>
                <w:rFonts w:hint="eastAsia" w:ascii="Times New Roman" w:hAnsi="Times New Roman" w:cs="Times New Roman"/>
                <w:color w:val="auto"/>
                <w:lang w:val="en-US" w:eastAsia="zh-CN"/>
              </w:rPr>
              <w:t>厂区</w:t>
            </w:r>
            <w:r>
              <w:rPr>
                <w:rFonts w:hint="default" w:ascii="Times New Roman" w:hAnsi="Times New Roman" w:cs="Times New Roman"/>
                <w:color w:val="auto"/>
                <w:lang w:val="en-US" w:eastAsia="zh-CN"/>
              </w:rPr>
              <w:t>污水管网，</w:t>
            </w:r>
            <w:r>
              <w:rPr>
                <w:rFonts w:hint="eastAsia" w:ascii="Times New Roman" w:hAnsi="Times New Roman" w:cs="Times New Roman"/>
                <w:color w:val="auto"/>
                <w:lang w:val="en-US" w:eastAsia="zh-CN"/>
              </w:rPr>
              <w:t>接管</w:t>
            </w:r>
            <w:r>
              <w:rPr>
                <w:rFonts w:hint="default" w:ascii="Times New Roman" w:hAnsi="Times New Roman" w:cs="Times New Roman"/>
                <w:color w:val="auto"/>
                <w:lang w:val="en-US" w:eastAsia="zh-CN"/>
              </w:rPr>
              <w:t>进</w:t>
            </w:r>
            <w:r>
              <w:rPr>
                <w:rFonts w:hint="eastAsia" w:ascii="Times New Roman" w:hAnsi="Times New Roman" w:cs="Times New Roman"/>
                <w:color w:val="auto"/>
                <w:lang w:val="en-US" w:eastAsia="zh-CN"/>
              </w:rPr>
              <w:t>金坛区朱林镇三星村李巷农村生活污水处理站</w:t>
            </w:r>
            <w:r>
              <w:rPr>
                <w:rFonts w:hint="default" w:ascii="Times New Roman" w:hAnsi="Times New Roman" w:cs="Times New Roman"/>
                <w:color w:val="auto"/>
                <w:lang w:val="en-US" w:eastAsia="zh-CN"/>
              </w:rPr>
              <w:t>集中处理。</w:t>
            </w:r>
          </w:p>
          <w:p w14:paraId="03E07E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废水依托</w:t>
            </w:r>
            <w:r>
              <w:rPr>
                <w:rFonts w:hint="eastAsia" w:cs="Times New Roman"/>
                <w:b/>
                <w:bCs/>
                <w:color w:val="auto"/>
                <w:lang w:val="en-US" w:eastAsia="zh-CN"/>
              </w:rPr>
              <w:t>金坛区朱林镇三星村李巷农村生活污水处理站</w:t>
            </w:r>
            <w:r>
              <w:rPr>
                <w:rFonts w:hint="default" w:ascii="Times New Roman" w:hAnsi="Times New Roman" w:cs="Times New Roman"/>
                <w:b/>
                <w:bCs/>
                <w:color w:val="auto"/>
                <w:lang w:val="en-US" w:eastAsia="zh-CN"/>
              </w:rPr>
              <w:t>集中处理的可行性分析：</w:t>
            </w:r>
          </w:p>
          <w:p w14:paraId="32181D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①水量可行性分析</w:t>
            </w:r>
          </w:p>
          <w:p w14:paraId="73DC58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金坛区朱林镇三星村李巷农村生活污水处理站处理能力：设计处理规模为300m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w:t>
            </w:r>
          </w:p>
          <w:p w14:paraId="4DBC3A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本项目排放量：本项目生活污水720m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/a（2.4m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/d），从水量上来看产生规模仅占处理规模的0.8%。</w:t>
            </w:r>
          </w:p>
          <w:p w14:paraId="2131CC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其他排放量：该污水处理站同时承载了李巷、成家圩、杨家棚、自醒小区、张家棚、前村、港城路以西多层住宅楼及商铺等居民的生活污水处理，服务农户270户，受益人口1080人。对人均生活用水量的选取，依据《农村生活饮用水量卫生标准》（GB11730-1989）、《农村给水设计规范》（CECS82：96），结合当地居民的用水现状、生活习惯及经济条件等，参考《江苏省农村环境连片整治生活污水处理指南》、《江苏省村庄生活污水治理适宜技术及建设指南》进行选取，本次采用的农村人均生活用水量定额为80L/（d·人）。污水排放系数采用《江苏省村庄生活污水治理适宜技术及建设指南》推荐的80%，为64L/（d·人）。即上述居民生活污水排放量约69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w:t>
            </w:r>
          </w:p>
          <w:p w14:paraId="5EF691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金坛区朱林镇三星村李巷农村生活污水处理站生活污水处理够力300m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/d可以满足上述居民和本项目的生活污水处理需求。</w:t>
            </w:r>
          </w:p>
          <w:p w14:paraId="4C8280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因此，从水量上看，本项目生活污水接入金坛区朱林镇三星村李巷农村生活污水处理站是可行的。</w:t>
            </w:r>
          </w:p>
          <w:p w14:paraId="3881D6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②水质可行性分析</w:t>
            </w:r>
          </w:p>
          <w:p w14:paraId="5D874D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本项目仅产生生活污水，pH值、COD、SS、NH</w:t>
            </w:r>
            <w:r>
              <w:rPr>
                <w:rFonts w:hint="eastAsia" w:ascii="Times New Roman" w:hAnsi="Times New Roman" w:cs="Times New Roman"/>
                <w:color w:val="auto"/>
                <w:vertAlign w:val="subscript"/>
                <w:lang w:val="en-US" w:eastAsia="zh-CN"/>
              </w:rPr>
              <w:t>3</w:t>
            </w:r>
            <w:r>
              <w:rPr>
                <w:rFonts w:hint="eastAsia" w:ascii="Times New Roman" w:hAnsi="Times New Roman" w:cs="Times New Roman"/>
                <w:color w:val="auto"/>
                <w:lang w:val="en-US" w:eastAsia="zh-CN"/>
              </w:rPr>
              <w:t>-N、TP、TN的接管浓度分别为6.5~9、400mg/L、300mg/L、35mg/L、5mg/L、50mg/L，污水中的pH值、COD、SS、NH</w:t>
            </w:r>
            <w:r>
              <w:rPr>
                <w:rFonts w:hint="eastAsia" w:ascii="Times New Roman" w:hAnsi="Times New Roman" w:cs="Times New Roman"/>
                <w:color w:val="auto"/>
                <w:vertAlign w:val="subscript"/>
                <w:lang w:val="en-US" w:eastAsia="zh-CN"/>
              </w:rPr>
              <w:t>3</w:t>
            </w:r>
            <w:r>
              <w:rPr>
                <w:rFonts w:hint="eastAsia" w:ascii="Times New Roman" w:hAnsi="Times New Roman" w:cs="Times New Roman"/>
                <w:color w:val="auto"/>
                <w:lang w:val="en-US" w:eastAsia="zh-CN"/>
              </w:rPr>
              <w:t>-N、TN、TP均符合《污水排入城镇下水道水质标准》（GB/T31962-2015）B级标准及金坛区朱林镇三星村李巷农村生活污水处理站接管标准，水质简单，污染物也属常规污染因子，不具备冲击性，符合水质接管要求。</w:t>
            </w:r>
          </w:p>
          <w:p w14:paraId="08F14E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因此，从水质上看，本项目生活污水接入金坛区朱林镇三星村李巷农村生活污水处理站是可行的。</w:t>
            </w:r>
          </w:p>
          <w:p w14:paraId="324D36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③管网配套可行性分析</w:t>
            </w:r>
          </w:p>
          <w:p w14:paraId="01C90F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经核实，本项目所在地市政污水管网尚未铺设到位。距离金坛区朱林镇三星村李巷农村生活污水处理站约740m，距离较近，企业污水管网沿港城南路敷设接入“金坛区朱林镇三星村李巷农村生活污水处理站”，从空间距离上看，具备接入金坛区朱林镇三星村李巷农村生活污水处理站集中处理的条件。</w:t>
            </w:r>
          </w:p>
          <w:p w14:paraId="215B86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因此，从管网配套可行性上看，本项目生活污水接入金坛区朱林镇三星村李巷农村生活污水处理站是可行的。</w:t>
            </w:r>
          </w:p>
          <w:p w14:paraId="2C929B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④处理工艺达标可行性分析</w:t>
            </w:r>
          </w:p>
          <w:p w14:paraId="2F6A86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根据调查，</w:t>
            </w:r>
            <w:r>
              <w:rPr>
                <w:rFonts w:hint="eastAsia" w:ascii="Times New Roman" w:hAnsi="Times New Roman" w:cs="Times New Roman"/>
                <w:color w:val="auto"/>
                <w:lang w:val="en-US" w:eastAsia="zh-CN"/>
              </w:rPr>
              <w:t>金坛区朱林镇三星村李巷农村生活污水处理站施配套管网内的污水由格栅拦截水中较大的漂浮物,随之进入调节池进行均质均混，然后进入设备水处理系统，应用系统中的生物接触氧化(AAO)工艺进行去除污水中的COD、氮、磷等污染物，进行生态处理，最后达标排放。</w:t>
            </w:r>
          </w:p>
          <w:p w14:paraId="05435F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因此，</w:t>
            </w:r>
            <w:r>
              <w:rPr>
                <w:rFonts w:hint="eastAsia" w:ascii="Times New Roman" w:hAnsi="Times New Roman" w:cs="Times New Roman"/>
                <w:color w:val="auto"/>
                <w:lang w:val="en-US" w:eastAsia="zh-CN"/>
              </w:rPr>
              <w:t>生物接触氧化(AAO)工艺</w:t>
            </w:r>
            <w:r>
              <w:rPr>
                <w:rFonts w:hint="eastAsia" w:ascii="Times New Roman" w:hAnsi="Times New Roman" w:eastAsia="宋体" w:cs="Times New Roman"/>
                <w:color w:val="auto"/>
                <w:lang w:val="en-US" w:eastAsia="zh-CN"/>
              </w:rPr>
              <w:t>对于生活污水处理方面较为成熟，其处理工艺从技术上看是可行的。</w:t>
            </w:r>
          </w:p>
          <w:p w14:paraId="32AFCE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综上所述，从接管水质、水量及管网配套等情况来看，本项目投产后生活污水接入金坛区朱林镇三星村李巷农村生活污水处理站集中处理是可行的。</w:t>
            </w:r>
          </w:p>
          <w:p w14:paraId="033C26E5">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264912DD">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3868E25A">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238CDAD3">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0AA6160B">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3A1DA9B2">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200E0ACB">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40E622CA">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1B64EDFF">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35E2B326">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0B2C0218">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50D0DAD7">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1E5B98A7">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6EDE030A">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7BFC13E0">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594EDACD">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34ABBA8D">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0812D18B">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1AF789A3">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3A47CC05">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69128AB6">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58CA0A91">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412FE1B4">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p>
          <w:p w14:paraId="7F216046">
            <w:pPr>
              <w:pStyle w:val="34"/>
              <w:keepNext w:val="0"/>
              <w:keepLines w:val="0"/>
              <w:suppressLineNumbers w:val="0"/>
              <w:spacing w:before="0" w:beforeAutospacing="0" w:after="0" w:afterAutospacing="0"/>
              <w:ind w:left="0" w:leftChars="0" w:right="0" w:firstLine="0" w:firstLineChars="0"/>
              <w:rPr>
                <w:rFonts w:hint="eastAsia" w:ascii="Times New Roman" w:hAnsi="Times New Roman" w:eastAsia="宋体" w:cs="Times New Roman"/>
                <w:color w:val="auto"/>
                <w:lang w:val="en-US" w:eastAsia="zh-CN"/>
              </w:rPr>
            </w:pPr>
          </w:p>
        </w:tc>
      </w:tr>
    </w:tbl>
    <w:p w14:paraId="2888A923">
      <w:pPr>
        <w:pStyle w:val="13"/>
        <w:numPr>
          <w:ilvl w:val="0"/>
          <w:numId w:val="0"/>
        </w:numPr>
        <w:rPr>
          <w:rFonts w:hint="default" w:ascii="Times New Roman" w:hAnsi="Times New Roman" w:cs="Times New Roman"/>
          <w:b/>
          <w:color w:val="auto"/>
          <w:kern w:val="0"/>
          <w:sz w:val="28"/>
          <w:szCs w:val="28"/>
        </w:rPr>
        <w:sectPr>
          <w:pgSz w:w="11907" w:h="16840"/>
          <w:pgMar w:top="1191" w:right="1400" w:bottom="1417" w:left="1088"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3750"/>
      </w:tblGrid>
      <w:tr w14:paraId="78DA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9" w:hRule="atLeast"/>
          <w:jc w:val="center"/>
        </w:trPr>
        <w:tc>
          <w:tcPr>
            <w:tcW w:w="702" w:type="dxa"/>
            <w:noWrap w:val="0"/>
            <w:vAlign w:val="center"/>
          </w:tcPr>
          <w:p w14:paraId="593FF1F9">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color w:val="auto"/>
              </w:rPr>
            </w:pPr>
            <w:r>
              <w:rPr>
                <w:rFonts w:hint="default" w:ascii="Times New Roman" w:hAnsi="Times New Roman" w:cs="Times New Roman"/>
                <w:b w:val="0"/>
                <w:bCs/>
                <w:color w:val="auto"/>
                <w:sz w:val="21"/>
                <w:szCs w:val="21"/>
              </w:rPr>
              <w:t>运营期环境影响和保护措施</w:t>
            </w:r>
          </w:p>
        </w:tc>
        <w:tc>
          <w:tcPr>
            <w:tcW w:w="13870" w:type="dxa"/>
            <w:noWrap w:val="0"/>
            <w:vAlign w:val="top"/>
          </w:tcPr>
          <w:p w14:paraId="361861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w:t>
            </w:r>
            <w:r>
              <w:rPr>
                <w:rFonts w:hint="eastAsia" w:cs="Times New Roman"/>
                <w:b/>
                <w:bCs/>
                <w:color w:val="auto"/>
                <w:lang w:val="en-US" w:eastAsia="zh-CN"/>
              </w:rPr>
              <w:t>3</w:t>
            </w:r>
            <w:r>
              <w:rPr>
                <w:rFonts w:hint="default" w:ascii="Times New Roman" w:hAnsi="Times New Roman" w:eastAsia="宋体" w:cs="Times New Roman"/>
                <w:b/>
                <w:bCs/>
                <w:color w:val="auto"/>
                <w:lang w:val="en-US" w:eastAsia="zh-CN"/>
              </w:rPr>
              <w:t>）废水污染物排放信息</w:t>
            </w:r>
          </w:p>
          <w:p w14:paraId="5104F0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本项目水污染物产排情况见表4-</w:t>
            </w:r>
            <w:r>
              <w:rPr>
                <w:rFonts w:hint="eastAsia" w:cs="Times New Roman"/>
                <w:b w:val="0"/>
                <w:bCs w:val="0"/>
                <w:color w:val="auto"/>
                <w:lang w:val="en-US" w:eastAsia="zh-CN"/>
              </w:rPr>
              <w:t>17</w:t>
            </w:r>
            <w:r>
              <w:rPr>
                <w:rFonts w:hint="default" w:ascii="Times New Roman" w:hAnsi="Times New Roman" w:eastAsia="宋体" w:cs="Times New Roman"/>
                <w:b w:val="0"/>
                <w:bCs w:val="0"/>
                <w:color w:val="auto"/>
                <w:lang w:val="en-US" w:eastAsia="zh-CN"/>
              </w:rPr>
              <w:t>~4-</w:t>
            </w:r>
            <w:r>
              <w:rPr>
                <w:rFonts w:hint="eastAsia" w:cs="Times New Roman"/>
                <w:b w:val="0"/>
                <w:bCs w:val="0"/>
                <w:color w:val="auto"/>
                <w:lang w:val="en-US" w:eastAsia="zh-CN"/>
              </w:rPr>
              <w:t>19</w:t>
            </w:r>
            <w:r>
              <w:rPr>
                <w:rFonts w:hint="default" w:ascii="Times New Roman" w:hAnsi="Times New Roman" w:eastAsia="宋体" w:cs="Times New Roman"/>
                <w:b w:val="0"/>
                <w:bCs w:val="0"/>
                <w:color w:val="auto"/>
                <w:lang w:val="en-US" w:eastAsia="zh-CN"/>
              </w:rPr>
              <w:t>。</w:t>
            </w:r>
          </w:p>
          <w:p w14:paraId="5203D7C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lang w:val="en-US" w:eastAsia="zh-CN"/>
              </w:rPr>
            </w:pPr>
            <w:r>
              <w:rPr>
                <w:rFonts w:hint="default" w:ascii="Times New Roman" w:hAnsi="Times New Roman" w:cs="Times New Roman"/>
                <w:b/>
                <w:color w:val="auto"/>
                <w:kern w:val="0"/>
                <w:szCs w:val="21"/>
              </w:rPr>
              <w:t>表4-</w:t>
            </w:r>
            <w:r>
              <w:rPr>
                <w:rFonts w:hint="eastAsia" w:cs="Times New Roman"/>
                <w:b/>
                <w:color w:val="auto"/>
                <w:kern w:val="0"/>
                <w:szCs w:val="21"/>
                <w:lang w:val="en-US" w:eastAsia="zh-CN"/>
              </w:rPr>
              <w:t>17</w:t>
            </w:r>
            <w:r>
              <w:rPr>
                <w:rFonts w:hint="default" w:ascii="Times New Roman" w:hAnsi="Times New Roman" w:cs="Times New Roman"/>
                <w:b/>
                <w:color w:val="auto"/>
                <w:kern w:val="0"/>
                <w:szCs w:val="21"/>
              </w:rPr>
              <w:t xml:space="preserve">  废水产排情况表</w:t>
            </w:r>
            <w:r>
              <w:rPr>
                <w:rFonts w:hint="eastAsia" w:ascii="Times New Roman" w:hAnsi="Times New Roman" w:cs="Times New Roman"/>
                <w:b/>
                <w:color w:val="auto"/>
                <w:kern w:val="0"/>
                <w:szCs w:val="21"/>
                <w:lang w:val="en-US" w:eastAsia="zh-CN"/>
              </w:rPr>
              <w:t xml:space="preserve">  pH值：无量纲</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77"/>
              <w:gridCol w:w="1281"/>
              <w:gridCol w:w="1295"/>
              <w:gridCol w:w="1817"/>
              <w:gridCol w:w="1350"/>
              <w:gridCol w:w="1110"/>
              <w:gridCol w:w="1907"/>
              <w:gridCol w:w="1359"/>
              <w:gridCol w:w="1815"/>
              <w:gridCol w:w="915"/>
            </w:tblGrid>
            <w:tr w14:paraId="5FF473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250" w:type="pct"/>
                  <w:noWrap w:val="0"/>
                  <w:vAlign w:val="center"/>
                </w:tcPr>
                <w:p w14:paraId="39CFBF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类别</w:t>
                  </w:r>
                </w:p>
              </w:tc>
              <w:tc>
                <w:tcPr>
                  <w:tcW w:w="473" w:type="pct"/>
                  <w:noWrap w:val="0"/>
                  <w:vAlign w:val="center"/>
                </w:tcPr>
                <w:p w14:paraId="3E04BC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废水量（t/a）</w:t>
                  </w:r>
                </w:p>
              </w:tc>
              <w:tc>
                <w:tcPr>
                  <w:tcW w:w="478" w:type="pct"/>
                  <w:noWrap w:val="0"/>
                  <w:vAlign w:val="center"/>
                </w:tcPr>
                <w:p w14:paraId="620234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污染物名称</w:t>
                  </w:r>
                </w:p>
              </w:tc>
              <w:tc>
                <w:tcPr>
                  <w:tcW w:w="671" w:type="pct"/>
                  <w:noWrap w:val="0"/>
                  <w:vAlign w:val="center"/>
                </w:tcPr>
                <w:p w14:paraId="469189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产生浓度（mg/L）</w:t>
                  </w:r>
                </w:p>
              </w:tc>
              <w:tc>
                <w:tcPr>
                  <w:tcW w:w="499" w:type="pct"/>
                  <w:noWrap w:val="0"/>
                  <w:vAlign w:val="center"/>
                </w:tcPr>
                <w:p w14:paraId="36EA5C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产生量（t/a）</w:t>
                  </w:r>
                </w:p>
              </w:tc>
              <w:tc>
                <w:tcPr>
                  <w:tcW w:w="410" w:type="pct"/>
                  <w:noWrap w:val="0"/>
                  <w:vAlign w:val="center"/>
                </w:tcPr>
                <w:p w14:paraId="1B1C5E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治理方式</w:t>
                  </w:r>
                </w:p>
              </w:tc>
              <w:tc>
                <w:tcPr>
                  <w:tcW w:w="704" w:type="pct"/>
                  <w:noWrap w:val="0"/>
                  <w:vAlign w:val="center"/>
                </w:tcPr>
                <w:p w14:paraId="138A88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排放浓度（mg/L）</w:t>
                  </w:r>
                </w:p>
              </w:tc>
              <w:tc>
                <w:tcPr>
                  <w:tcW w:w="502" w:type="pct"/>
                  <w:noWrap w:val="0"/>
                  <w:vAlign w:val="center"/>
                </w:tcPr>
                <w:p w14:paraId="4955D6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排放量（t/a）</w:t>
                  </w:r>
                </w:p>
              </w:tc>
              <w:tc>
                <w:tcPr>
                  <w:tcW w:w="670" w:type="pct"/>
                  <w:noWrap w:val="0"/>
                  <w:vAlign w:val="center"/>
                </w:tcPr>
                <w:p w14:paraId="2280E9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排放</w:t>
                  </w:r>
                  <w:r>
                    <w:rPr>
                      <w:rFonts w:hint="eastAsia" w:eastAsia="仿宋" w:cs="Times New Roman"/>
                      <w:color w:val="auto"/>
                      <w:kern w:val="0"/>
                      <w:szCs w:val="21"/>
                      <w:lang w:val="en-US" w:eastAsia="zh-CN"/>
                    </w:rPr>
                    <w:t>要求</w:t>
                  </w:r>
                  <w:r>
                    <w:rPr>
                      <w:rFonts w:hint="default" w:ascii="Times New Roman" w:hAnsi="Times New Roman" w:eastAsia="仿宋" w:cs="Times New Roman"/>
                      <w:color w:val="auto"/>
                      <w:kern w:val="0"/>
                      <w:szCs w:val="21"/>
                    </w:rPr>
                    <w:t>（mg/L）</w:t>
                  </w:r>
                </w:p>
              </w:tc>
              <w:tc>
                <w:tcPr>
                  <w:tcW w:w="338" w:type="pct"/>
                  <w:noWrap w:val="0"/>
                  <w:vAlign w:val="center"/>
                </w:tcPr>
                <w:p w14:paraId="5E3054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排放</w:t>
                  </w:r>
                </w:p>
                <w:p w14:paraId="4303A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去向</w:t>
                  </w:r>
                </w:p>
              </w:tc>
            </w:tr>
            <w:tr w14:paraId="07C943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250" w:type="pct"/>
                  <w:vMerge w:val="restart"/>
                  <w:noWrap w:val="0"/>
                  <w:vAlign w:val="center"/>
                </w:tcPr>
                <w:p w14:paraId="6E9456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生活污水</w:t>
                  </w:r>
                </w:p>
              </w:tc>
              <w:tc>
                <w:tcPr>
                  <w:tcW w:w="473" w:type="pct"/>
                  <w:vMerge w:val="restart"/>
                  <w:noWrap w:val="0"/>
                  <w:vAlign w:val="center"/>
                </w:tcPr>
                <w:p w14:paraId="2DAB0E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720</w:t>
                  </w:r>
                </w:p>
              </w:tc>
              <w:tc>
                <w:tcPr>
                  <w:tcW w:w="478" w:type="pct"/>
                  <w:noWrap w:val="0"/>
                  <w:vAlign w:val="center"/>
                </w:tcPr>
                <w:p w14:paraId="2F6611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pH值</w:t>
                  </w:r>
                </w:p>
              </w:tc>
              <w:tc>
                <w:tcPr>
                  <w:tcW w:w="1817" w:type="dxa"/>
                  <w:noWrap w:val="0"/>
                  <w:vAlign w:val="center"/>
                </w:tcPr>
                <w:p w14:paraId="2E79F54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lang w:val="en-US" w:eastAsia="zh-CN"/>
                    </w:rPr>
                    <w:t>6.5~9</w:t>
                  </w:r>
                </w:p>
              </w:tc>
              <w:tc>
                <w:tcPr>
                  <w:tcW w:w="1350" w:type="dxa"/>
                  <w:noWrap w:val="0"/>
                  <w:vAlign w:val="center"/>
                </w:tcPr>
                <w:p w14:paraId="7B41B810">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lang w:val="en-US" w:eastAsia="zh-CN"/>
                    </w:rPr>
                    <w:t>6.5~9</w:t>
                  </w:r>
                </w:p>
              </w:tc>
              <w:tc>
                <w:tcPr>
                  <w:tcW w:w="410" w:type="pct"/>
                  <w:vMerge w:val="restart"/>
                  <w:noWrap w:val="0"/>
                  <w:vAlign w:val="center"/>
                </w:tcPr>
                <w:p w14:paraId="652603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szCs w:val="21"/>
                    </w:rPr>
                    <w:t>接管进</w:t>
                  </w:r>
                  <w:r>
                    <w:rPr>
                      <w:rFonts w:hint="eastAsia" w:eastAsia="仿宋" w:cs="Times New Roman"/>
                      <w:color w:val="auto"/>
                      <w:szCs w:val="21"/>
                      <w:lang w:eastAsia="zh-CN"/>
                    </w:rPr>
                    <w:t>金坛区朱林镇三星村李巷农村生活污水处理站</w:t>
                  </w:r>
                  <w:r>
                    <w:rPr>
                      <w:rFonts w:hint="default" w:ascii="Times New Roman" w:hAnsi="Times New Roman" w:eastAsia="仿宋" w:cs="Times New Roman"/>
                      <w:color w:val="auto"/>
                      <w:szCs w:val="21"/>
                    </w:rPr>
                    <w:t>处理</w:t>
                  </w:r>
                </w:p>
              </w:tc>
              <w:tc>
                <w:tcPr>
                  <w:tcW w:w="1907" w:type="dxa"/>
                  <w:noWrap w:val="0"/>
                  <w:vAlign w:val="center"/>
                </w:tcPr>
                <w:p w14:paraId="1FD3718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lang w:val="en-US" w:eastAsia="zh-CN"/>
                    </w:rPr>
                    <w:t>6.5~9</w:t>
                  </w:r>
                </w:p>
              </w:tc>
              <w:tc>
                <w:tcPr>
                  <w:tcW w:w="1359" w:type="dxa"/>
                  <w:noWrap w:val="0"/>
                  <w:vAlign w:val="center"/>
                </w:tcPr>
                <w:p w14:paraId="6D424AF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lang w:val="en-US" w:eastAsia="zh-CN"/>
                    </w:rPr>
                    <w:t>6.5~9</w:t>
                  </w:r>
                </w:p>
              </w:tc>
              <w:tc>
                <w:tcPr>
                  <w:tcW w:w="670" w:type="pct"/>
                  <w:noWrap w:val="0"/>
                  <w:vAlign w:val="center"/>
                </w:tcPr>
                <w:p w14:paraId="4E0C85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6.5~9.5</w:t>
                  </w:r>
                </w:p>
              </w:tc>
              <w:tc>
                <w:tcPr>
                  <w:tcW w:w="338" w:type="pct"/>
                  <w:vMerge w:val="restart"/>
                  <w:noWrap w:val="0"/>
                  <w:vAlign w:val="center"/>
                </w:tcPr>
                <w:p w14:paraId="5795DA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西港河</w:t>
                  </w:r>
                </w:p>
              </w:tc>
            </w:tr>
            <w:tr w14:paraId="2AAB83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250" w:type="pct"/>
                  <w:vMerge w:val="continue"/>
                  <w:noWrap w:val="0"/>
                  <w:vAlign w:val="center"/>
                </w:tcPr>
                <w:p w14:paraId="3515F0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p>
              </w:tc>
              <w:tc>
                <w:tcPr>
                  <w:tcW w:w="473" w:type="pct"/>
                  <w:vMerge w:val="continue"/>
                  <w:noWrap w:val="0"/>
                  <w:vAlign w:val="center"/>
                </w:tcPr>
                <w:p w14:paraId="731151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lang w:val="en-US" w:eastAsia="zh-CN"/>
                    </w:rPr>
                  </w:pPr>
                </w:p>
              </w:tc>
              <w:tc>
                <w:tcPr>
                  <w:tcW w:w="478" w:type="pct"/>
                  <w:noWrap w:val="0"/>
                  <w:vAlign w:val="center"/>
                </w:tcPr>
                <w:p w14:paraId="418E67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COD</w:t>
                  </w:r>
                </w:p>
              </w:tc>
              <w:tc>
                <w:tcPr>
                  <w:tcW w:w="1817" w:type="dxa"/>
                  <w:noWrap w:val="0"/>
                  <w:vAlign w:val="center"/>
                </w:tcPr>
                <w:p w14:paraId="56B97E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400</w:t>
                  </w:r>
                </w:p>
              </w:tc>
              <w:tc>
                <w:tcPr>
                  <w:tcW w:w="1350" w:type="dxa"/>
                  <w:noWrap w:val="0"/>
                  <w:vAlign w:val="center"/>
                </w:tcPr>
                <w:p w14:paraId="05D6C9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0.288</w:t>
                  </w:r>
                </w:p>
              </w:tc>
              <w:tc>
                <w:tcPr>
                  <w:tcW w:w="410" w:type="pct"/>
                  <w:vMerge w:val="continue"/>
                  <w:noWrap w:val="0"/>
                  <w:vAlign w:val="center"/>
                </w:tcPr>
                <w:p w14:paraId="0E0F77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p>
              </w:tc>
              <w:tc>
                <w:tcPr>
                  <w:tcW w:w="1907" w:type="dxa"/>
                  <w:noWrap w:val="0"/>
                  <w:vAlign w:val="center"/>
                </w:tcPr>
                <w:p w14:paraId="1869FE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400</w:t>
                  </w:r>
                </w:p>
              </w:tc>
              <w:tc>
                <w:tcPr>
                  <w:tcW w:w="1359" w:type="dxa"/>
                  <w:noWrap w:val="0"/>
                  <w:vAlign w:val="center"/>
                </w:tcPr>
                <w:p w14:paraId="739291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0.288</w:t>
                  </w:r>
                </w:p>
              </w:tc>
              <w:tc>
                <w:tcPr>
                  <w:tcW w:w="670" w:type="pct"/>
                  <w:noWrap w:val="0"/>
                  <w:vAlign w:val="center"/>
                </w:tcPr>
                <w:p w14:paraId="13979B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500</w:t>
                  </w:r>
                </w:p>
              </w:tc>
              <w:tc>
                <w:tcPr>
                  <w:tcW w:w="338" w:type="pct"/>
                  <w:vMerge w:val="continue"/>
                  <w:noWrap w:val="0"/>
                  <w:vAlign w:val="center"/>
                </w:tcPr>
                <w:p w14:paraId="26ACC1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p>
              </w:tc>
            </w:tr>
            <w:tr w14:paraId="6FECF0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250" w:type="pct"/>
                  <w:vMerge w:val="continue"/>
                  <w:noWrap w:val="0"/>
                  <w:vAlign w:val="center"/>
                </w:tcPr>
                <w:p w14:paraId="4987E3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p>
              </w:tc>
              <w:tc>
                <w:tcPr>
                  <w:tcW w:w="473" w:type="pct"/>
                  <w:vMerge w:val="continue"/>
                  <w:noWrap w:val="0"/>
                  <w:vAlign w:val="center"/>
                </w:tcPr>
                <w:p w14:paraId="4179EB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p>
              </w:tc>
              <w:tc>
                <w:tcPr>
                  <w:tcW w:w="478" w:type="pct"/>
                  <w:noWrap w:val="0"/>
                  <w:vAlign w:val="center"/>
                </w:tcPr>
                <w:p w14:paraId="16B6D3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SS</w:t>
                  </w:r>
                </w:p>
              </w:tc>
              <w:tc>
                <w:tcPr>
                  <w:tcW w:w="1817" w:type="dxa"/>
                  <w:noWrap w:val="0"/>
                  <w:vAlign w:val="center"/>
                </w:tcPr>
                <w:p w14:paraId="3E7438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300</w:t>
                  </w:r>
                </w:p>
              </w:tc>
              <w:tc>
                <w:tcPr>
                  <w:tcW w:w="1350" w:type="dxa"/>
                  <w:noWrap w:val="0"/>
                  <w:vAlign w:val="center"/>
                </w:tcPr>
                <w:p w14:paraId="08DF8A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0.216</w:t>
                  </w:r>
                </w:p>
              </w:tc>
              <w:tc>
                <w:tcPr>
                  <w:tcW w:w="410" w:type="pct"/>
                  <w:vMerge w:val="continue"/>
                  <w:noWrap w:val="0"/>
                  <w:vAlign w:val="center"/>
                </w:tcPr>
                <w:p w14:paraId="45A29DF7">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c>
                <w:tcPr>
                  <w:tcW w:w="1907" w:type="dxa"/>
                  <w:noWrap w:val="0"/>
                  <w:vAlign w:val="center"/>
                </w:tcPr>
                <w:p w14:paraId="6C73B6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300</w:t>
                  </w:r>
                </w:p>
              </w:tc>
              <w:tc>
                <w:tcPr>
                  <w:tcW w:w="1359" w:type="dxa"/>
                  <w:noWrap w:val="0"/>
                  <w:vAlign w:val="center"/>
                </w:tcPr>
                <w:p w14:paraId="11FED7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0.216</w:t>
                  </w:r>
                </w:p>
              </w:tc>
              <w:tc>
                <w:tcPr>
                  <w:tcW w:w="670" w:type="pct"/>
                  <w:noWrap w:val="0"/>
                  <w:vAlign w:val="center"/>
                </w:tcPr>
                <w:p w14:paraId="3C5047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400</w:t>
                  </w:r>
                </w:p>
              </w:tc>
              <w:tc>
                <w:tcPr>
                  <w:tcW w:w="338" w:type="pct"/>
                  <w:vMerge w:val="continue"/>
                  <w:noWrap w:val="0"/>
                  <w:vAlign w:val="center"/>
                </w:tcPr>
                <w:p w14:paraId="03366CE5">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r>
            <w:tr w14:paraId="06AA0B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250" w:type="pct"/>
                  <w:vMerge w:val="continue"/>
                  <w:noWrap w:val="0"/>
                  <w:vAlign w:val="center"/>
                </w:tcPr>
                <w:p w14:paraId="7BA03E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p>
              </w:tc>
              <w:tc>
                <w:tcPr>
                  <w:tcW w:w="473" w:type="pct"/>
                  <w:vMerge w:val="continue"/>
                  <w:noWrap w:val="0"/>
                  <w:vAlign w:val="center"/>
                </w:tcPr>
                <w:p w14:paraId="69309D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p>
              </w:tc>
              <w:tc>
                <w:tcPr>
                  <w:tcW w:w="478" w:type="pct"/>
                  <w:noWrap w:val="0"/>
                  <w:vAlign w:val="center"/>
                </w:tcPr>
                <w:p w14:paraId="191826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NH</w:t>
                  </w:r>
                  <w:r>
                    <w:rPr>
                      <w:rFonts w:hint="default" w:ascii="Times New Roman" w:hAnsi="Times New Roman" w:eastAsia="仿宋" w:cs="Times New Roman"/>
                      <w:color w:val="auto"/>
                      <w:kern w:val="0"/>
                      <w:szCs w:val="21"/>
                      <w:vertAlign w:val="subscript"/>
                    </w:rPr>
                    <w:t>3</w:t>
                  </w:r>
                  <w:r>
                    <w:rPr>
                      <w:rFonts w:hint="default" w:ascii="Times New Roman" w:hAnsi="Times New Roman" w:eastAsia="仿宋" w:cs="Times New Roman"/>
                      <w:color w:val="auto"/>
                      <w:kern w:val="0"/>
                      <w:szCs w:val="21"/>
                    </w:rPr>
                    <w:t>-N</w:t>
                  </w:r>
                </w:p>
              </w:tc>
              <w:tc>
                <w:tcPr>
                  <w:tcW w:w="1817" w:type="dxa"/>
                  <w:noWrap w:val="0"/>
                  <w:vAlign w:val="center"/>
                </w:tcPr>
                <w:p w14:paraId="7DADF9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35</w:t>
                  </w:r>
                </w:p>
              </w:tc>
              <w:tc>
                <w:tcPr>
                  <w:tcW w:w="1350" w:type="dxa"/>
                  <w:noWrap w:val="0"/>
                  <w:vAlign w:val="center"/>
                </w:tcPr>
                <w:p w14:paraId="26D6E6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410" w:type="pct"/>
                  <w:vMerge w:val="continue"/>
                  <w:noWrap w:val="0"/>
                  <w:vAlign w:val="center"/>
                </w:tcPr>
                <w:p w14:paraId="5B778D22">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c>
                <w:tcPr>
                  <w:tcW w:w="1907" w:type="dxa"/>
                  <w:noWrap w:val="0"/>
                  <w:vAlign w:val="center"/>
                </w:tcPr>
                <w:p w14:paraId="641AFC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35</w:t>
                  </w:r>
                </w:p>
              </w:tc>
              <w:tc>
                <w:tcPr>
                  <w:tcW w:w="1359" w:type="dxa"/>
                  <w:noWrap w:val="0"/>
                  <w:vAlign w:val="center"/>
                </w:tcPr>
                <w:p w14:paraId="18AFBF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670" w:type="pct"/>
                  <w:noWrap w:val="0"/>
                  <w:vAlign w:val="center"/>
                </w:tcPr>
                <w:p w14:paraId="16ECFF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45</w:t>
                  </w:r>
                </w:p>
              </w:tc>
              <w:tc>
                <w:tcPr>
                  <w:tcW w:w="338" w:type="pct"/>
                  <w:vMerge w:val="continue"/>
                  <w:noWrap w:val="0"/>
                  <w:vAlign w:val="center"/>
                </w:tcPr>
                <w:p w14:paraId="7048E4D4">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r>
            <w:tr w14:paraId="3E0C2E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250" w:type="pct"/>
                  <w:vMerge w:val="continue"/>
                  <w:noWrap w:val="0"/>
                  <w:vAlign w:val="center"/>
                </w:tcPr>
                <w:p w14:paraId="793A0D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p>
              </w:tc>
              <w:tc>
                <w:tcPr>
                  <w:tcW w:w="473" w:type="pct"/>
                  <w:vMerge w:val="continue"/>
                  <w:noWrap w:val="0"/>
                  <w:vAlign w:val="center"/>
                </w:tcPr>
                <w:p w14:paraId="7EF6A8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p>
              </w:tc>
              <w:tc>
                <w:tcPr>
                  <w:tcW w:w="478" w:type="pct"/>
                  <w:noWrap w:val="0"/>
                  <w:vAlign w:val="center"/>
                </w:tcPr>
                <w:p w14:paraId="5035C8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TP</w:t>
                  </w:r>
                </w:p>
              </w:tc>
              <w:tc>
                <w:tcPr>
                  <w:tcW w:w="1817" w:type="dxa"/>
                  <w:noWrap w:val="0"/>
                  <w:vAlign w:val="center"/>
                </w:tcPr>
                <w:p w14:paraId="3C91BF6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5</w:t>
                  </w:r>
                </w:p>
              </w:tc>
              <w:tc>
                <w:tcPr>
                  <w:tcW w:w="1350" w:type="dxa"/>
                  <w:noWrap w:val="0"/>
                  <w:vAlign w:val="center"/>
                </w:tcPr>
                <w:p w14:paraId="33790D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4</w:t>
                  </w:r>
                </w:p>
              </w:tc>
              <w:tc>
                <w:tcPr>
                  <w:tcW w:w="410" w:type="pct"/>
                  <w:vMerge w:val="continue"/>
                  <w:noWrap w:val="0"/>
                  <w:vAlign w:val="center"/>
                </w:tcPr>
                <w:p w14:paraId="11533686">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c>
                <w:tcPr>
                  <w:tcW w:w="1907" w:type="dxa"/>
                  <w:noWrap w:val="0"/>
                  <w:vAlign w:val="center"/>
                </w:tcPr>
                <w:p w14:paraId="03CAB8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5</w:t>
                  </w:r>
                </w:p>
              </w:tc>
              <w:tc>
                <w:tcPr>
                  <w:tcW w:w="1359" w:type="dxa"/>
                  <w:noWrap w:val="0"/>
                  <w:vAlign w:val="center"/>
                </w:tcPr>
                <w:p w14:paraId="3EEB38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4</w:t>
                  </w:r>
                </w:p>
              </w:tc>
              <w:tc>
                <w:tcPr>
                  <w:tcW w:w="670" w:type="pct"/>
                  <w:noWrap w:val="0"/>
                  <w:vAlign w:val="center"/>
                </w:tcPr>
                <w:p w14:paraId="523EBA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8</w:t>
                  </w:r>
                </w:p>
              </w:tc>
              <w:tc>
                <w:tcPr>
                  <w:tcW w:w="338" w:type="pct"/>
                  <w:vMerge w:val="continue"/>
                  <w:noWrap w:val="0"/>
                  <w:vAlign w:val="center"/>
                </w:tcPr>
                <w:p w14:paraId="40CA8D3F">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r>
            <w:tr w14:paraId="0E05EF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250" w:type="pct"/>
                  <w:vMerge w:val="continue"/>
                  <w:noWrap w:val="0"/>
                  <w:vAlign w:val="center"/>
                </w:tcPr>
                <w:p w14:paraId="28D546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p>
              </w:tc>
              <w:tc>
                <w:tcPr>
                  <w:tcW w:w="473" w:type="pct"/>
                  <w:vMerge w:val="continue"/>
                  <w:noWrap w:val="0"/>
                  <w:vAlign w:val="center"/>
                </w:tcPr>
                <w:p w14:paraId="166CC8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p>
              </w:tc>
              <w:tc>
                <w:tcPr>
                  <w:tcW w:w="478" w:type="pct"/>
                  <w:noWrap w:val="0"/>
                  <w:vAlign w:val="center"/>
                </w:tcPr>
                <w:p w14:paraId="779950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TN</w:t>
                  </w:r>
                </w:p>
              </w:tc>
              <w:tc>
                <w:tcPr>
                  <w:tcW w:w="1817" w:type="dxa"/>
                  <w:noWrap w:val="0"/>
                  <w:vAlign w:val="center"/>
                </w:tcPr>
                <w:p w14:paraId="1A615C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等线" w:cs="Times New Roman"/>
                      <w:i w:val="0"/>
                      <w:iCs w:val="0"/>
                      <w:color w:val="auto"/>
                      <w:kern w:val="0"/>
                      <w:sz w:val="21"/>
                      <w:szCs w:val="21"/>
                      <w:u w:val="none"/>
                      <w:lang w:val="en-US" w:eastAsia="zh-CN" w:bidi="ar"/>
                    </w:rPr>
                    <w:t>50</w:t>
                  </w:r>
                </w:p>
              </w:tc>
              <w:tc>
                <w:tcPr>
                  <w:tcW w:w="1350" w:type="dxa"/>
                  <w:noWrap w:val="0"/>
                  <w:vAlign w:val="center"/>
                </w:tcPr>
                <w:p w14:paraId="64AFA3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0.036</w:t>
                  </w:r>
                </w:p>
              </w:tc>
              <w:tc>
                <w:tcPr>
                  <w:tcW w:w="410" w:type="pct"/>
                  <w:vMerge w:val="continue"/>
                  <w:noWrap w:val="0"/>
                  <w:vAlign w:val="center"/>
                </w:tcPr>
                <w:p w14:paraId="25691818">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c>
                <w:tcPr>
                  <w:tcW w:w="1907" w:type="dxa"/>
                  <w:noWrap w:val="0"/>
                  <w:vAlign w:val="center"/>
                </w:tcPr>
                <w:p w14:paraId="16DA07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等线" w:cs="Times New Roman"/>
                      <w:i w:val="0"/>
                      <w:iCs w:val="0"/>
                      <w:color w:val="auto"/>
                      <w:kern w:val="0"/>
                      <w:sz w:val="21"/>
                      <w:szCs w:val="21"/>
                      <w:u w:val="none"/>
                      <w:lang w:val="en-US" w:eastAsia="zh-CN" w:bidi="ar"/>
                    </w:rPr>
                    <w:t>50</w:t>
                  </w:r>
                </w:p>
              </w:tc>
              <w:tc>
                <w:tcPr>
                  <w:tcW w:w="1359" w:type="dxa"/>
                  <w:noWrap w:val="0"/>
                  <w:vAlign w:val="center"/>
                </w:tcPr>
                <w:p w14:paraId="3C1212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0.036</w:t>
                  </w:r>
                </w:p>
              </w:tc>
              <w:tc>
                <w:tcPr>
                  <w:tcW w:w="670" w:type="pct"/>
                  <w:noWrap w:val="0"/>
                  <w:vAlign w:val="center"/>
                </w:tcPr>
                <w:p w14:paraId="74631D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70</w:t>
                  </w:r>
                </w:p>
              </w:tc>
              <w:tc>
                <w:tcPr>
                  <w:tcW w:w="338" w:type="pct"/>
                  <w:vMerge w:val="continue"/>
                  <w:noWrap w:val="0"/>
                  <w:vAlign w:val="center"/>
                </w:tcPr>
                <w:p w14:paraId="3DAF2A8E">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p>
              </w:tc>
            </w:tr>
          </w:tbl>
          <w:p w14:paraId="7F8682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w:t>
            </w:r>
            <w:r>
              <w:rPr>
                <w:rFonts w:hint="eastAsia" w:cs="Times New Roman"/>
                <w:b/>
                <w:color w:val="auto"/>
                <w:kern w:val="0"/>
                <w:sz w:val="21"/>
                <w:szCs w:val="21"/>
                <w:lang w:val="en-US" w:eastAsia="zh-CN"/>
              </w:rPr>
              <w:t>18</w:t>
            </w:r>
            <w:r>
              <w:rPr>
                <w:rFonts w:hint="default" w:ascii="Times New Roman" w:hAnsi="Times New Roman" w:eastAsia="宋体" w:cs="Times New Roman"/>
                <w:b/>
                <w:color w:val="auto"/>
                <w:kern w:val="0"/>
                <w:sz w:val="21"/>
                <w:szCs w:val="21"/>
              </w:rPr>
              <w:t xml:space="preserve">  废水间接排放口基本情况表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81"/>
              <w:gridCol w:w="1453"/>
              <w:gridCol w:w="1329"/>
              <w:gridCol w:w="1250"/>
              <w:gridCol w:w="1118"/>
              <w:gridCol w:w="1221"/>
              <w:gridCol w:w="1600"/>
              <w:gridCol w:w="1007"/>
              <w:gridCol w:w="1554"/>
              <w:gridCol w:w="1690"/>
            </w:tblGrid>
            <w:tr w14:paraId="7325D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 w:type="pct"/>
                  <w:vMerge w:val="restart"/>
                  <w:noWrap w:val="0"/>
                  <w:vAlign w:val="center"/>
                </w:tcPr>
                <w:p w14:paraId="6B1286C9">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序号</w:t>
                  </w:r>
                </w:p>
              </w:tc>
              <w:tc>
                <w:tcPr>
                  <w:tcW w:w="325" w:type="pct"/>
                  <w:vMerge w:val="restart"/>
                  <w:noWrap w:val="0"/>
                  <w:vAlign w:val="center"/>
                </w:tcPr>
                <w:p w14:paraId="0E2AF24A">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排放口编号</w:t>
                  </w:r>
                </w:p>
              </w:tc>
              <w:tc>
                <w:tcPr>
                  <w:tcW w:w="1028" w:type="pct"/>
                  <w:gridSpan w:val="2"/>
                  <w:noWrap w:val="0"/>
                  <w:vAlign w:val="center"/>
                </w:tcPr>
                <w:p w14:paraId="2ED08EB4">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排放口地理坐标</w:t>
                  </w:r>
                </w:p>
              </w:tc>
              <w:tc>
                <w:tcPr>
                  <w:tcW w:w="461" w:type="pct"/>
                  <w:vMerge w:val="restart"/>
                  <w:noWrap w:val="0"/>
                  <w:vAlign w:val="center"/>
                </w:tcPr>
                <w:p w14:paraId="544FB0D6">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废水排放量/（m³/a）</w:t>
                  </w:r>
                </w:p>
              </w:tc>
              <w:tc>
                <w:tcPr>
                  <w:tcW w:w="413" w:type="pct"/>
                  <w:vMerge w:val="restart"/>
                  <w:noWrap w:val="0"/>
                  <w:vAlign w:val="center"/>
                </w:tcPr>
                <w:p w14:paraId="56F7085B">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排放去向</w:t>
                  </w:r>
                </w:p>
              </w:tc>
              <w:tc>
                <w:tcPr>
                  <w:tcW w:w="451" w:type="pct"/>
                  <w:vMerge w:val="restart"/>
                  <w:noWrap w:val="0"/>
                  <w:vAlign w:val="center"/>
                </w:tcPr>
                <w:p w14:paraId="53FD5DC4">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排放规律</w:t>
                  </w:r>
                </w:p>
              </w:tc>
              <w:tc>
                <w:tcPr>
                  <w:tcW w:w="591" w:type="pct"/>
                  <w:vMerge w:val="restart"/>
                  <w:noWrap w:val="0"/>
                  <w:vAlign w:val="center"/>
                </w:tcPr>
                <w:p w14:paraId="4C338AF1">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间歇排放时段</w:t>
                  </w:r>
                </w:p>
              </w:tc>
              <w:tc>
                <w:tcPr>
                  <w:tcW w:w="1571" w:type="pct"/>
                  <w:gridSpan w:val="3"/>
                  <w:noWrap w:val="0"/>
                  <w:vAlign w:val="center"/>
                </w:tcPr>
                <w:p w14:paraId="46D49CCD">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受纳污水处理厂信息</w:t>
                  </w:r>
                </w:p>
              </w:tc>
            </w:tr>
            <w:tr w14:paraId="6FCB6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 w:type="pct"/>
                  <w:vMerge w:val="continue"/>
                  <w:noWrap w:val="0"/>
                  <w:vAlign w:val="center"/>
                </w:tcPr>
                <w:p w14:paraId="7B2C3EDB">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325" w:type="pct"/>
                  <w:vMerge w:val="continue"/>
                  <w:noWrap w:val="0"/>
                  <w:vAlign w:val="center"/>
                </w:tcPr>
                <w:p w14:paraId="17074B1C">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36" w:type="pct"/>
                  <w:noWrap w:val="0"/>
                  <w:vAlign w:val="center"/>
                </w:tcPr>
                <w:p w14:paraId="0679E692">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经度</w:t>
                  </w:r>
                </w:p>
              </w:tc>
              <w:tc>
                <w:tcPr>
                  <w:tcW w:w="491" w:type="pct"/>
                  <w:noWrap w:val="0"/>
                  <w:vAlign w:val="center"/>
                </w:tcPr>
                <w:p w14:paraId="32F7153E">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纬度</w:t>
                  </w:r>
                </w:p>
              </w:tc>
              <w:tc>
                <w:tcPr>
                  <w:tcW w:w="461" w:type="pct"/>
                  <w:vMerge w:val="continue"/>
                  <w:noWrap w:val="0"/>
                  <w:vAlign w:val="center"/>
                </w:tcPr>
                <w:p w14:paraId="269CF8F9">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13" w:type="pct"/>
                  <w:vMerge w:val="continue"/>
                  <w:noWrap w:val="0"/>
                  <w:vAlign w:val="center"/>
                </w:tcPr>
                <w:p w14:paraId="5D5365E5">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51" w:type="pct"/>
                  <w:vMerge w:val="continue"/>
                  <w:noWrap w:val="0"/>
                  <w:vAlign w:val="center"/>
                </w:tcPr>
                <w:p w14:paraId="738E9FCB">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91" w:type="pct"/>
                  <w:vMerge w:val="continue"/>
                  <w:noWrap w:val="0"/>
                  <w:vAlign w:val="center"/>
                </w:tcPr>
                <w:p w14:paraId="552E409E">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372" w:type="pct"/>
                  <w:noWrap w:val="0"/>
                  <w:vAlign w:val="center"/>
                </w:tcPr>
                <w:p w14:paraId="3FE2C0AD">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名称</w:t>
                  </w:r>
                </w:p>
              </w:tc>
              <w:tc>
                <w:tcPr>
                  <w:tcW w:w="574" w:type="pct"/>
                  <w:noWrap w:val="0"/>
                  <w:vAlign w:val="center"/>
                </w:tcPr>
                <w:p w14:paraId="10C1804E">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污染物种类</w:t>
                  </w:r>
                </w:p>
              </w:tc>
              <w:tc>
                <w:tcPr>
                  <w:tcW w:w="624" w:type="pct"/>
                  <w:noWrap w:val="0"/>
                  <w:vAlign w:val="center"/>
                </w:tcPr>
                <w:p w14:paraId="1B82D45E">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国家或地方污染物排放标准浓度限值/（mg/L）</w:t>
                  </w:r>
                </w:p>
              </w:tc>
            </w:tr>
            <w:tr w14:paraId="2C144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 w:type="pct"/>
                  <w:vMerge w:val="restart"/>
                  <w:noWrap w:val="0"/>
                  <w:vAlign w:val="center"/>
                </w:tcPr>
                <w:p w14:paraId="10AA9464">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1</w:t>
                  </w:r>
                </w:p>
              </w:tc>
              <w:tc>
                <w:tcPr>
                  <w:tcW w:w="325" w:type="pct"/>
                  <w:vMerge w:val="restart"/>
                  <w:noWrap w:val="0"/>
                  <w:vAlign w:val="center"/>
                </w:tcPr>
                <w:p w14:paraId="1C15DC6B">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DW001</w:t>
                  </w:r>
                </w:p>
              </w:tc>
              <w:tc>
                <w:tcPr>
                  <w:tcW w:w="536" w:type="pct"/>
                  <w:vMerge w:val="restart"/>
                  <w:noWrap w:val="0"/>
                  <w:vAlign w:val="center"/>
                </w:tcPr>
                <w:p w14:paraId="4134A0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119.48524072</w:t>
                  </w:r>
                </w:p>
              </w:tc>
              <w:tc>
                <w:tcPr>
                  <w:tcW w:w="491" w:type="pct"/>
                  <w:vMerge w:val="restart"/>
                  <w:noWrap w:val="0"/>
                  <w:vAlign w:val="center"/>
                </w:tcPr>
                <w:p w14:paraId="58C254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31.70893204</w:t>
                  </w:r>
                </w:p>
              </w:tc>
              <w:tc>
                <w:tcPr>
                  <w:tcW w:w="461" w:type="pct"/>
                  <w:vMerge w:val="restart"/>
                  <w:noWrap w:val="0"/>
                  <w:vAlign w:val="center"/>
                </w:tcPr>
                <w:p w14:paraId="651D38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lang w:val="en-US" w:eastAsia="zh-CN"/>
                    </w:rPr>
                    <w:t>720</w:t>
                  </w:r>
                </w:p>
              </w:tc>
              <w:tc>
                <w:tcPr>
                  <w:tcW w:w="413" w:type="pct"/>
                  <w:vMerge w:val="restart"/>
                  <w:noWrap w:val="0"/>
                  <w:vAlign w:val="center"/>
                </w:tcPr>
                <w:p w14:paraId="24B61DEB">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进入</w:t>
                  </w:r>
                  <w:r>
                    <w:rPr>
                      <w:rFonts w:hint="eastAsia" w:eastAsia="仿宋" w:cs="Times New Roman"/>
                      <w:color w:val="auto"/>
                      <w:lang w:val="en-US" w:eastAsia="zh-CN"/>
                    </w:rPr>
                    <w:t>农村生活污水处理设施</w:t>
                  </w:r>
                </w:p>
              </w:tc>
              <w:tc>
                <w:tcPr>
                  <w:tcW w:w="451" w:type="pct"/>
                  <w:vMerge w:val="restart"/>
                  <w:noWrap w:val="0"/>
                  <w:vAlign w:val="center"/>
                </w:tcPr>
                <w:p w14:paraId="2C97FC27">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间断排放，排放期间流量不稳定且无规律，但不属于冲击型排放</w:t>
                  </w:r>
                </w:p>
              </w:tc>
              <w:tc>
                <w:tcPr>
                  <w:tcW w:w="591" w:type="pct"/>
                  <w:vMerge w:val="restart"/>
                  <w:noWrap w:val="0"/>
                  <w:vAlign w:val="center"/>
                </w:tcPr>
                <w:p w14:paraId="72815AB7">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lang w:val="en-US"/>
                    </w:rPr>
                  </w:pPr>
                  <w:r>
                    <w:rPr>
                      <w:rFonts w:hint="eastAsia" w:eastAsia="仿宋" w:cs="Times New Roman"/>
                      <w:color w:val="auto"/>
                      <w:lang w:val="en-US" w:eastAsia="zh-CN"/>
                    </w:rPr>
                    <w:t>生产期间</w:t>
                  </w:r>
                </w:p>
              </w:tc>
              <w:tc>
                <w:tcPr>
                  <w:tcW w:w="372" w:type="pct"/>
                  <w:vMerge w:val="restart"/>
                  <w:noWrap w:val="0"/>
                  <w:vAlign w:val="center"/>
                </w:tcPr>
                <w:p w14:paraId="2F212DDA">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eastAsia" w:eastAsia="仿宋" w:cs="Times New Roman"/>
                      <w:color w:val="auto"/>
                      <w:lang w:val="en-US" w:eastAsia="zh-CN"/>
                    </w:rPr>
                    <w:t>金坛区朱林镇三星村李巷农村生活污水处理站</w:t>
                  </w:r>
                </w:p>
              </w:tc>
              <w:tc>
                <w:tcPr>
                  <w:tcW w:w="574" w:type="pct"/>
                  <w:noWrap w:val="0"/>
                  <w:vAlign w:val="center"/>
                </w:tcPr>
                <w:p w14:paraId="0D3981C9">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pH值（无量纲）</w:t>
                  </w:r>
                </w:p>
              </w:tc>
              <w:tc>
                <w:tcPr>
                  <w:tcW w:w="624" w:type="pct"/>
                  <w:noWrap w:val="0"/>
                  <w:vAlign w:val="center"/>
                </w:tcPr>
                <w:p w14:paraId="63952D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6~9</w:t>
                  </w:r>
                </w:p>
              </w:tc>
            </w:tr>
            <w:tr w14:paraId="58E18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 w:type="pct"/>
                  <w:vMerge w:val="continue"/>
                  <w:noWrap w:val="0"/>
                  <w:vAlign w:val="center"/>
                </w:tcPr>
                <w:p w14:paraId="472B8A54">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325" w:type="pct"/>
                  <w:vMerge w:val="continue"/>
                  <w:noWrap w:val="0"/>
                  <w:vAlign w:val="center"/>
                </w:tcPr>
                <w:p w14:paraId="4CE56C65">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lang w:val="en-US" w:eastAsia="zh-CN"/>
                    </w:rPr>
                  </w:pPr>
                </w:p>
              </w:tc>
              <w:tc>
                <w:tcPr>
                  <w:tcW w:w="536" w:type="pct"/>
                  <w:vMerge w:val="continue"/>
                  <w:noWrap w:val="0"/>
                  <w:vAlign w:val="center"/>
                </w:tcPr>
                <w:p w14:paraId="68A66D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auto"/>
                    </w:rPr>
                  </w:pPr>
                </w:p>
              </w:tc>
              <w:tc>
                <w:tcPr>
                  <w:tcW w:w="491" w:type="pct"/>
                  <w:vMerge w:val="continue"/>
                  <w:noWrap w:val="0"/>
                  <w:vAlign w:val="center"/>
                </w:tcPr>
                <w:p w14:paraId="48CDF2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61" w:type="pct"/>
                  <w:vMerge w:val="continue"/>
                  <w:noWrap w:val="0"/>
                  <w:vAlign w:val="center"/>
                </w:tcPr>
                <w:p w14:paraId="2AFD8E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color w:val="auto"/>
                      <w:lang w:val="en-US" w:eastAsia="zh-CN"/>
                    </w:rPr>
                  </w:pPr>
                </w:p>
              </w:tc>
              <w:tc>
                <w:tcPr>
                  <w:tcW w:w="413" w:type="pct"/>
                  <w:vMerge w:val="continue"/>
                  <w:noWrap w:val="0"/>
                  <w:vAlign w:val="center"/>
                </w:tcPr>
                <w:p w14:paraId="5461B5A5">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51" w:type="pct"/>
                  <w:vMerge w:val="continue"/>
                  <w:noWrap w:val="0"/>
                  <w:vAlign w:val="center"/>
                </w:tcPr>
                <w:p w14:paraId="5EFB11BF">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91" w:type="pct"/>
                  <w:vMerge w:val="continue"/>
                  <w:noWrap w:val="0"/>
                  <w:vAlign w:val="center"/>
                </w:tcPr>
                <w:p w14:paraId="267A15C3">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color w:val="auto"/>
                      <w:lang w:val="en-US" w:eastAsia="zh-CN"/>
                    </w:rPr>
                  </w:pPr>
                </w:p>
              </w:tc>
              <w:tc>
                <w:tcPr>
                  <w:tcW w:w="372" w:type="pct"/>
                  <w:vMerge w:val="continue"/>
                  <w:noWrap w:val="0"/>
                  <w:vAlign w:val="center"/>
                </w:tcPr>
                <w:p w14:paraId="7C46F172">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color w:val="auto"/>
                      <w:lang w:val="en-US" w:eastAsia="zh-CN"/>
                    </w:rPr>
                  </w:pPr>
                </w:p>
              </w:tc>
              <w:tc>
                <w:tcPr>
                  <w:tcW w:w="574" w:type="pct"/>
                  <w:noWrap w:val="0"/>
                  <w:vAlign w:val="center"/>
                </w:tcPr>
                <w:p w14:paraId="3ECDCDED">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rPr>
                    <w:t>COD</w:t>
                  </w:r>
                </w:p>
              </w:tc>
              <w:tc>
                <w:tcPr>
                  <w:tcW w:w="624" w:type="pct"/>
                  <w:noWrap w:val="0"/>
                  <w:vAlign w:val="center"/>
                </w:tcPr>
                <w:p w14:paraId="6CCB4D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50</w:t>
                  </w:r>
                </w:p>
              </w:tc>
            </w:tr>
            <w:tr w14:paraId="0CB5A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 w:type="pct"/>
                  <w:vMerge w:val="continue"/>
                  <w:noWrap w:val="0"/>
                  <w:vAlign w:val="center"/>
                </w:tcPr>
                <w:p w14:paraId="7C3A8C5E">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325" w:type="pct"/>
                  <w:vMerge w:val="continue"/>
                  <w:noWrap w:val="0"/>
                  <w:vAlign w:val="center"/>
                </w:tcPr>
                <w:p w14:paraId="110B0B64">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36" w:type="pct"/>
                  <w:vMerge w:val="continue"/>
                  <w:noWrap w:val="0"/>
                  <w:vAlign w:val="center"/>
                </w:tcPr>
                <w:p w14:paraId="0F7BDC0D">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91" w:type="pct"/>
                  <w:vMerge w:val="continue"/>
                  <w:noWrap w:val="0"/>
                  <w:vAlign w:val="center"/>
                </w:tcPr>
                <w:p w14:paraId="691808F8">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61" w:type="pct"/>
                  <w:vMerge w:val="continue"/>
                  <w:noWrap w:val="0"/>
                  <w:vAlign w:val="center"/>
                </w:tcPr>
                <w:p w14:paraId="5FAD7F74">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13" w:type="pct"/>
                  <w:vMerge w:val="continue"/>
                  <w:noWrap w:val="0"/>
                  <w:vAlign w:val="center"/>
                </w:tcPr>
                <w:p w14:paraId="58D7CDB6">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51" w:type="pct"/>
                  <w:vMerge w:val="continue"/>
                  <w:noWrap w:val="0"/>
                  <w:vAlign w:val="center"/>
                </w:tcPr>
                <w:p w14:paraId="721A6599">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91" w:type="pct"/>
                  <w:vMerge w:val="continue"/>
                  <w:noWrap w:val="0"/>
                  <w:vAlign w:val="center"/>
                </w:tcPr>
                <w:p w14:paraId="1BE94652">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372" w:type="pct"/>
                  <w:vMerge w:val="continue"/>
                  <w:noWrap w:val="0"/>
                  <w:vAlign w:val="center"/>
                </w:tcPr>
                <w:p w14:paraId="3B46811D">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74" w:type="pct"/>
                  <w:noWrap w:val="0"/>
                  <w:vAlign w:val="center"/>
                </w:tcPr>
                <w:p w14:paraId="4BAFEAA5">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SS</w:t>
                  </w:r>
                </w:p>
              </w:tc>
              <w:tc>
                <w:tcPr>
                  <w:tcW w:w="624" w:type="pct"/>
                  <w:noWrap w:val="0"/>
                  <w:vAlign w:val="center"/>
                </w:tcPr>
                <w:p w14:paraId="6EA641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r>
                    <w:rPr>
                      <w:rFonts w:hint="eastAsia" w:eastAsia="仿宋" w:cs="Times New Roman"/>
                      <w:color w:val="auto"/>
                      <w:szCs w:val="21"/>
                      <w:lang w:val="en-US" w:eastAsia="zh-CN"/>
                    </w:rPr>
                    <w:t>2</w:t>
                  </w:r>
                  <w:r>
                    <w:rPr>
                      <w:rFonts w:hint="default" w:ascii="Times New Roman" w:hAnsi="Times New Roman" w:eastAsia="仿宋" w:cs="Times New Roman"/>
                      <w:color w:val="auto"/>
                      <w:szCs w:val="21"/>
                    </w:rPr>
                    <w:t>0</w:t>
                  </w:r>
                </w:p>
              </w:tc>
            </w:tr>
            <w:tr w14:paraId="757B0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 w:type="pct"/>
                  <w:vMerge w:val="continue"/>
                  <w:noWrap w:val="0"/>
                  <w:vAlign w:val="center"/>
                </w:tcPr>
                <w:p w14:paraId="451EE9D6">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325" w:type="pct"/>
                  <w:vMerge w:val="continue"/>
                  <w:noWrap w:val="0"/>
                  <w:vAlign w:val="center"/>
                </w:tcPr>
                <w:p w14:paraId="2CBDE0DD">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36" w:type="pct"/>
                  <w:vMerge w:val="continue"/>
                  <w:noWrap w:val="0"/>
                  <w:vAlign w:val="center"/>
                </w:tcPr>
                <w:p w14:paraId="5996760C">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91" w:type="pct"/>
                  <w:vMerge w:val="continue"/>
                  <w:noWrap w:val="0"/>
                  <w:vAlign w:val="center"/>
                </w:tcPr>
                <w:p w14:paraId="6E8D67C0">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61" w:type="pct"/>
                  <w:vMerge w:val="continue"/>
                  <w:noWrap w:val="0"/>
                  <w:vAlign w:val="center"/>
                </w:tcPr>
                <w:p w14:paraId="6E79300A">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13" w:type="pct"/>
                  <w:vMerge w:val="continue"/>
                  <w:noWrap w:val="0"/>
                  <w:vAlign w:val="center"/>
                </w:tcPr>
                <w:p w14:paraId="14E596EB">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51" w:type="pct"/>
                  <w:vMerge w:val="continue"/>
                  <w:noWrap w:val="0"/>
                  <w:vAlign w:val="center"/>
                </w:tcPr>
                <w:p w14:paraId="09830F36">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91" w:type="pct"/>
                  <w:vMerge w:val="continue"/>
                  <w:noWrap w:val="0"/>
                  <w:vAlign w:val="center"/>
                </w:tcPr>
                <w:p w14:paraId="45BAB07B">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372" w:type="pct"/>
                  <w:vMerge w:val="continue"/>
                  <w:noWrap w:val="0"/>
                  <w:vAlign w:val="center"/>
                </w:tcPr>
                <w:p w14:paraId="02C6131B">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74" w:type="pct"/>
                  <w:noWrap w:val="0"/>
                  <w:vAlign w:val="center"/>
                </w:tcPr>
                <w:p w14:paraId="4A7FA954">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NH</w:t>
                  </w:r>
                  <w:r>
                    <w:rPr>
                      <w:rFonts w:hint="default" w:ascii="Times New Roman" w:hAnsi="Times New Roman" w:eastAsia="仿宋" w:cs="Times New Roman"/>
                      <w:color w:val="auto"/>
                      <w:vertAlign w:val="subscript"/>
                    </w:rPr>
                    <w:t>3</w:t>
                  </w:r>
                  <w:r>
                    <w:rPr>
                      <w:rFonts w:hint="default" w:ascii="Times New Roman" w:hAnsi="Times New Roman" w:eastAsia="仿宋" w:cs="Times New Roman"/>
                      <w:color w:val="auto"/>
                    </w:rPr>
                    <w:t>-N</w:t>
                  </w:r>
                </w:p>
              </w:tc>
              <w:tc>
                <w:tcPr>
                  <w:tcW w:w="624" w:type="pct"/>
                  <w:noWrap w:val="0"/>
                  <w:vAlign w:val="center"/>
                </w:tcPr>
                <w:p w14:paraId="339BB0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rPr>
                  </w:pPr>
                  <w:r>
                    <w:rPr>
                      <w:rFonts w:hint="eastAsia" w:eastAsia="仿宋" w:cs="Times New Roman"/>
                      <w:color w:val="auto"/>
                      <w:szCs w:val="21"/>
                      <w:lang w:val="en-US" w:eastAsia="zh-CN"/>
                    </w:rPr>
                    <w:t>5</w:t>
                  </w:r>
                  <w:r>
                    <w:rPr>
                      <w:rFonts w:hint="default" w:ascii="Times New Roman" w:hAnsi="Times New Roman" w:eastAsia="仿宋" w:cs="Times New Roman"/>
                      <w:color w:val="auto"/>
                      <w:szCs w:val="21"/>
                    </w:rPr>
                    <w:t>(</w:t>
                  </w:r>
                  <w:r>
                    <w:rPr>
                      <w:rFonts w:hint="eastAsia" w:eastAsia="仿宋" w:cs="Times New Roman"/>
                      <w:color w:val="auto"/>
                      <w:szCs w:val="21"/>
                      <w:lang w:val="en-US" w:eastAsia="zh-CN"/>
                    </w:rPr>
                    <w:t>8</w:t>
                  </w:r>
                  <w:r>
                    <w:rPr>
                      <w:rFonts w:hint="default" w:ascii="Times New Roman" w:hAnsi="Times New Roman" w:eastAsia="仿宋" w:cs="Times New Roman"/>
                      <w:color w:val="auto"/>
                      <w:szCs w:val="21"/>
                    </w:rPr>
                    <w:t>)</w:t>
                  </w:r>
                </w:p>
              </w:tc>
            </w:tr>
            <w:tr w14:paraId="26060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 w:type="pct"/>
                  <w:vMerge w:val="continue"/>
                  <w:noWrap w:val="0"/>
                  <w:vAlign w:val="center"/>
                </w:tcPr>
                <w:p w14:paraId="40E5168E">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325" w:type="pct"/>
                  <w:vMerge w:val="continue"/>
                  <w:noWrap w:val="0"/>
                  <w:vAlign w:val="center"/>
                </w:tcPr>
                <w:p w14:paraId="71819200">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36" w:type="pct"/>
                  <w:vMerge w:val="continue"/>
                  <w:noWrap w:val="0"/>
                  <w:vAlign w:val="center"/>
                </w:tcPr>
                <w:p w14:paraId="4E0FD9D4">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91" w:type="pct"/>
                  <w:vMerge w:val="continue"/>
                  <w:noWrap w:val="0"/>
                  <w:vAlign w:val="center"/>
                </w:tcPr>
                <w:p w14:paraId="7DE6400A">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61" w:type="pct"/>
                  <w:vMerge w:val="continue"/>
                  <w:noWrap w:val="0"/>
                  <w:vAlign w:val="center"/>
                </w:tcPr>
                <w:p w14:paraId="1365F6B6">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13" w:type="pct"/>
                  <w:vMerge w:val="continue"/>
                  <w:noWrap w:val="0"/>
                  <w:vAlign w:val="center"/>
                </w:tcPr>
                <w:p w14:paraId="2FE4C270">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51" w:type="pct"/>
                  <w:vMerge w:val="continue"/>
                  <w:noWrap w:val="0"/>
                  <w:vAlign w:val="center"/>
                </w:tcPr>
                <w:p w14:paraId="635D71C0">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91" w:type="pct"/>
                  <w:vMerge w:val="continue"/>
                  <w:noWrap w:val="0"/>
                  <w:vAlign w:val="center"/>
                </w:tcPr>
                <w:p w14:paraId="1731B759">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372" w:type="pct"/>
                  <w:vMerge w:val="continue"/>
                  <w:noWrap w:val="0"/>
                  <w:vAlign w:val="center"/>
                </w:tcPr>
                <w:p w14:paraId="06877797">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74" w:type="pct"/>
                  <w:noWrap w:val="0"/>
                  <w:vAlign w:val="center"/>
                </w:tcPr>
                <w:p w14:paraId="6804752F">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TP</w:t>
                  </w:r>
                </w:p>
              </w:tc>
              <w:tc>
                <w:tcPr>
                  <w:tcW w:w="624" w:type="pct"/>
                  <w:noWrap w:val="0"/>
                  <w:vAlign w:val="center"/>
                </w:tcPr>
                <w:p w14:paraId="78AED8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1</w:t>
                  </w:r>
                </w:p>
              </w:tc>
            </w:tr>
            <w:tr w14:paraId="5F088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 w:type="pct"/>
                  <w:vMerge w:val="continue"/>
                  <w:noWrap w:val="0"/>
                  <w:vAlign w:val="center"/>
                </w:tcPr>
                <w:p w14:paraId="0FD52719">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325" w:type="pct"/>
                  <w:vMerge w:val="continue"/>
                  <w:noWrap w:val="0"/>
                  <w:vAlign w:val="center"/>
                </w:tcPr>
                <w:p w14:paraId="16B4FAB2">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36" w:type="pct"/>
                  <w:vMerge w:val="continue"/>
                  <w:noWrap w:val="0"/>
                  <w:vAlign w:val="center"/>
                </w:tcPr>
                <w:p w14:paraId="548B2D79">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91" w:type="pct"/>
                  <w:vMerge w:val="continue"/>
                  <w:noWrap w:val="0"/>
                  <w:vAlign w:val="center"/>
                </w:tcPr>
                <w:p w14:paraId="4F32AD90">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61" w:type="pct"/>
                  <w:vMerge w:val="continue"/>
                  <w:noWrap w:val="0"/>
                  <w:vAlign w:val="center"/>
                </w:tcPr>
                <w:p w14:paraId="62FFEC77">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13" w:type="pct"/>
                  <w:vMerge w:val="continue"/>
                  <w:noWrap w:val="0"/>
                  <w:vAlign w:val="center"/>
                </w:tcPr>
                <w:p w14:paraId="17D92F4C">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451" w:type="pct"/>
                  <w:vMerge w:val="continue"/>
                  <w:noWrap w:val="0"/>
                  <w:vAlign w:val="center"/>
                </w:tcPr>
                <w:p w14:paraId="2136CEAC">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91" w:type="pct"/>
                  <w:vMerge w:val="continue"/>
                  <w:noWrap w:val="0"/>
                  <w:vAlign w:val="center"/>
                </w:tcPr>
                <w:p w14:paraId="44EB8E3B">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372" w:type="pct"/>
                  <w:vMerge w:val="continue"/>
                  <w:noWrap w:val="0"/>
                  <w:vAlign w:val="center"/>
                </w:tcPr>
                <w:p w14:paraId="257318AF">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p>
              </w:tc>
              <w:tc>
                <w:tcPr>
                  <w:tcW w:w="574" w:type="pct"/>
                  <w:noWrap w:val="0"/>
                  <w:vAlign w:val="center"/>
                </w:tcPr>
                <w:p w14:paraId="4F636A77">
                  <w:pPr>
                    <w:pStyle w:val="6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TN</w:t>
                  </w:r>
                </w:p>
              </w:tc>
              <w:tc>
                <w:tcPr>
                  <w:tcW w:w="624" w:type="pct"/>
                  <w:noWrap w:val="0"/>
                  <w:vAlign w:val="center"/>
                </w:tcPr>
                <w:p w14:paraId="43A9AD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20</w:t>
                  </w:r>
                </w:p>
              </w:tc>
            </w:tr>
          </w:tbl>
          <w:p w14:paraId="2C973A01">
            <w:pPr>
              <w:pStyle w:val="6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color w:val="auto"/>
                <w:sz w:val="21"/>
                <w:szCs w:val="21"/>
              </w:rPr>
              <w:t>注：</w:t>
            </w:r>
            <w:r>
              <w:rPr>
                <w:rFonts w:hint="eastAsia" w:cs="Times New Roman"/>
                <w:b/>
                <w:color w:val="auto"/>
                <w:sz w:val="21"/>
                <w:szCs w:val="21"/>
                <w:lang w:val="en-US" w:eastAsia="zh-CN"/>
              </w:rPr>
              <w:t>每年11月1日至次年3月1日执行括号内排放限值</w:t>
            </w:r>
            <w:r>
              <w:rPr>
                <w:rFonts w:hint="default" w:ascii="Times New Roman" w:hAnsi="Times New Roman" w:cs="Times New Roman"/>
                <w:b/>
                <w:color w:val="auto"/>
                <w:sz w:val="21"/>
                <w:szCs w:val="21"/>
                <w:lang w:eastAsia="zh-CN"/>
              </w:rPr>
              <w:t>。</w:t>
            </w:r>
          </w:p>
          <w:p w14:paraId="39DC48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w:t>
            </w:r>
            <w:r>
              <w:rPr>
                <w:rFonts w:hint="eastAsia" w:cs="Times New Roman"/>
                <w:b/>
                <w:color w:val="auto"/>
                <w:kern w:val="0"/>
                <w:sz w:val="21"/>
                <w:szCs w:val="21"/>
                <w:lang w:val="en-US" w:eastAsia="zh-CN"/>
              </w:rPr>
              <w:t>19</w:t>
            </w:r>
            <w:r>
              <w:rPr>
                <w:rFonts w:hint="default" w:ascii="Times New Roman" w:hAnsi="Times New Roman" w:eastAsia="宋体" w:cs="Times New Roman"/>
                <w:b/>
                <w:color w:val="auto"/>
                <w:kern w:val="0"/>
                <w:sz w:val="21"/>
                <w:szCs w:val="21"/>
              </w:rPr>
              <w:t xml:space="preserve">  废水污染物排放执行标准表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827"/>
              <w:gridCol w:w="1934"/>
              <w:gridCol w:w="6880"/>
              <w:gridCol w:w="2009"/>
            </w:tblGrid>
            <w:tr w14:paraId="5AE84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892" w:type="dxa"/>
                  <w:vMerge w:val="restart"/>
                  <w:noWrap w:val="0"/>
                  <w:vAlign w:val="center"/>
                </w:tcPr>
                <w:p w14:paraId="0515451A">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序号</w:t>
                  </w:r>
                </w:p>
              </w:tc>
              <w:tc>
                <w:tcPr>
                  <w:tcW w:w="1845" w:type="dxa"/>
                  <w:vMerge w:val="restart"/>
                  <w:noWrap w:val="0"/>
                  <w:vAlign w:val="center"/>
                </w:tcPr>
                <w:p w14:paraId="3DE621D8">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排放口编号</w:t>
                  </w:r>
                </w:p>
              </w:tc>
              <w:tc>
                <w:tcPr>
                  <w:tcW w:w="1955" w:type="dxa"/>
                  <w:vMerge w:val="restart"/>
                  <w:noWrap w:val="0"/>
                  <w:vAlign w:val="center"/>
                </w:tcPr>
                <w:p w14:paraId="3A242410">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污染物种类</w:t>
                  </w:r>
                </w:p>
              </w:tc>
              <w:tc>
                <w:tcPr>
                  <w:tcW w:w="8994" w:type="dxa"/>
                  <w:gridSpan w:val="2"/>
                  <w:noWrap w:val="0"/>
                  <w:vAlign w:val="center"/>
                </w:tcPr>
                <w:p w14:paraId="25509B96">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国家或地方污染物排放标准及其他按规定商定的排放协议</w:t>
                  </w:r>
                </w:p>
              </w:tc>
            </w:tr>
            <w:tr w14:paraId="5A34D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2" w:type="dxa"/>
                  <w:vMerge w:val="continue"/>
                  <w:noWrap w:val="0"/>
                  <w:vAlign w:val="center"/>
                </w:tcPr>
                <w:p w14:paraId="054CCDAE">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1845" w:type="dxa"/>
                  <w:vMerge w:val="continue"/>
                  <w:noWrap w:val="0"/>
                  <w:vAlign w:val="center"/>
                </w:tcPr>
                <w:p w14:paraId="446F8B38">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1955" w:type="dxa"/>
                  <w:vMerge w:val="continue"/>
                  <w:noWrap w:val="0"/>
                  <w:vAlign w:val="center"/>
                </w:tcPr>
                <w:p w14:paraId="50AF8B45">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6968" w:type="dxa"/>
                  <w:noWrap w:val="0"/>
                  <w:vAlign w:val="center"/>
                </w:tcPr>
                <w:p w14:paraId="7B4C5419">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名称</w:t>
                  </w:r>
                </w:p>
              </w:tc>
              <w:tc>
                <w:tcPr>
                  <w:tcW w:w="2026" w:type="dxa"/>
                  <w:noWrap w:val="0"/>
                  <w:vAlign w:val="center"/>
                </w:tcPr>
                <w:p w14:paraId="3F304D4A">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浓度限值/（mg/L）</w:t>
                  </w:r>
                </w:p>
              </w:tc>
            </w:tr>
            <w:tr w14:paraId="6947F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2" w:type="dxa"/>
                  <w:vMerge w:val="restart"/>
                  <w:noWrap w:val="0"/>
                  <w:vAlign w:val="center"/>
                </w:tcPr>
                <w:p w14:paraId="3BB3B1BE">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1</w:t>
                  </w:r>
                </w:p>
              </w:tc>
              <w:tc>
                <w:tcPr>
                  <w:tcW w:w="1845" w:type="dxa"/>
                  <w:vMerge w:val="restart"/>
                  <w:noWrap w:val="0"/>
                  <w:vAlign w:val="center"/>
                </w:tcPr>
                <w:p w14:paraId="714EF2ED">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DW001</w:t>
                  </w:r>
                </w:p>
              </w:tc>
              <w:tc>
                <w:tcPr>
                  <w:tcW w:w="1955" w:type="dxa"/>
                  <w:noWrap w:val="0"/>
                  <w:vAlign w:val="center"/>
                </w:tcPr>
                <w:p w14:paraId="2FE00CB7">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pH值</w:t>
                  </w:r>
                </w:p>
              </w:tc>
              <w:tc>
                <w:tcPr>
                  <w:tcW w:w="6968" w:type="dxa"/>
                  <w:vMerge w:val="restart"/>
                  <w:noWrap w:val="0"/>
                  <w:vAlign w:val="center"/>
                </w:tcPr>
                <w:p w14:paraId="6D0D8CEB">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《污水排入城镇下水道水质标准》（GB/T31962-2015）表1中B等级标准</w:t>
                  </w:r>
                </w:p>
              </w:tc>
              <w:tc>
                <w:tcPr>
                  <w:tcW w:w="2026" w:type="dxa"/>
                  <w:noWrap w:val="0"/>
                  <w:vAlign w:val="center"/>
                </w:tcPr>
                <w:p w14:paraId="45D03B0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6.5~9.5</w:t>
                  </w:r>
                </w:p>
              </w:tc>
            </w:tr>
            <w:tr w14:paraId="200AD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2" w:type="dxa"/>
                  <w:vMerge w:val="continue"/>
                  <w:noWrap w:val="0"/>
                  <w:vAlign w:val="center"/>
                </w:tcPr>
                <w:p w14:paraId="4252F780">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1845" w:type="dxa"/>
                  <w:vMerge w:val="continue"/>
                  <w:noWrap w:val="0"/>
                  <w:vAlign w:val="center"/>
                </w:tcPr>
                <w:p w14:paraId="174CD8C2">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1955" w:type="dxa"/>
                  <w:noWrap w:val="0"/>
                  <w:vAlign w:val="center"/>
                </w:tcPr>
                <w:p w14:paraId="574B9FB7">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COD</w:t>
                  </w:r>
                </w:p>
              </w:tc>
              <w:tc>
                <w:tcPr>
                  <w:tcW w:w="6968" w:type="dxa"/>
                  <w:vMerge w:val="continue"/>
                  <w:noWrap w:val="0"/>
                  <w:vAlign w:val="center"/>
                </w:tcPr>
                <w:p w14:paraId="6192A924">
                  <w:pPr>
                    <w:pStyle w:val="62"/>
                    <w:keepNext w:val="0"/>
                    <w:keepLines w:val="0"/>
                    <w:suppressLineNumbers w:val="0"/>
                    <w:adjustRightInd w:val="0"/>
                    <w:snapToGrid w:val="0"/>
                    <w:spacing w:before="0" w:beforeAutospacing="0" w:after="0" w:afterAutospacing="0" w:line="240" w:lineRule="auto"/>
                    <w:ind w:left="0" w:right="0"/>
                    <w:jc w:val="center"/>
                    <w:rPr>
                      <w:rFonts w:hint="eastAsia" w:eastAsia="仿宋" w:cs="Times New Roman"/>
                      <w:color w:val="auto"/>
                      <w:lang w:eastAsia="zh-CN"/>
                    </w:rPr>
                  </w:pPr>
                </w:p>
              </w:tc>
              <w:tc>
                <w:tcPr>
                  <w:tcW w:w="2026" w:type="dxa"/>
                  <w:noWrap w:val="0"/>
                  <w:vAlign w:val="center"/>
                </w:tcPr>
                <w:p w14:paraId="7484248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500</w:t>
                  </w:r>
                </w:p>
              </w:tc>
            </w:tr>
            <w:tr w14:paraId="4243E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2" w:type="dxa"/>
                  <w:vMerge w:val="continue"/>
                  <w:noWrap w:val="0"/>
                  <w:vAlign w:val="center"/>
                </w:tcPr>
                <w:p w14:paraId="4A31F869">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1845" w:type="dxa"/>
                  <w:vMerge w:val="continue"/>
                  <w:noWrap w:val="0"/>
                  <w:vAlign w:val="center"/>
                </w:tcPr>
                <w:p w14:paraId="6CF38D5F">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1955" w:type="dxa"/>
                  <w:noWrap w:val="0"/>
                  <w:vAlign w:val="center"/>
                </w:tcPr>
                <w:p w14:paraId="39066D25">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SS</w:t>
                  </w:r>
                </w:p>
              </w:tc>
              <w:tc>
                <w:tcPr>
                  <w:tcW w:w="6968" w:type="dxa"/>
                  <w:vMerge w:val="continue"/>
                  <w:noWrap w:val="0"/>
                  <w:vAlign w:val="center"/>
                </w:tcPr>
                <w:p w14:paraId="0914391F">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2026" w:type="dxa"/>
                  <w:noWrap w:val="0"/>
                  <w:vAlign w:val="center"/>
                </w:tcPr>
                <w:p w14:paraId="6178D8A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400</w:t>
                  </w:r>
                </w:p>
              </w:tc>
            </w:tr>
            <w:tr w14:paraId="5D29A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2" w:type="dxa"/>
                  <w:vMerge w:val="continue"/>
                  <w:noWrap w:val="0"/>
                  <w:vAlign w:val="center"/>
                </w:tcPr>
                <w:p w14:paraId="29A1D296">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1845" w:type="dxa"/>
                  <w:vMerge w:val="continue"/>
                  <w:noWrap w:val="0"/>
                  <w:vAlign w:val="center"/>
                </w:tcPr>
                <w:p w14:paraId="30628E92">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1955" w:type="dxa"/>
                  <w:noWrap w:val="0"/>
                  <w:vAlign w:val="center"/>
                </w:tcPr>
                <w:p w14:paraId="49B60DC4">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NH</w:t>
                  </w:r>
                  <w:r>
                    <w:rPr>
                      <w:rFonts w:hint="default" w:ascii="Times New Roman" w:hAnsi="Times New Roman" w:eastAsia="仿宋" w:cs="Times New Roman"/>
                      <w:color w:val="auto"/>
                      <w:vertAlign w:val="subscript"/>
                    </w:rPr>
                    <w:t>3</w:t>
                  </w:r>
                  <w:r>
                    <w:rPr>
                      <w:rFonts w:hint="default" w:ascii="Times New Roman" w:hAnsi="Times New Roman" w:eastAsia="仿宋" w:cs="Times New Roman"/>
                      <w:color w:val="auto"/>
                    </w:rPr>
                    <w:t>-N</w:t>
                  </w:r>
                </w:p>
              </w:tc>
              <w:tc>
                <w:tcPr>
                  <w:tcW w:w="6968" w:type="dxa"/>
                  <w:vMerge w:val="continue"/>
                  <w:noWrap w:val="0"/>
                  <w:vAlign w:val="center"/>
                </w:tcPr>
                <w:p w14:paraId="6F3078E1">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2026" w:type="dxa"/>
                  <w:noWrap w:val="0"/>
                  <w:vAlign w:val="center"/>
                </w:tcPr>
                <w:p w14:paraId="2D1F1A7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45</w:t>
                  </w:r>
                </w:p>
              </w:tc>
            </w:tr>
            <w:tr w14:paraId="5088F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2" w:type="dxa"/>
                  <w:vMerge w:val="continue"/>
                  <w:noWrap w:val="0"/>
                  <w:vAlign w:val="center"/>
                </w:tcPr>
                <w:p w14:paraId="61F1C9E6">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1845" w:type="dxa"/>
                  <w:vMerge w:val="continue"/>
                  <w:noWrap w:val="0"/>
                  <w:vAlign w:val="center"/>
                </w:tcPr>
                <w:p w14:paraId="5FB6CC4C">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1955" w:type="dxa"/>
                  <w:noWrap w:val="0"/>
                  <w:vAlign w:val="center"/>
                </w:tcPr>
                <w:p w14:paraId="489F3F21">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TP</w:t>
                  </w:r>
                </w:p>
              </w:tc>
              <w:tc>
                <w:tcPr>
                  <w:tcW w:w="6968" w:type="dxa"/>
                  <w:vMerge w:val="continue"/>
                  <w:noWrap w:val="0"/>
                  <w:vAlign w:val="center"/>
                </w:tcPr>
                <w:p w14:paraId="37ECAE65">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2026" w:type="dxa"/>
                  <w:noWrap w:val="0"/>
                  <w:vAlign w:val="center"/>
                </w:tcPr>
                <w:p w14:paraId="2A3C066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8</w:t>
                  </w:r>
                </w:p>
              </w:tc>
            </w:tr>
            <w:tr w14:paraId="28244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2" w:type="dxa"/>
                  <w:vMerge w:val="continue"/>
                  <w:noWrap w:val="0"/>
                  <w:vAlign w:val="center"/>
                </w:tcPr>
                <w:p w14:paraId="07D4D0DF">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1845" w:type="dxa"/>
                  <w:vMerge w:val="continue"/>
                  <w:noWrap w:val="0"/>
                  <w:vAlign w:val="center"/>
                </w:tcPr>
                <w:p w14:paraId="7CE8AC2B">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1955" w:type="dxa"/>
                  <w:noWrap w:val="0"/>
                  <w:vAlign w:val="center"/>
                </w:tcPr>
                <w:p w14:paraId="6676EC40">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TN</w:t>
                  </w:r>
                </w:p>
              </w:tc>
              <w:tc>
                <w:tcPr>
                  <w:tcW w:w="6968" w:type="dxa"/>
                  <w:vMerge w:val="continue"/>
                  <w:noWrap w:val="0"/>
                  <w:vAlign w:val="center"/>
                </w:tcPr>
                <w:p w14:paraId="61715A53">
                  <w:pPr>
                    <w:pStyle w:val="62"/>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rPr>
                  </w:pPr>
                </w:p>
              </w:tc>
              <w:tc>
                <w:tcPr>
                  <w:tcW w:w="2026" w:type="dxa"/>
                  <w:noWrap w:val="0"/>
                  <w:vAlign w:val="center"/>
                </w:tcPr>
                <w:p w14:paraId="39453B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70</w:t>
                  </w:r>
                </w:p>
              </w:tc>
            </w:tr>
          </w:tbl>
          <w:p w14:paraId="7D3622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w:t>
            </w:r>
            <w:r>
              <w:rPr>
                <w:rFonts w:hint="eastAsia" w:cs="Times New Roman"/>
                <w:b/>
                <w:bCs/>
                <w:color w:val="auto"/>
                <w:lang w:val="en-US" w:eastAsia="zh-CN"/>
              </w:rPr>
              <w:t>2</w:t>
            </w:r>
            <w:r>
              <w:rPr>
                <w:rFonts w:hint="default" w:ascii="Times New Roman" w:hAnsi="Times New Roman" w:cs="Times New Roman"/>
                <w:b/>
                <w:bCs/>
                <w:color w:val="auto"/>
                <w:lang w:val="en-US" w:eastAsia="zh-CN"/>
              </w:rPr>
              <w:t>）监测要求</w:t>
            </w:r>
          </w:p>
          <w:p w14:paraId="05FFAE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w:t>
            </w:r>
            <w:r>
              <w:rPr>
                <w:rFonts w:hint="eastAsia" w:ascii="Times New Roman" w:hAnsi="Times New Roman" w:cs="Times New Roman"/>
                <w:color w:val="auto"/>
                <w:lang w:val="en-US" w:eastAsia="zh-CN"/>
              </w:rPr>
              <w:t>《排污许可证申请与核发技术规范 总则》</w:t>
            </w:r>
            <w:r>
              <w:rPr>
                <w:rFonts w:hint="default" w:ascii="Times New Roman" w:hAnsi="Times New Roman" w:cs="Times New Roman"/>
                <w:color w:val="auto"/>
                <w:lang w:val="en-US" w:eastAsia="zh-CN"/>
              </w:rPr>
              <w:t>（</w:t>
            </w:r>
            <w:r>
              <w:rPr>
                <w:rFonts w:hint="eastAsia" w:cs="Times New Roman"/>
                <w:color w:val="auto"/>
                <w:lang w:val="en-US" w:eastAsia="zh-CN"/>
              </w:rPr>
              <w:t>HJ 942-2018</w:t>
            </w:r>
            <w:r>
              <w:rPr>
                <w:rFonts w:hint="default" w:ascii="Times New Roman" w:hAnsi="Times New Roman" w:cs="Times New Roman"/>
                <w:color w:val="auto"/>
                <w:lang w:val="en-US" w:eastAsia="zh-CN"/>
              </w:rPr>
              <w:t>）</w:t>
            </w:r>
            <w:r>
              <w:rPr>
                <w:rFonts w:hint="eastAsia" w:cs="Times New Roman"/>
                <w:color w:val="auto"/>
                <w:kern w:val="0"/>
                <w:sz w:val="21"/>
                <w:szCs w:val="21"/>
                <w:lang w:val="en-US" w:eastAsia="zh-CN" w:bidi="ar-SA"/>
              </w:rPr>
              <w:t>相关</w:t>
            </w:r>
            <w:r>
              <w:rPr>
                <w:rFonts w:hint="default" w:ascii="Times New Roman" w:hAnsi="Times New Roman" w:cs="Times New Roman"/>
                <w:color w:val="auto"/>
                <w:lang w:val="en-US" w:eastAsia="zh-CN"/>
              </w:rPr>
              <w:t>规定，</w:t>
            </w:r>
            <w:r>
              <w:rPr>
                <w:rFonts w:hint="eastAsia" w:ascii="Times New Roman" w:hAnsi="Times New Roman" w:cs="Times New Roman"/>
                <w:color w:val="auto"/>
                <w:lang w:val="en-US" w:eastAsia="zh-CN"/>
              </w:rPr>
              <w:t>单独排入城镇污水集中处理设施的生活污水无需监测。</w:t>
            </w:r>
          </w:p>
          <w:p w14:paraId="455AA9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3、噪声</w:t>
            </w:r>
          </w:p>
          <w:p w14:paraId="7E2CE2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本项目噪声</w:t>
            </w:r>
            <w:r>
              <w:rPr>
                <w:rFonts w:hint="default" w:ascii="Times New Roman" w:hAnsi="Times New Roman" w:eastAsia="宋体" w:cs="Times New Roman"/>
                <w:color w:val="auto"/>
                <w:kern w:val="2"/>
                <w:sz w:val="21"/>
                <w:szCs w:val="21"/>
                <w:lang w:val="en-US" w:eastAsia="zh-CN" w:bidi="ar-SA"/>
              </w:rPr>
              <w:t>主要为机械设备运行时产生的机械噪声，源强约为</w:t>
            </w:r>
            <w:r>
              <w:rPr>
                <w:rFonts w:hint="eastAsia" w:cs="Times New Roman"/>
                <w:color w:val="auto"/>
                <w:kern w:val="2"/>
                <w:sz w:val="21"/>
                <w:szCs w:val="21"/>
                <w:lang w:val="en-US" w:eastAsia="zh-CN" w:bidi="ar-SA"/>
              </w:rPr>
              <w:t>65</w:t>
            </w: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85</w:t>
            </w:r>
            <w:r>
              <w:rPr>
                <w:rFonts w:hint="default" w:ascii="Times New Roman" w:hAnsi="Times New Roman" w:eastAsia="宋体" w:cs="Times New Roman"/>
                <w:color w:val="auto"/>
                <w:kern w:val="2"/>
                <w:sz w:val="21"/>
                <w:szCs w:val="21"/>
                <w:lang w:val="en-US" w:eastAsia="zh-CN" w:bidi="ar-SA"/>
              </w:rPr>
              <w:t>dB(A)，具体见下表：</w:t>
            </w:r>
          </w:p>
          <w:p w14:paraId="05BE62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rPr>
              <w:t>表4-</w:t>
            </w:r>
            <w:r>
              <w:rPr>
                <w:rFonts w:hint="eastAsia" w:cs="Times New Roman"/>
                <w:b/>
                <w:color w:val="auto"/>
                <w:kern w:val="0"/>
                <w:sz w:val="21"/>
                <w:szCs w:val="21"/>
                <w:lang w:val="en-US" w:eastAsia="zh-CN"/>
              </w:rPr>
              <w:t>20</w:t>
            </w:r>
            <w:r>
              <w:rPr>
                <w:rFonts w:hint="default" w:ascii="Times New Roman" w:hAnsi="Times New Roman" w:eastAsia="宋体" w:cs="Times New Roman"/>
                <w:b/>
                <w:color w:val="auto"/>
                <w:kern w:val="0"/>
                <w:sz w:val="21"/>
                <w:szCs w:val="21"/>
              </w:rPr>
              <w:t xml:space="preserve">  </w:t>
            </w:r>
            <w:r>
              <w:rPr>
                <w:rFonts w:hint="eastAsia" w:ascii="Times New Roman" w:hAnsi="Times New Roman" w:eastAsia="宋体" w:cs="Times New Roman"/>
                <w:b/>
                <w:color w:val="auto"/>
                <w:kern w:val="0"/>
                <w:sz w:val="21"/>
                <w:szCs w:val="21"/>
                <w:lang w:val="en-US" w:eastAsia="zh-CN"/>
              </w:rPr>
              <w:t>噪声源强调查清单（室内声源）</w:t>
            </w:r>
          </w:p>
          <w:tbl>
            <w:tblPr>
              <w:tblStyle w:val="71"/>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70"/>
              <w:gridCol w:w="608"/>
              <w:gridCol w:w="856"/>
              <w:gridCol w:w="1367"/>
              <w:gridCol w:w="995"/>
              <w:gridCol w:w="852"/>
              <w:gridCol w:w="632"/>
              <w:gridCol w:w="663"/>
              <w:gridCol w:w="645"/>
              <w:gridCol w:w="563"/>
              <w:gridCol w:w="563"/>
              <w:gridCol w:w="642"/>
              <w:gridCol w:w="642"/>
              <w:gridCol w:w="739"/>
              <w:gridCol w:w="874"/>
              <w:gridCol w:w="693"/>
              <w:gridCol w:w="777"/>
              <w:gridCol w:w="945"/>
            </w:tblGrid>
            <w:tr w14:paraId="6E65999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173" w:type="pct"/>
                  <w:vMerge w:val="restart"/>
                  <w:tcBorders>
                    <w:tl2br w:val="nil"/>
                    <w:tr2bl w:val="nil"/>
                  </w:tcBorders>
                  <w:noWrap w:val="0"/>
                  <w:vAlign w:val="center"/>
                </w:tcPr>
                <w:p w14:paraId="370B29F7">
                  <w:pPr>
                    <w:adjustRightInd w:val="0"/>
                    <w:snapToGrid w:val="0"/>
                    <w:spacing w:before="0" w:line="240" w:lineRule="auto"/>
                    <w:ind w:lef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224" w:type="pct"/>
                  <w:vMerge w:val="restart"/>
                  <w:tcBorders>
                    <w:tl2br w:val="nil"/>
                    <w:tr2bl w:val="nil"/>
                  </w:tcBorders>
                  <w:noWrap w:val="0"/>
                  <w:vAlign w:val="center"/>
                </w:tcPr>
                <w:p w14:paraId="362458FE">
                  <w:pPr>
                    <w:adjustRightInd w:val="0"/>
                    <w:snapToGrid w:val="0"/>
                    <w:spacing w:before="0" w:line="240" w:lineRule="auto"/>
                    <w:ind w:left="0" w:right="0" w:firstLine="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建筑物名称</w:t>
                  </w:r>
                </w:p>
              </w:tc>
              <w:tc>
                <w:tcPr>
                  <w:tcW w:w="316" w:type="pct"/>
                  <w:vMerge w:val="restart"/>
                  <w:tcBorders>
                    <w:tl2br w:val="nil"/>
                    <w:tr2bl w:val="nil"/>
                  </w:tcBorders>
                  <w:noWrap w:val="0"/>
                  <w:vAlign w:val="center"/>
                </w:tcPr>
                <w:p w14:paraId="21D0F6EB">
                  <w:pPr>
                    <w:adjustRightInd w:val="0"/>
                    <w:snapToGrid w:val="0"/>
                    <w:spacing w:before="0" w:line="240" w:lineRule="auto"/>
                    <w:ind w:left="0" w:right="0" w:firstLine="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声源名</w:t>
                  </w:r>
                  <w:r>
                    <w:rPr>
                      <w:rFonts w:hint="default" w:ascii="Times New Roman" w:hAnsi="Times New Roman" w:eastAsia="仿宋" w:cs="Times New Roman"/>
                      <w:color w:val="auto"/>
                      <w:sz w:val="21"/>
                      <w:szCs w:val="21"/>
                    </w:rPr>
                    <w:t>称</w:t>
                  </w:r>
                </w:p>
              </w:tc>
              <w:tc>
                <w:tcPr>
                  <w:tcW w:w="505" w:type="pct"/>
                  <w:vMerge w:val="restart"/>
                  <w:tcBorders>
                    <w:tl2br w:val="nil"/>
                    <w:tr2bl w:val="nil"/>
                  </w:tcBorders>
                  <w:noWrap w:val="0"/>
                  <w:vAlign w:val="center"/>
                </w:tcPr>
                <w:p w14:paraId="3559F1AD">
                  <w:pPr>
                    <w:adjustRightInd w:val="0"/>
                    <w:snapToGrid w:val="0"/>
                    <w:spacing w:before="0" w:line="240" w:lineRule="auto"/>
                    <w:ind w:left="0" w:right="0" w:firstLine="0"/>
                    <w:jc w:val="center"/>
                    <w:rPr>
                      <w:rFonts w:hint="default" w:ascii="Times New Roman" w:hAnsi="Times New Roman" w:eastAsia="仿宋" w:cs="Times New Roman"/>
                      <w:color w:val="auto"/>
                      <w:spacing w:val="0"/>
                      <w:sz w:val="21"/>
                      <w:szCs w:val="21"/>
                      <w:lang w:val="en-US" w:eastAsia="zh-CN"/>
                    </w:rPr>
                  </w:pPr>
                  <w:r>
                    <w:rPr>
                      <w:rFonts w:hint="eastAsia" w:eastAsia="仿宋" w:cs="Times New Roman"/>
                      <w:color w:val="auto"/>
                      <w:spacing w:val="0"/>
                      <w:sz w:val="21"/>
                      <w:szCs w:val="21"/>
                      <w:lang w:val="en-US" w:eastAsia="zh-CN"/>
                    </w:rPr>
                    <w:t>型号</w:t>
                  </w:r>
                </w:p>
              </w:tc>
              <w:tc>
                <w:tcPr>
                  <w:tcW w:w="367" w:type="pct"/>
                  <w:tcBorders>
                    <w:tl2br w:val="nil"/>
                    <w:tr2bl w:val="nil"/>
                  </w:tcBorders>
                  <w:noWrap w:val="0"/>
                  <w:vAlign w:val="center"/>
                </w:tcPr>
                <w:p w14:paraId="286A60CD">
                  <w:pPr>
                    <w:adjustRightInd w:val="0"/>
                    <w:snapToGrid w:val="0"/>
                    <w:spacing w:before="0" w:line="240" w:lineRule="auto"/>
                    <w:ind w:lef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声源源强</w:t>
                  </w:r>
                </w:p>
              </w:tc>
              <w:tc>
                <w:tcPr>
                  <w:tcW w:w="314" w:type="pct"/>
                  <w:vMerge w:val="restart"/>
                  <w:tcBorders>
                    <w:tl2br w:val="nil"/>
                    <w:tr2bl w:val="nil"/>
                  </w:tcBorders>
                  <w:noWrap w:val="0"/>
                  <w:vAlign w:val="center"/>
                </w:tcPr>
                <w:p w14:paraId="2D2B2669">
                  <w:pPr>
                    <w:adjustRightInd w:val="0"/>
                    <w:snapToGrid w:val="0"/>
                    <w:spacing w:before="0" w:line="240" w:lineRule="auto"/>
                    <w:ind w:left="0" w:right="0" w:firstLine="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声源控制措施</w:t>
                  </w:r>
                </w:p>
              </w:tc>
              <w:tc>
                <w:tcPr>
                  <w:tcW w:w="717" w:type="pct"/>
                  <w:gridSpan w:val="3"/>
                  <w:tcBorders>
                    <w:tl2br w:val="nil"/>
                    <w:tr2bl w:val="nil"/>
                  </w:tcBorders>
                  <w:noWrap w:val="0"/>
                  <w:vAlign w:val="center"/>
                </w:tcPr>
                <w:p w14:paraId="71E41537">
                  <w:pPr>
                    <w:adjustRightInd w:val="0"/>
                    <w:snapToGrid w:val="0"/>
                    <w:spacing w:before="0" w:line="240" w:lineRule="auto"/>
                    <w:ind w:lef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空间相对位置/m</w:t>
                  </w:r>
                </w:p>
              </w:tc>
              <w:tc>
                <w:tcPr>
                  <w:tcW w:w="416" w:type="pct"/>
                  <w:gridSpan w:val="2"/>
                  <w:vMerge w:val="restart"/>
                  <w:tcBorders>
                    <w:tl2br w:val="nil"/>
                    <w:tr2bl w:val="nil"/>
                  </w:tcBorders>
                  <w:noWrap w:val="0"/>
                  <w:vAlign w:val="center"/>
                </w:tcPr>
                <w:p w14:paraId="46F69895">
                  <w:pPr>
                    <w:adjustRightInd w:val="0"/>
                    <w:snapToGrid w:val="0"/>
                    <w:spacing w:before="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距室内边界距离/m</w:t>
                  </w:r>
                </w:p>
              </w:tc>
              <w:tc>
                <w:tcPr>
                  <w:tcW w:w="474" w:type="pct"/>
                  <w:gridSpan w:val="2"/>
                  <w:vMerge w:val="restart"/>
                  <w:tcBorders>
                    <w:tl2br w:val="nil"/>
                    <w:tr2bl w:val="nil"/>
                  </w:tcBorders>
                  <w:noWrap w:val="0"/>
                  <w:vAlign w:val="center"/>
                </w:tcPr>
                <w:p w14:paraId="68DF486C">
                  <w:pPr>
                    <w:adjustRightInd w:val="0"/>
                    <w:snapToGrid w:val="0"/>
                    <w:spacing w:before="0" w:line="240" w:lineRule="auto"/>
                    <w:ind w:lef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室内边界声级</w:t>
                  </w:r>
                </w:p>
                <w:p w14:paraId="57493A58">
                  <w:pPr>
                    <w:adjustRightInd w:val="0"/>
                    <w:snapToGrid w:val="0"/>
                    <w:spacing w:before="0" w:line="240" w:lineRule="auto"/>
                    <w:ind w:lef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w:t>
                  </w:r>
                  <w:r>
                    <w:rPr>
                      <w:rFonts w:hint="default" w:ascii="Times New Roman" w:hAnsi="Times New Roman" w:eastAsia="仿宋" w:cs="Times New Roman"/>
                      <w:color w:val="auto"/>
                      <w:sz w:val="21"/>
                      <w:szCs w:val="21"/>
                    </w:rPr>
                    <w:t>dB(A)</w:t>
                  </w:r>
                </w:p>
              </w:tc>
              <w:tc>
                <w:tcPr>
                  <w:tcW w:w="273" w:type="pct"/>
                  <w:vMerge w:val="restart"/>
                  <w:tcBorders>
                    <w:tl2br w:val="nil"/>
                    <w:tr2bl w:val="nil"/>
                  </w:tcBorders>
                  <w:noWrap w:val="0"/>
                  <w:vAlign w:val="center"/>
                </w:tcPr>
                <w:p w14:paraId="32B4C694">
                  <w:pPr>
                    <w:adjustRightInd w:val="0"/>
                    <w:snapToGrid w:val="0"/>
                    <w:spacing w:before="0" w:line="240" w:lineRule="auto"/>
                    <w:ind w:left="0" w:right="0" w:firstLine="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运行时</w:t>
                  </w:r>
                  <w:r>
                    <w:rPr>
                      <w:rFonts w:hint="default" w:ascii="Times New Roman" w:hAnsi="Times New Roman" w:eastAsia="仿宋" w:cs="Times New Roman"/>
                      <w:color w:val="auto"/>
                      <w:sz w:val="21"/>
                      <w:szCs w:val="21"/>
                    </w:rPr>
                    <w:t>段</w:t>
                  </w:r>
                </w:p>
              </w:tc>
              <w:tc>
                <w:tcPr>
                  <w:tcW w:w="323" w:type="pct"/>
                  <w:vMerge w:val="restart"/>
                  <w:tcBorders>
                    <w:tl2br w:val="nil"/>
                    <w:tr2bl w:val="nil"/>
                  </w:tcBorders>
                  <w:noWrap w:val="0"/>
                  <w:vAlign w:val="center"/>
                </w:tcPr>
                <w:p w14:paraId="08863E9A">
                  <w:pPr>
                    <w:adjustRightInd w:val="0"/>
                    <w:snapToGrid w:val="0"/>
                    <w:spacing w:before="0" w:line="240" w:lineRule="auto"/>
                    <w:ind w:lef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建筑物插入损失/</w:t>
                  </w:r>
                </w:p>
                <w:p w14:paraId="6DE09C1E">
                  <w:pPr>
                    <w:adjustRightInd w:val="0"/>
                    <w:snapToGrid w:val="0"/>
                    <w:spacing w:before="0" w:line="240" w:lineRule="auto"/>
                    <w:ind w:lef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dB(A)</w:t>
                  </w:r>
                </w:p>
              </w:tc>
              <w:tc>
                <w:tcPr>
                  <w:tcW w:w="892" w:type="pct"/>
                  <w:gridSpan w:val="3"/>
                  <w:tcBorders>
                    <w:tl2br w:val="nil"/>
                    <w:tr2bl w:val="nil"/>
                  </w:tcBorders>
                  <w:noWrap w:val="0"/>
                  <w:vAlign w:val="center"/>
                </w:tcPr>
                <w:p w14:paraId="04EE4B54">
                  <w:pPr>
                    <w:adjustRightInd w:val="0"/>
                    <w:snapToGrid w:val="0"/>
                    <w:spacing w:before="0" w:line="240" w:lineRule="auto"/>
                    <w:ind w:lef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建筑物外噪声</w:t>
                  </w:r>
                </w:p>
              </w:tc>
            </w:tr>
            <w:tr w14:paraId="5F091B1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4" w:hRule="atLeast"/>
                <w:jc w:val="center"/>
              </w:trPr>
              <w:tc>
                <w:tcPr>
                  <w:tcW w:w="173" w:type="pct"/>
                  <w:vMerge w:val="continue"/>
                  <w:tcBorders>
                    <w:tl2br w:val="nil"/>
                    <w:tr2bl w:val="nil"/>
                  </w:tcBorders>
                  <w:noWrap w:val="0"/>
                  <w:textDirection w:val="tbRlV"/>
                  <w:vAlign w:val="center"/>
                </w:tcPr>
                <w:p w14:paraId="2FF43F6D">
                  <w:pPr>
                    <w:adjustRightInd w:val="0"/>
                    <w:snapToGrid w:val="0"/>
                    <w:jc w:val="center"/>
                    <w:rPr>
                      <w:rFonts w:hint="default" w:ascii="Times New Roman" w:hAnsi="Times New Roman" w:eastAsia="仿宋" w:cs="Times New Roman"/>
                      <w:color w:val="auto"/>
                      <w:sz w:val="21"/>
                      <w:szCs w:val="21"/>
                    </w:rPr>
                  </w:pPr>
                </w:p>
              </w:tc>
              <w:tc>
                <w:tcPr>
                  <w:tcW w:w="224" w:type="pct"/>
                  <w:vMerge w:val="continue"/>
                  <w:tcBorders>
                    <w:tl2br w:val="nil"/>
                    <w:tr2bl w:val="nil"/>
                  </w:tcBorders>
                  <w:noWrap w:val="0"/>
                  <w:vAlign w:val="center"/>
                </w:tcPr>
                <w:p w14:paraId="0A8986A2">
                  <w:pPr>
                    <w:adjustRightInd w:val="0"/>
                    <w:snapToGrid w:val="0"/>
                    <w:jc w:val="center"/>
                    <w:rPr>
                      <w:rFonts w:hint="default" w:ascii="Times New Roman" w:hAnsi="Times New Roman" w:eastAsia="仿宋" w:cs="Times New Roman"/>
                      <w:color w:val="auto"/>
                      <w:sz w:val="21"/>
                      <w:szCs w:val="21"/>
                    </w:rPr>
                  </w:pPr>
                </w:p>
              </w:tc>
              <w:tc>
                <w:tcPr>
                  <w:tcW w:w="316" w:type="pct"/>
                  <w:vMerge w:val="continue"/>
                  <w:tcBorders>
                    <w:tl2br w:val="nil"/>
                    <w:tr2bl w:val="nil"/>
                  </w:tcBorders>
                  <w:noWrap w:val="0"/>
                  <w:vAlign w:val="center"/>
                </w:tcPr>
                <w:p w14:paraId="283B3B93">
                  <w:pPr>
                    <w:adjustRightInd w:val="0"/>
                    <w:snapToGrid w:val="0"/>
                    <w:jc w:val="center"/>
                    <w:rPr>
                      <w:rFonts w:hint="default" w:ascii="Times New Roman" w:hAnsi="Times New Roman" w:eastAsia="仿宋" w:cs="Times New Roman"/>
                      <w:color w:val="auto"/>
                      <w:sz w:val="21"/>
                      <w:szCs w:val="21"/>
                    </w:rPr>
                  </w:pPr>
                </w:p>
              </w:tc>
              <w:tc>
                <w:tcPr>
                  <w:tcW w:w="505" w:type="pct"/>
                  <w:vMerge w:val="continue"/>
                  <w:tcBorders>
                    <w:tl2br w:val="nil"/>
                    <w:tr2bl w:val="nil"/>
                  </w:tcBorders>
                  <w:noWrap w:val="0"/>
                  <w:vAlign w:val="center"/>
                </w:tcPr>
                <w:p w14:paraId="21AE15DE">
                  <w:pPr>
                    <w:adjustRightInd w:val="0"/>
                    <w:snapToGrid w:val="0"/>
                    <w:jc w:val="center"/>
                    <w:rPr>
                      <w:rFonts w:hint="default" w:ascii="Times New Roman" w:hAnsi="Times New Roman" w:eastAsia="仿宋" w:cs="Times New Roman"/>
                      <w:color w:val="auto"/>
                      <w:sz w:val="21"/>
                      <w:szCs w:val="21"/>
                    </w:rPr>
                  </w:pPr>
                </w:p>
              </w:tc>
              <w:tc>
                <w:tcPr>
                  <w:tcW w:w="367" w:type="pct"/>
                  <w:tcBorders>
                    <w:tl2br w:val="nil"/>
                    <w:tr2bl w:val="nil"/>
                  </w:tcBorders>
                  <w:noWrap w:val="0"/>
                  <w:vAlign w:val="center"/>
                </w:tcPr>
                <w:p w14:paraId="744171F5">
                  <w:pPr>
                    <w:adjustRightInd w:val="0"/>
                    <w:snapToGrid w:val="0"/>
                    <w:spacing w:before="0" w:line="240" w:lineRule="auto"/>
                    <w:ind w:left="0" w:right="0" w:firstLine="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声功率</w:t>
                  </w:r>
                  <w:r>
                    <w:rPr>
                      <w:rFonts w:hint="default" w:ascii="Times New Roman" w:hAnsi="Times New Roman" w:eastAsia="仿宋" w:cs="Times New Roman"/>
                      <w:color w:val="auto"/>
                      <w:sz w:val="21"/>
                      <w:szCs w:val="21"/>
                    </w:rPr>
                    <w:t>级</w:t>
                  </w:r>
                  <w:r>
                    <w:rPr>
                      <w:rFonts w:hint="default" w:ascii="Times New Roman" w:hAnsi="Times New Roman" w:eastAsia="仿宋" w:cs="Times New Roman"/>
                      <w:color w:val="auto"/>
                      <w:spacing w:val="0"/>
                      <w:sz w:val="21"/>
                      <w:szCs w:val="21"/>
                    </w:rPr>
                    <w:t>/</w:t>
                  </w:r>
                  <w:r>
                    <w:rPr>
                      <w:rFonts w:hint="default" w:ascii="Times New Roman" w:hAnsi="Times New Roman" w:eastAsia="仿宋" w:cs="Times New Roman"/>
                      <w:color w:val="auto"/>
                      <w:sz w:val="21"/>
                      <w:szCs w:val="21"/>
                    </w:rPr>
                    <w:t>dB(A)</w:t>
                  </w:r>
                </w:p>
              </w:tc>
              <w:tc>
                <w:tcPr>
                  <w:tcW w:w="314" w:type="pct"/>
                  <w:vMerge w:val="continue"/>
                  <w:tcBorders>
                    <w:tl2br w:val="nil"/>
                    <w:tr2bl w:val="nil"/>
                  </w:tcBorders>
                  <w:noWrap w:val="0"/>
                  <w:vAlign w:val="center"/>
                </w:tcPr>
                <w:p w14:paraId="7C07A409">
                  <w:pPr>
                    <w:adjustRightInd w:val="0"/>
                    <w:snapToGrid w:val="0"/>
                    <w:jc w:val="center"/>
                    <w:rPr>
                      <w:rFonts w:hint="default" w:ascii="Times New Roman" w:hAnsi="Times New Roman" w:eastAsia="仿宋" w:cs="Times New Roman"/>
                      <w:color w:val="auto"/>
                      <w:sz w:val="21"/>
                      <w:szCs w:val="21"/>
                    </w:rPr>
                  </w:pPr>
                </w:p>
              </w:tc>
              <w:tc>
                <w:tcPr>
                  <w:tcW w:w="233" w:type="pct"/>
                  <w:tcBorders>
                    <w:tl2br w:val="nil"/>
                    <w:tr2bl w:val="nil"/>
                  </w:tcBorders>
                  <w:noWrap w:val="0"/>
                  <w:vAlign w:val="center"/>
                </w:tcPr>
                <w:p w14:paraId="775C5D94">
                  <w:pPr>
                    <w:adjustRightInd w:val="0"/>
                    <w:snapToGrid w:val="0"/>
                    <w:spacing w:before="0" w:line="240" w:lineRule="auto"/>
                    <w:ind w:lef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pacing w:val="0"/>
                      <w:sz w:val="21"/>
                      <w:szCs w:val="21"/>
                    </w:rPr>
                    <w:t>X</w:t>
                  </w:r>
                </w:p>
              </w:tc>
              <w:tc>
                <w:tcPr>
                  <w:tcW w:w="245" w:type="pct"/>
                  <w:tcBorders>
                    <w:tl2br w:val="nil"/>
                    <w:tr2bl w:val="nil"/>
                  </w:tcBorders>
                  <w:noWrap w:val="0"/>
                  <w:vAlign w:val="center"/>
                </w:tcPr>
                <w:p w14:paraId="63AFB83A">
                  <w:pPr>
                    <w:adjustRightInd w:val="0"/>
                    <w:snapToGrid w:val="0"/>
                    <w:spacing w:before="0" w:line="240" w:lineRule="auto"/>
                    <w:ind w:lef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pacing w:val="0"/>
                      <w:sz w:val="21"/>
                      <w:szCs w:val="21"/>
                    </w:rPr>
                    <w:t>Y</w:t>
                  </w:r>
                </w:p>
              </w:tc>
              <w:tc>
                <w:tcPr>
                  <w:tcW w:w="238" w:type="pct"/>
                  <w:tcBorders>
                    <w:tl2br w:val="nil"/>
                    <w:tr2bl w:val="nil"/>
                  </w:tcBorders>
                  <w:noWrap w:val="0"/>
                  <w:vAlign w:val="center"/>
                </w:tcPr>
                <w:p w14:paraId="636B9E77">
                  <w:pPr>
                    <w:adjustRightInd w:val="0"/>
                    <w:snapToGrid w:val="0"/>
                    <w:spacing w:before="0" w:line="240" w:lineRule="auto"/>
                    <w:ind w:lef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pacing w:val="0"/>
                      <w:sz w:val="21"/>
                      <w:szCs w:val="21"/>
                    </w:rPr>
                    <w:t>Z</w:t>
                  </w:r>
                </w:p>
              </w:tc>
              <w:tc>
                <w:tcPr>
                  <w:tcW w:w="416" w:type="pct"/>
                  <w:gridSpan w:val="2"/>
                  <w:vMerge w:val="continue"/>
                  <w:tcBorders>
                    <w:tl2br w:val="nil"/>
                    <w:tr2bl w:val="nil"/>
                  </w:tcBorders>
                  <w:noWrap w:val="0"/>
                  <w:vAlign w:val="center"/>
                </w:tcPr>
                <w:p w14:paraId="6F19A469">
                  <w:pPr>
                    <w:adjustRightInd w:val="0"/>
                    <w:snapToGrid w:val="0"/>
                    <w:jc w:val="center"/>
                    <w:rPr>
                      <w:rFonts w:hint="default" w:ascii="Times New Roman" w:hAnsi="Times New Roman" w:eastAsia="仿宋" w:cs="Times New Roman"/>
                      <w:color w:val="auto"/>
                      <w:sz w:val="21"/>
                      <w:szCs w:val="21"/>
                    </w:rPr>
                  </w:pPr>
                </w:p>
              </w:tc>
              <w:tc>
                <w:tcPr>
                  <w:tcW w:w="474" w:type="pct"/>
                  <w:gridSpan w:val="2"/>
                  <w:vMerge w:val="continue"/>
                  <w:tcBorders>
                    <w:tl2br w:val="nil"/>
                    <w:tr2bl w:val="nil"/>
                  </w:tcBorders>
                  <w:noWrap w:val="0"/>
                  <w:vAlign w:val="center"/>
                </w:tcPr>
                <w:p w14:paraId="673B1856">
                  <w:pPr>
                    <w:adjustRightInd w:val="0"/>
                    <w:snapToGrid w:val="0"/>
                    <w:jc w:val="center"/>
                    <w:rPr>
                      <w:rFonts w:hint="default" w:ascii="Times New Roman" w:hAnsi="Times New Roman" w:eastAsia="仿宋" w:cs="Times New Roman"/>
                      <w:color w:val="auto"/>
                      <w:sz w:val="21"/>
                      <w:szCs w:val="21"/>
                    </w:rPr>
                  </w:pPr>
                </w:p>
              </w:tc>
              <w:tc>
                <w:tcPr>
                  <w:tcW w:w="273" w:type="pct"/>
                  <w:vMerge w:val="continue"/>
                  <w:tcBorders>
                    <w:tl2br w:val="nil"/>
                    <w:tr2bl w:val="nil"/>
                  </w:tcBorders>
                  <w:noWrap w:val="0"/>
                  <w:vAlign w:val="center"/>
                </w:tcPr>
                <w:p w14:paraId="0C01D938">
                  <w:pPr>
                    <w:adjustRightInd w:val="0"/>
                    <w:snapToGrid w:val="0"/>
                    <w:jc w:val="center"/>
                    <w:rPr>
                      <w:rFonts w:hint="default" w:ascii="Times New Roman" w:hAnsi="Times New Roman" w:eastAsia="仿宋" w:cs="Times New Roman"/>
                      <w:color w:val="auto"/>
                      <w:sz w:val="21"/>
                      <w:szCs w:val="21"/>
                    </w:rPr>
                  </w:pPr>
                </w:p>
              </w:tc>
              <w:tc>
                <w:tcPr>
                  <w:tcW w:w="323" w:type="pct"/>
                  <w:vMerge w:val="continue"/>
                  <w:tcBorders>
                    <w:tl2br w:val="nil"/>
                    <w:tr2bl w:val="nil"/>
                  </w:tcBorders>
                  <w:noWrap w:val="0"/>
                  <w:vAlign w:val="center"/>
                </w:tcPr>
                <w:p w14:paraId="09D2FE87">
                  <w:pPr>
                    <w:adjustRightInd w:val="0"/>
                    <w:snapToGrid w:val="0"/>
                    <w:jc w:val="center"/>
                    <w:rPr>
                      <w:rFonts w:hint="default" w:ascii="Times New Roman" w:hAnsi="Times New Roman" w:eastAsia="仿宋" w:cs="Times New Roman"/>
                      <w:color w:val="auto"/>
                      <w:sz w:val="21"/>
                      <w:szCs w:val="21"/>
                    </w:rPr>
                  </w:pPr>
                </w:p>
              </w:tc>
              <w:tc>
                <w:tcPr>
                  <w:tcW w:w="543" w:type="pct"/>
                  <w:gridSpan w:val="2"/>
                  <w:tcBorders>
                    <w:tl2br w:val="nil"/>
                    <w:tr2bl w:val="nil"/>
                  </w:tcBorders>
                  <w:noWrap w:val="0"/>
                  <w:vAlign w:val="center"/>
                </w:tcPr>
                <w:p w14:paraId="77F90A11">
                  <w:pPr>
                    <w:adjustRightInd w:val="0"/>
                    <w:snapToGrid w:val="0"/>
                    <w:spacing w:before="0" w:line="240" w:lineRule="auto"/>
                    <w:ind w:left="0" w:right="0" w:firstLine="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0"/>
                      <w:sz w:val="21"/>
                      <w:szCs w:val="21"/>
                    </w:rPr>
                    <w:t>声压级/</w:t>
                  </w:r>
                  <w:r>
                    <w:rPr>
                      <w:rFonts w:hint="default" w:ascii="Times New Roman" w:hAnsi="Times New Roman" w:eastAsia="仿宋" w:cs="Times New Roman"/>
                      <w:color w:val="auto"/>
                      <w:sz w:val="21"/>
                      <w:szCs w:val="21"/>
                    </w:rPr>
                    <w:t>dB(A)</w:t>
                  </w:r>
                </w:p>
              </w:tc>
              <w:tc>
                <w:tcPr>
                  <w:tcW w:w="349" w:type="pct"/>
                  <w:tcBorders>
                    <w:tl2br w:val="nil"/>
                    <w:tr2bl w:val="nil"/>
                  </w:tcBorders>
                  <w:noWrap w:val="0"/>
                  <w:vAlign w:val="center"/>
                </w:tcPr>
                <w:p w14:paraId="1A8F444D">
                  <w:pPr>
                    <w:adjustRightInd w:val="0"/>
                    <w:snapToGrid w:val="0"/>
                    <w:spacing w:before="0" w:line="240" w:lineRule="auto"/>
                    <w:ind w:left="0" w:right="0" w:firstLine="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pacing w:val="0"/>
                      <w:sz w:val="21"/>
                      <w:szCs w:val="21"/>
                    </w:rPr>
                    <w:t>建筑物外距离</w:t>
                  </w:r>
                  <w:r>
                    <w:rPr>
                      <w:rFonts w:hint="default" w:ascii="Times New Roman" w:hAnsi="Times New Roman" w:eastAsia="仿宋" w:cs="Times New Roman"/>
                      <w:color w:val="auto"/>
                      <w:spacing w:val="0"/>
                      <w:sz w:val="21"/>
                      <w:szCs w:val="21"/>
                      <w:lang w:val="en-US" w:eastAsia="zh-CN"/>
                    </w:rPr>
                    <w:t>/m</w:t>
                  </w:r>
                </w:p>
              </w:tc>
            </w:tr>
            <w:tr w14:paraId="387D00B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6" w:hRule="atLeast"/>
                <w:jc w:val="center"/>
              </w:trPr>
              <w:tc>
                <w:tcPr>
                  <w:tcW w:w="173" w:type="pct"/>
                  <w:vMerge w:val="restart"/>
                  <w:tcBorders>
                    <w:tl2br w:val="nil"/>
                    <w:tr2bl w:val="nil"/>
                  </w:tcBorders>
                  <w:noWrap w:val="0"/>
                  <w:vAlign w:val="center"/>
                </w:tcPr>
                <w:p w14:paraId="4A238650">
                  <w:pPr>
                    <w:keepNext w:val="0"/>
                    <w:keepLines w:val="0"/>
                    <w:widowControl/>
                    <w:numPr>
                      <w:ilvl w:val="0"/>
                      <w:numId w:val="11"/>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bookmarkStart w:id="10" w:name="OLE_LINK2" w:colFirst="2" w:colLast="2"/>
                </w:p>
              </w:tc>
              <w:tc>
                <w:tcPr>
                  <w:tcW w:w="224" w:type="pct"/>
                  <w:vMerge w:val="restart"/>
                  <w:tcBorders>
                    <w:tl2br w:val="nil"/>
                    <w:tr2bl w:val="nil"/>
                  </w:tcBorders>
                  <w:noWrap w:val="0"/>
                  <w:vAlign w:val="center"/>
                </w:tcPr>
                <w:p w14:paraId="1F2C4139">
                  <w:pPr>
                    <w:adjustRightInd w:val="0"/>
                    <w:snapToGrid w:val="0"/>
                    <w:spacing w:line="240" w:lineRule="auto"/>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kern w:val="0"/>
                      <w:sz w:val="21"/>
                      <w:szCs w:val="21"/>
                      <w:lang w:val="en-US" w:eastAsia="zh-CN"/>
                    </w:rPr>
                    <w:t>生产车间</w:t>
                  </w:r>
                </w:p>
              </w:tc>
              <w:tc>
                <w:tcPr>
                  <w:tcW w:w="316" w:type="pct"/>
                  <w:vMerge w:val="restart"/>
                  <w:tcBorders>
                    <w:tl2br w:val="nil"/>
                    <w:tr2bl w:val="nil"/>
                  </w:tcBorders>
                  <w:noWrap w:val="0"/>
                  <w:vAlign w:val="center"/>
                </w:tcPr>
                <w:p w14:paraId="1D8AF5FD">
                  <w:pPr>
                    <w:spacing w:line="240" w:lineRule="auto"/>
                    <w:jc w:val="center"/>
                    <w:rPr>
                      <w:rFonts w:hint="eastAsia" w:eastAsia="仿宋" w:cs="Times New Roman"/>
                      <w:color w:val="auto"/>
                      <w:kern w:val="0"/>
                      <w:sz w:val="21"/>
                      <w:szCs w:val="21"/>
                      <w:lang w:val="en-US" w:eastAsia="zh-CN"/>
                    </w:rPr>
                  </w:pPr>
                  <w:r>
                    <w:rPr>
                      <w:rFonts w:hint="eastAsia" w:eastAsia="仿宋" w:cs="Times New Roman"/>
                      <w:color w:val="auto"/>
                      <w:sz w:val="21"/>
                      <w:szCs w:val="21"/>
                      <w:lang w:val="en-US" w:eastAsia="zh-CN"/>
                    </w:rPr>
                    <w:t>锯床</w:t>
                  </w:r>
                </w:p>
                <w:p w14:paraId="56990113">
                  <w:pPr>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0"/>
                      <w:sz w:val="21"/>
                      <w:szCs w:val="21"/>
                      <w:lang w:val="en-US" w:eastAsia="zh-CN"/>
                    </w:rPr>
                    <w:t>（2台）</w:t>
                  </w:r>
                </w:p>
              </w:tc>
              <w:tc>
                <w:tcPr>
                  <w:tcW w:w="505" w:type="pct"/>
                  <w:vMerge w:val="restart"/>
                  <w:tcBorders>
                    <w:tl2br w:val="nil"/>
                    <w:tr2bl w:val="nil"/>
                  </w:tcBorders>
                  <w:noWrap w:val="0"/>
                  <w:vAlign w:val="center"/>
                </w:tcPr>
                <w:p w14:paraId="3DFF17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1"/>
                      <w:szCs w:val="24"/>
                      <w:lang w:val="en-US" w:eastAsia="zh-CN" w:bidi="ar-SA"/>
                    </w:rPr>
                  </w:pPr>
                  <w:r>
                    <w:rPr>
                      <w:rFonts w:hint="default" w:ascii="Times New Roman" w:hAnsi="Times New Roman" w:eastAsia="仿宋" w:cs="Times New Roman"/>
                      <w:color w:val="auto"/>
                      <w:sz w:val="21"/>
                      <w:szCs w:val="21"/>
                    </w:rPr>
                    <w:t>C-33</w:t>
                  </w:r>
                </w:p>
              </w:tc>
              <w:tc>
                <w:tcPr>
                  <w:tcW w:w="367" w:type="pct"/>
                  <w:vMerge w:val="restart"/>
                  <w:tcBorders>
                    <w:tl2br w:val="nil"/>
                    <w:tr2bl w:val="nil"/>
                  </w:tcBorders>
                  <w:noWrap w:val="0"/>
                  <w:vAlign w:val="center"/>
                </w:tcPr>
                <w:p w14:paraId="78B942CF">
                  <w:pPr>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lang w:val="en-US" w:eastAsia="zh-CN"/>
                    </w:rPr>
                    <w:t>85</w:t>
                  </w:r>
                </w:p>
              </w:tc>
              <w:tc>
                <w:tcPr>
                  <w:tcW w:w="314" w:type="pct"/>
                  <w:vMerge w:val="restart"/>
                  <w:tcBorders>
                    <w:tl2br w:val="nil"/>
                    <w:tr2bl w:val="nil"/>
                  </w:tcBorders>
                  <w:noWrap w:val="0"/>
                  <w:vAlign w:val="center"/>
                </w:tcPr>
                <w:p w14:paraId="0B0C7001">
                  <w:pPr>
                    <w:adjustRightInd w:val="0"/>
                    <w:snapToGrid w:val="0"/>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墙体隔声、距离衰减、声源设置于车间内</w:t>
                  </w:r>
                </w:p>
              </w:tc>
              <w:tc>
                <w:tcPr>
                  <w:tcW w:w="233" w:type="pct"/>
                  <w:vMerge w:val="restart"/>
                  <w:tcBorders>
                    <w:tl2br w:val="nil"/>
                    <w:tr2bl w:val="nil"/>
                  </w:tcBorders>
                  <w:noWrap w:val="0"/>
                  <w:vAlign w:val="center"/>
                </w:tcPr>
                <w:p w14:paraId="27AA9E44">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19</w:t>
                  </w:r>
                </w:p>
              </w:tc>
              <w:tc>
                <w:tcPr>
                  <w:tcW w:w="245" w:type="pct"/>
                  <w:vMerge w:val="restart"/>
                  <w:tcBorders>
                    <w:tl2br w:val="nil"/>
                    <w:tr2bl w:val="nil"/>
                  </w:tcBorders>
                  <w:noWrap w:val="0"/>
                  <w:vAlign w:val="center"/>
                </w:tcPr>
                <w:p w14:paraId="155D1CF4">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28</w:t>
                  </w:r>
                </w:p>
              </w:tc>
              <w:tc>
                <w:tcPr>
                  <w:tcW w:w="238" w:type="pct"/>
                  <w:vMerge w:val="restart"/>
                  <w:tcBorders>
                    <w:tl2br w:val="nil"/>
                    <w:tr2bl w:val="nil"/>
                  </w:tcBorders>
                  <w:noWrap w:val="0"/>
                  <w:vAlign w:val="center"/>
                </w:tcPr>
                <w:p w14:paraId="0A4858AC">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208" w:type="pct"/>
                  <w:tcBorders>
                    <w:tl2br w:val="nil"/>
                    <w:tr2bl w:val="nil"/>
                  </w:tcBorders>
                  <w:noWrap w:val="0"/>
                  <w:vAlign w:val="center"/>
                </w:tcPr>
                <w:p w14:paraId="0FD49EA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08" w:type="pct"/>
                  <w:tcBorders>
                    <w:tl2br w:val="nil"/>
                    <w:tr2bl w:val="nil"/>
                  </w:tcBorders>
                  <w:noWrap w:val="0"/>
                  <w:vAlign w:val="center"/>
                </w:tcPr>
                <w:p w14:paraId="31F4A1D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w:t>
                  </w:r>
                </w:p>
              </w:tc>
              <w:tc>
                <w:tcPr>
                  <w:tcW w:w="237" w:type="pct"/>
                  <w:tcBorders>
                    <w:tl2br w:val="nil"/>
                    <w:tr2bl w:val="nil"/>
                  </w:tcBorders>
                  <w:noWrap w:val="0"/>
                  <w:vAlign w:val="center"/>
                </w:tcPr>
                <w:p w14:paraId="7F8E880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37" w:type="pct"/>
                  <w:tcBorders>
                    <w:tl2br w:val="nil"/>
                    <w:tr2bl w:val="nil"/>
                  </w:tcBorders>
                  <w:noWrap w:val="0"/>
                  <w:vAlign w:val="center"/>
                </w:tcPr>
                <w:p w14:paraId="2AF9C8B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69.1</w:t>
                  </w:r>
                </w:p>
              </w:tc>
              <w:tc>
                <w:tcPr>
                  <w:tcW w:w="273" w:type="pct"/>
                  <w:vMerge w:val="restart"/>
                  <w:tcBorders>
                    <w:tl2br w:val="nil"/>
                    <w:tr2bl w:val="nil"/>
                  </w:tcBorders>
                  <w:noWrap w:val="0"/>
                  <w:vAlign w:val="center"/>
                </w:tcPr>
                <w:p w14:paraId="167C8F7B">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8小时（间歇）</w:t>
                  </w:r>
                </w:p>
              </w:tc>
              <w:tc>
                <w:tcPr>
                  <w:tcW w:w="323" w:type="pct"/>
                  <w:vMerge w:val="restart"/>
                  <w:tcBorders>
                    <w:tl2br w:val="nil"/>
                    <w:tr2bl w:val="nil"/>
                  </w:tcBorders>
                  <w:noWrap w:val="0"/>
                  <w:vAlign w:val="center"/>
                </w:tcPr>
                <w:p w14:paraId="7B8445CF">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25</w:t>
                  </w:r>
                </w:p>
              </w:tc>
              <w:tc>
                <w:tcPr>
                  <w:tcW w:w="256" w:type="pct"/>
                  <w:vMerge w:val="restart"/>
                  <w:tcBorders>
                    <w:tl2br w:val="nil"/>
                    <w:tr2bl w:val="nil"/>
                  </w:tcBorders>
                  <w:noWrap w:val="0"/>
                  <w:vAlign w:val="center"/>
                </w:tcPr>
                <w:p w14:paraId="77E47A7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东</w:t>
                  </w:r>
                </w:p>
              </w:tc>
              <w:tc>
                <w:tcPr>
                  <w:tcW w:w="777" w:type="dxa"/>
                  <w:vMerge w:val="restart"/>
                  <w:tcBorders>
                    <w:tl2br w:val="nil"/>
                    <w:tr2bl w:val="nil"/>
                  </w:tcBorders>
                  <w:noWrap w:val="0"/>
                  <w:vAlign w:val="center"/>
                </w:tcPr>
                <w:p w14:paraId="0DD8664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48.0</w:t>
                  </w:r>
                </w:p>
              </w:tc>
              <w:tc>
                <w:tcPr>
                  <w:tcW w:w="349" w:type="pct"/>
                  <w:vMerge w:val="restart"/>
                  <w:tcBorders>
                    <w:tl2br w:val="nil"/>
                    <w:tr2bl w:val="nil"/>
                  </w:tcBorders>
                  <w:noWrap w:val="0"/>
                  <w:vAlign w:val="center"/>
                </w:tcPr>
                <w:p w14:paraId="1779679D">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r>
            <w:tr w14:paraId="13CDA76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6" w:hRule="atLeast"/>
                <w:jc w:val="center"/>
              </w:trPr>
              <w:tc>
                <w:tcPr>
                  <w:tcW w:w="173" w:type="pct"/>
                  <w:vMerge w:val="continue"/>
                  <w:tcBorders>
                    <w:tl2br w:val="nil"/>
                    <w:tr2bl w:val="nil"/>
                  </w:tcBorders>
                  <w:noWrap w:val="0"/>
                  <w:vAlign w:val="center"/>
                </w:tcPr>
                <w:p w14:paraId="08B7175D">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74B9B692">
                  <w:pPr>
                    <w:keepNext w:val="0"/>
                    <w:keepLines w:val="0"/>
                    <w:widowControl/>
                    <w:suppressLineNumbers w:val="0"/>
                    <w:jc w:val="center"/>
                    <w:textAlignment w:val="center"/>
                    <w:rPr>
                      <w:color w:val="auto"/>
                    </w:rPr>
                  </w:pPr>
                </w:p>
              </w:tc>
              <w:tc>
                <w:tcPr>
                  <w:tcW w:w="316" w:type="pct"/>
                  <w:vMerge w:val="continue"/>
                  <w:tcBorders>
                    <w:tl2br w:val="nil"/>
                    <w:tr2bl w:val="nil"/>
                  </w:tcBorders>
                  <w:noWrap w:val="0"/>
                  <w:vAlign w:val="center"/>
                </w:tcPr>
                <w:p w14:paraId="396F86BC">
                  <w:pPr>
                    <w:keepNext w:val="0"/>
                    <w:keepLines w:val="0"/>
                    <w:widowControl/>
                    <w:suppressLineNumbers w:val="0"/>
                    <w:jc w:val="center"/>
                    <w:textAlignment w:val="center"/>
                    <w:rPr>
                      <w:color w:val="auto"/>
                    </w:rPr>
                  </w:pPr>
                </w:p>
              </w:tc>
              <w:tc>
                <w:tcPr>
                  <w:tcW w:w="505" w:type="pct"/>
                  <w:vMerge w:val="continue"/>
                  <w:tcBorders>
                    <w:tl2br w:val="nil"/>
                    <w:tr2bl w:val="nil"/>
                  </w:tcBorders>
                  <w:noWrap w:val="0"/>
                  <w:vAlign w:val="center"/>
                </w:tcPr>
                <w:p w14:paraId="759A2F65">
                  <w:pPr>
                    <w:keepNext w:val="0"/>
                    <w:keepLines w:val="0"/>
                    <w:widowControl/>
                    <w:suppressLineNumbers w:val="0"/>
                    <w:jc w:val="center"/>
                    <w:textAlignment w:val="center"/>
                    <w:rPr>
                      <w:color w:val="auto"/>
                    </w:rPr>
                  </w:pPr>
                </w:p>
              </w:tc>
              <w:tc>
                <w:tcPr>
                  <w:tcW w:w="367" w:type="pct"/>
                  <w:vMerge w:val="continue"/>
                  <w:tcBorders>
                    <w:tl2br w:val="nil"/>
                    <w:tr2bl w:val="nil"/>
                  </w:tcBorders>
                  <w:noWrap w:val="0"/>
                  <w:vAlign w:val="center"/>
                </w:tcPr>
                <w:p w14:paraId="20B5D3F6">
                  <w:pPr>
                    <w:keepNext w:val="0"/>
                    <w:keepLines w:val="0"/>
                    <w:widowControl/>
                    <w:suppressLineNumbers w:val="0"/>
                    <w:jc w:val="center"/>
                    <w:textAlignment w:val="center"/>
                    <w:rPr>
                      <w:color w:val="auto"/>
                    </w:rPr>
                  </w:pPr>
                </w:p>
              </w:tc>
              <w:tc>
                <w:tcPr>
                  <w:tcW w:w="314" w:type="pct"/>
                  <w:vMerge w:val="continue"/>
                  <w:tcBorders>
                    <w:tl2br w:val="nil"/>
                    <w:tr2bl w:val="nil"/>
                  </w:tcBorders>
                  <w:noWrap w:val="0"/>
                  <w:vAlign w:val="center"/>
                </w:tcPr>
                <w:p w14:paraId="009C0EA7">
                  <w:pPr>
                    <w:keepNext w:val="0"/>
                    <w:keepLines w:val="0"/>
                    <w:widowControl/>
                    <w:suppressLineNumbers w:val="0"/>
                    <w:jc w:val="center"/>
                    <w:textAlignment w:val="center"/>
                    <w:rPr>
                      <w:color w:val="auto"/>
                    </w:rPr>
                  </w:pPr>
                </w:p>
              </w:tc>
              <w:tc>
                <w:tcPr>
                  <w:tcW w:w="233" w:type="pct"/>
                  <w:vMerge w:val="continue"/>
                  <w:tcBorders>
                    <w:tl2br w:val="nil"/>
                    <w:tr2bl w:val="nil"/>
                  </w:tcBorders>
                  <w:noWrap w:val="0"/>
                  <w:vAlign w:val="center"/>
                </w:tcPr>
                <w:p w14:paraId="630885F2">
                  <w:pPr>
                    <w:keepNext w:val="0"/>
                    <w:keepLines w:val="0"/>
                    <w:widowControl/>
                    <w:suppressLineNumbers w:val="0"/>
                    <w:jc w:val="center"/>
                    <w:textAlignment w:val="center"/>
                    <w:rPr>
                      <w:color w:val="auto"/>
                    </w:rPr>
                  </w:pPr>
                </w:p>
              </w:tc>
              <w:tc>
                <w:tcPr>
                  <w:tcW w:w="245" w:type="pct"/>
                  <w:vMerge w:val="continue"/>
                  <w:tcBorders>
                    <w:tl2br w:val="nil"/>
                    <w:tr2bl w:val="nil"/>
                  </w:tcBorders>
                  <w:noWrap w:val="0"/>
                  <w:vAlign w:val="center"/>
                </w:tcPr>
                <w:p w14:paraId="564CFD49">
                  <w:pPr>
                    <w:keepNext w:val="0"/>
                    <w:keepLines w:val="0"/>
                    <w:widowControl/>
                    <w:suppressLineNumbers w:val="0"/>
                    <w:jc w:val="center"/>
                    <w:textAlignment w:val="center"/>
                    <w:rPr>
                      <w:color w:val="auto"/>
                    </w:rPr>
                  </w:pPr>
                </w:p>
              </w:tc>
              <w:tc>
                <w:tcPr>
                  <w:tcW w:w="238" w:type="pct"/>
                  <w:vMerge w:val="continue"/>
                  <w:tcBorders>
                    <w:tl2br w:val="nil"/>
                    <w:tr2bl w:val="nil"/>
                  </w:tcBorders>
                  <w:noWrap w:val="0"/>
                  <w:vAlign w:val="center"/>
                </w:tcPr>
                <w:p w14:paraId="2AD1B826">
                  <w:pPr>
                    <w:keepNext w:val="0"/>
                    <w:keepLines w:val="0"/>
                    <w:widowControl/>
                    <w:suppressLineNumbers w:val="0"/>
                    <w:jc w:val="center"/>
                    <w:textAlignment w:val="center"/>
                    <w:rPr>
                      <w:color w:val="auto"/>
                    </w:rPr>
                  </w:pPr>
                </w:p>
              </w:tc>
              <w:tc>
                <w:tcPr>
                  <w:tcW w:w="208" w:type="pct"/>
                  <w:tcBorders>
                    <w:tl2br w:val="nil"/>
                    <w:tr2bl w:val="nil"/>
                  </w:tcBorders>
                  <w:noWrap w:val="0"/>
                  <w:vAlign w:val="center"/>
                </w:tcPr>
                <w:p w14:paraId="212A26A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08" w:type="pct"/>
                  <w:tcBorders>
                    <w:tl2br w:val="nil"/>
                    <w:tr2bl w:val="nil"/>
                  </w:tcBorders>
                  <w:noWrap w:val="0"/>
                  <w:vAlign w:val="center"/>
                </w:tcPr>
                <w:p w14:paraId="75F6B04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w:t>
                  </w:r>
                </w:p>
              </w:tc>
              <w:tc>
                <w:tcPr>
                  <w:tcW w:w="237" w:type="pct"/>
                  <w:tcBorders>
                    <w:tl2br w:val="nil"/>
                    <w:tr2bl w:val="nil"/>
                  </w:tcBorders>
                  <w:noWrap w:val="0"/>
                  <w:vAlign w:val="center"/>
                </w:tcPr>
                <w:p w14:paraId="142A183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37" w:type="pct"/>
                  <w:tcBorders>
                    <w:tl2br w:val="nil"/>
                    <w:tr2bl w:val="nil"/>
                  </w:tcBorders>
                  <w:noWrap w:val="0"/>
                  <w:vAlign w:val="center"/>
                </w:tcPr>
                <w:p w14:paraId="623CE34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69.0</w:t>
                  </w:r>
                </w:p>
              </w:tc>
              <w:tc>
                <w:tcPr>
                  <w:tcW w:w="273" w:type="pct"/>
                  <w:vMerge w:val="continue"/>
                  <w:tcBorders>
                    <w:tl2br w:val="nil"/>
                    <w:tr2bl w:val="nil"/>
                  </w:tcBorders>
                  <w:noWrap w:val="0"/>
                  <w:vAlign w:val="center"/>
                </w:tcPr>
                <w:p w14:paraId="09FB456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17226D0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37CB1DA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21814DE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43CB1C6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1B5609F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6" w:hRule="atLeast"/>
                <w:jc w:val="center"/>
              </w:trPr>
              <w:tc>
                <w:tcPr>
                  <w:tcW w:w="173" w:type="pct"/>
                  <w:vMerge w:val="continue"/>
                  <w:tcBorders>
                    <w:tl2br w:val="nil"/>
                    <w:tr2bl w:val="nil"/>
                  </w:tcBorders>
                  <w:noWrap w:val="0"/>
                  <w:vAlign w:val="center"/>
                </w:tcPr>
                <w:p w14:paraId="1EF428B0">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1CBD61D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15920F7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2B0DF2E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76A5D4D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4E2C7A8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664BCCC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2DBF90D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7A40F71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0BBD955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08" w:type="pct"/>
                  <w:tcBorders>
                    <w:tl2br w:val="nil"/>
                    <w:tr2bl w:val="nil"/>
                  </w:tcBorders>
                  <w:noWrap w:val="0"/>
                  <w:vAlign w:val="center"/>
                </w:tcPr>
                <w:p w14:paraId="45E0282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w:t>
                  </w:r>
                </w:p>
              </w:tc>
              <w:tc>
                <w:tcPr>
                  <w:tcW w:w="237" w:type="pct"/>
                  <w:tcBorders>
                    <w:tl2br w:val="nil"/>
                    <w:tr2bl w:val="nil"/>
                  </w:tcBorders>
                  <w:noWrap w:val="0"/>
                  <w:vAlign w:val="center"/>
                </w:tcPr>
                <w:p w14:paraId="5EE67E9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37" w:type="pct"/>
                  <w:tcBorders>
                    <w:tl2br w:val="nil"/>
                    <w:tr2bl w:val="nil"/>
                  </w:tcBorders>
                  <w:noWrap w:val="0"/>
                  <w:vAlign w:val="center"/>
                </w:tcPr>
                <w:p w14:paraId="7F7B428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69.1</w:t>
                  </w:r>
                </w:p>
              </w:tc>
              <w:tc>
                <w:tcPr>
                  <w:tcW w:w="273" w:type="pct"/>
                  <w:vMerge w:val="continue"/>
                  <w:tcBorders>
                    <w:tl2br w:val="nil"/>
                    <w:tr2bl w:val="nil"/>
                  </w:tcBorders>
                  <w:noWrap w:val="0"/>
                  <w:vAlign w:val="center"/>
                </w:tcPr>
                <w:p w14:paraId="7BE457C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676950E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597E8FE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2D415B8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1CE7C1F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3068C84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6" w:hRule="atLeast"/>
                <w:jc w:val="center"/>
              </w:trPr>
              <w:tc>
                <w:tcPr>
                  <w:tcW w:w="173" w:type="pct"/>
                  <w:vMerge w:val="continue"/>
                  <w:tcBorders>
                    <w:tl2br w:val="nil"/>
                    <w:tr2bl w:val="nil"/>
                  </w:tcBorders>
                  <w:noWrap w:val="0"/>
                  <w:vAlign w:val="center"/>
                </w:tcPr>
                <w:p w14:paraId="3F2F1FF9">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194AA42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6ADC6C5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6CF8C03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46B92A9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7A1358B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7BFA978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796B750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7AD8E1C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35424D7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08" w:type="pct"/>
                  <w:tcBorders>
                    <w:tl2br w:val="nil"/>
                    <w:tr2bl w:val="nil"/>
                  </w:tcBorders>
                  <w:noWrap w:val="0"/>
                  <w:vAlign w:val="center"/>
                </w:tcPr>
                <w:p w14:paraId="3AA81E5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237" w:type="pct"/>
                  <w:tcBorders>
                    <w:tl2br w:val="nil"/>
                    <w:tr2bl w:val="nil"/>
                  </w:tcBorders>
                  <w:noWrap w:val="0"/>
                  <w:vAlign w:val="center"/>
                </w:tcPr>
                <w:p w14:paraId="11ACA69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37" w:type="pct"/>
                  <w:tcBorders>
                    <w:tl2br w:val="nil"/>
                    <w:tr2bl w:val="nil"/>
                  </w:tcBorders>
                  <w:noWrap w:val="0"/>
                  <w:vAlign w:val="center"/>
                </w:tcPr>
                <w:p w14:paraId="018793F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69.0</w:t>
                  </w:r>
                </w:p>
              </w:tc>
              <w:tc>
                <w:tcPr>
                  <w:tcW w:w="273" w:type="pct"/>
                  <w:vMerge w:val="continue"/>
                  <w:tcBorders>
                    <w:tl2br w:val="nil"/>
                    <w:tr2bl w:val="nil"/>
                  </w:tcBorders>
                  <w:noWrap w:val="0"/>
                  <w:vAlign w:val="center"/>
                </w:tcPr>
                <w:p w14:paraId="6BCFFD2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1839D7D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3884531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590E648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4582C65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09CA9A6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6" w:hRule="atLeast"/>
                <w:jc w:val="center"/>
              </w:trPr>
              <w:tc>
                <w:tcPr>
                  <w:tcW w:w="173" w:type="pct"/>
                  <w:vMerge w:val="restart"/>
                  <w:tcBorders>
                    <w:tl2br w:val="nil"/>
                    <w:tr2bl w:val="nil"/>
                  </w:tcBorders>
                  <w:noWrap w:val="0"/>
                  <w:vAlign w:val="center"/>
                </w:tcPr>
                <w:p w14:paraId="4B264759">
                  <w:pPr>
                    <w:keepNext w:val="0"/>
                    <w:keepLines w:val="0"/>
                    <w:widowControl/>
                    <w:numPr>
                      <w:ilvl w:val="0"/>
                      <w:numId w:val="11"/>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05D2479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restart"/>
                  <w:tcBorders>
                    <w:tl2br w:val="nil"/>
                    <w:tr2bl w:val="nil"/>
                  </w:tcBorders>
                  <w:noWrap w:val="0"/>
                  <w:vAlign w:val="center"/>
                </w:tcPr>
                <w:p w14:paraId="6786695B">
                  <w:pPr>
                    <w:spacing w:line="240" w:lineRule="auto"/>
                    <w:jc w:val="center"/>
                    <w:rPr>
                      <w:rFonts w:hint="eastAsia"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数控车床</w:t>
                  </w:r>
                </w:p>
                <w:p w14:paraId="49428341">
                  <w:pPr>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0"/>
                      <w:sz w:val="21"/>
                      <w:szCs w:val="21"/>
                      <w:lang w:val="en-US" w:eastAsia="zh-CN"/>
                    </w:rPr>
                    <w:t>（4台）</w:t>
                  </w:r>
                </w:p>
              </w:tc>
              <w:tc>
                <w:tcPr>
                  <w:tcW w:w="505" w:type="pct"/>
                  <w:vMerge w:val="restart"/>
                  <w:tcBorders>
                    <w:tl2br w:val="nil"/>
                    <w:tr2bl w:val="nil"/>
                  </w:tcBorders>
                  <w:noWrap w:val="0"/>
                  <w:vAlign w:val="center"/>
                </w:tcPr>
                <w:p w14:paraId="261B1D24">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C1108</w:t>
                  </w:r>
                </w:p>
              </w:tc>
              <w:tc>
                <w:tcPr>
                  <w:tcW w:w="367" w:type="pct"/>
                  <w:vMerge w:val="restart"/>
                  <w:tcBorders>
                    <w:tl2br w:val="nil"/>
                    <w:tr2bl w:val="nil"/>
                  </w:tcBorders>
                  <w:noWrap w:val="0"/>
                  <w:vAlign w:val="center"/>
                </w:tcPr>
                <w:p w14:paraId="69F1DA92">
                  <w:pPr>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lang w:val="en-US" w:eastAsia="zh-CN"/>
                    </w:rPr>
                    <w:t>85</w:t>
                  </w:r>
                </w:p>
              </w:tc>
              <w:tc>
                <w:tcPr>
                  <w:tcW w:w="314" w:type="pct"/>
                  <w:vMerge w:val="continue"/>
                  <w:tcBorders>
                    <w:tl2br w:val="nil"/>
                    <w:tr2bl w:val="nil"/>
                  </w:tcBorders>
                  <w:noWrap w:val="0"/>
                  <w:vAlign w:val="center"/>
                </w:tcPr>
                <w:p w14:paraId="2D773E1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restart"/>
                  <w:tcBorders>
                    <w:tl2br w:val="nil"/>
                    <w:tr2bl w:val="nil"/>
                  </w:tcBorders>
                  <w:noWrap w:val="0"/>
                  <w:vAlign w:val="center"/>
                </w:tcPr>
                <w:p w14:paraId="37CC17B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13</w:t>
                  </w:r>
                </w:p>
              </w:tc>
              <w:tc>
                <w:tcPr>
                  <w:tcW w:w="245" w:type="pct"/>
                  <w:vMerge w:val="restart"/>
                  <w:tcBorders>
                    <w:tl2br w:val="nil"/>
                    <w:tr2bl w:val="nil"/>
                  </w:tcBorders>
                  <w:noWrap w:val="0"/>
                  <w:vAlign w:val="center"/>
                </w:tcPr>
                <w:p w14:paraId="10B8EB5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14</w:t>
                  </w:r>
                </w:p>
              </w:tc>
              <w:tc>
                <w:tcPr>
                  <w:tcW w:w="238" w:type="pct"/>
                  <w:vMerge w:val="restart"/>
                  <w:tcBorders>
                    <w:tl2br w:val="nil"/>
                    <w:tr2bl w:val="nil"/>
                  </w:tcBorders>
                  <w:noWrap w:val="0"/>
                  <w:vAlign w:val="center"/>
                </w:tcPr>
                <w:p w14:paraId="1153490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1</w:t>
                  </w:r>
                </w:p>
              </w:tc>
              <w:tc>
                <w:tcPr>
                  <w:tcW w:w="208" w:type="pct"/>
                  <w:tcBorders>
                    <w:tl2br w:val="nil"/>
                    <w:tr2bl w:val="nil"/>
                  </w:tcBorders>
                  <w:noWrap w:val="0"/>
                  <w:vAlign w:val="center"/>
                </w:tcPr>
                <w:p w14:paraId="77AA851F">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08" w:type="pct"/>
                  <w:tcBorders>
                    <w:tl2br w:val="nil"/>
                    <w:tr2bl w:val="nil"/>
                  </w:tcBorders>
                  <w:noWrap w:val="0"/>
                  <w:vAlign w:val="center"/>
                </w:tcPr>
                <w:p w14:paraId="2D6C2B5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w:t>
                  </w:r>
                </w:p>
              </w:tc>
              <w:tc>
                <w:tcPr>
                  <w:tcW w:w="237" w:type="pct"/>
                  <w:tcBorders>
                    <w:tl2br w:val="nil"/>
                    <w:tr2bl w:val="nil"/>
                  </w:tcBorders>
                  <w:noWrap w:val="0"/>
                  <w:vAlign w:val="center"/>
                </w:tcPr>
                <w:p w14:paraId="0C36C9FF">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37" w:type="pct"/>
                  <w:tcBorders>
                    <w:tl2br w:val="nil"/>
                    <w:tr2bl w:val="nil"/>
                  </w:tcBorders>
                  <w:noWrap w:val="0"/>
                  <w:vAlign w:val="center"/>
                </w:tcPr>
                <w:p w14:paraId="30B419D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72.1</w:t>
                  </w:r>
                </w:p>
              </w:tc>
              <w:tc>
                <w:tcPr>
                  <w:tcW w:w="273" w:type="pct"/>
                  <w:vMerge w:val="continue"/>
                  <w:tcBorders>
                    <w:tl2br w:val="nil"/>
                    <w:tr2bl w:val="nil"/>
                  </w:tcBorders>
                  <w:noWrap w:val="0"/>
                  <w:vAlign w:val="center"/>
                </w:tcPr>
                <w:p w14:paraId="3A4A2AC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4451FC2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2F80B8A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055031A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32D0411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22D1A3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6" w:hRule="atLeast"/>
                <w:jc w:val="center"/>
              </w:trPr>
              <w:tc>
                <w:tcPr>
                  <w:tcW w:w="173" w:type="pct"/>
                  <w:vMerge w:val="continue"/>
                  <w:tcBorders>
                    <w:tl2br w:val="nil"/>
                    <w:tr2bl w:val="nil"/>
                  </w:tcBorders>
                  <w:noWrap w:val="0"/>
                  <w:vAlign w:val="center"/>
                </w:tcPr>
                <w:p w14:paraId="232570E8">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1F4010B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79147FE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0A6907B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414ED41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2A7C6DF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317F052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11A76CC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7154E77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278C5DF2">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08" w:type="pct"/>
                  <w:tcBorders>
                    <w:tl2br w:val="nil"/>
                    <w:tr2bl w:val="nil"/>
                  </w:tcBorders>
                  <w:noWrap w:val="0"/>
                  <w:vAlign w:val="center"/>
                </w:tcPr>
                <w:p w14:paraId="516AFC5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w:t>
                  </w:r>
                </w:p>
              </w:tc>
              <w:tc>
                <w:tcPr>
                  <w:tcW w:w="237" w:type="pct"/>
                  <w:tcBorders>
                    <w:tl2br w:val="nil"/>
                    <w:tr2bl w:val="nil"/>
                  </w:tcBorders>
                  <w:noWrap w:val="0"/>
                  <w:vAlign w:val="center"/>
                </w:tcPr>
                <w:p w14:paraId="714CE9D5">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37" w:type="pct"/>
                  <w:tcBorders>
                    <w:tl2br w:val="nil"/>
                    <w:tr2bl w:val="nil"/>
                  </w:tcBorders>
                  <w:noWrap w:val="0"/>
                  <w:vAlign w:val="center"/>
                </w:tcPr>
                <w:p w14:paraId="5E2FF5B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72.2</w:t>
                  </w:r>
                </w:p>
              </w:tc>
              <w:tc>
                <w:tcPr>
                  <w:tcW w:w="273" w:type="pct"/>
                  <w:vMerge w:val="continue"/>
                  <w:tcBorders>
                    <w:tl2br w:val="nil"/>
                    <w:tr2bl w:val="nil"/>
                  </w:tcBorders>
                  <w:noWrap w:val="0"/>
                  <w:vAlign w:val="center"/>
                </w:tcPr>
                <w:p w14:paraId="03DB028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5DED4E5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131EF74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0288E67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6E1026A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35A2B70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6" w:hRule="atLeast"/>
                <w:jc w:val="center"/>
              </w:trPr>
              <w:tc>
                <w:tcPr>
                  <w:tcW w:w="173" w:type="pct"/>
                  <w:vMerge w:val="continue"/>
                  <w:tcBorders>
                    <w:tl2br w:val="nil"/>
                    <w:tr2bl w:val="nil"/>
                  </w:tcBorders>
                  <w:noWrap w:val="0"/>
                  <w:vAlign w:val="center"/>
                </w:tcPr>
                <w:p w14:paraId="2F142D1E">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0205F5C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1B5F6FF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55BFA30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69E2BF0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72C14CC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0A4A63C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16B1A4C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10F8DDD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7B6659C7">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08" w:type="pct"/>
                  <w:tcBorders>
                    <w:tl2br w:val="nil"/>
                    <w:tr2bl w:val="nil"/>
                  </w:tcBorders>
                  <w:noWrap w:val="0"/>
                  <w:vAlign w:val="center"/>
                </w:tcPr>
                <w:p w14:paraId="01010EB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w:t>
                  </w:r>
                </w:p>
              </w:tc>
              <w:tc>
                <w:tcPr>
                  <w:tcW w:w="237" w:type="pct"/>
                  <w:tcBorders>
                    <w:tl2br w:val="nil"/>
                    <w:tr2bl w:val="nil"/>
                  </w:tcBorders>
                  <w:noWrap w:val="0"/>
                  <w:vAlign w:val="center"/>
                </w:tcPr>
                <w:p w14:paraId="023874EB">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37" w:type="pct"/>
                  <w:tcBorders>
                    <w:tl2br w:val="nil"/>
                    <w:tr2bl w:val="nil"/>
                  </w:tcBorders>
                  <w:noWrap w:val="0"/>
                  <w:vAlign w:val="center"/>
                </w:tcPr>
                <w:p w14:paraId="2B5A35D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72.2</w:t>
                  </w:r>
                </w:p>
              </w:tc>
              <w:tc>
                <w:tcPr>
                  <w:tcW w:w="273" w:type="pct"/>
                  <w:vMerge w:val="continue"/>
                  <w:tcBorders>
                    <w:tl2br w:val="nil"/>
                    <w:tr2bl w:val="nil"/>
                  </w:tcBorders>
                  <w:noWrap w:val="0"/>
                  <w:vAlign w:val="center"/>
                </w:tcPr>
                <w:p w14:paraId="336EAB1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520C8C6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64025EB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17A2049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5BD05B7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0EA7A5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6" w:hRule="atLeast"/>
                <w:jc w:val="center"/>
              </w:trPr>
              <w:tc>
                <w:tcPr>
                  <w:tcW w:w="173" w:type="pct"/>
                  <w:vMerge w:val="continue"/>
                  <w:tcBorders>
                    <w:tl2br w:val="nil"/>
                    <w:tr2bl w:val="nil"/>
                  </w:tcBorders>
                  <w:noWrap w:val="0"/>
                  <w:vAlign w:val="center"/>
                </w:tcPr>
                <w:p w14:paraId="3E5D1AA6">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3C5269B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1F1B0F7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5F43571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78D2DE9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6B978A3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0DD94F6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0606BDC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05D497D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2D71A484">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08" w:type="pct"/>
                  <w:tcBorders>
                    <w:tl2br w:val="nil"/>
                    <w:tr2bl w:val="nil"/>
                  </w:tcBorders>
                  <w:noWrap w:val="0"/>
                  <w:vAlign w:val="center"/>
                </w:tcPr>
                <w:p w14:paraId="2586A11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64</w:t>
                  </w:r>
                </w:p>
              </w:tc>
              <w:tc>
                <w:tcPr>
                  <w:tcW w:w="237" w:type="pct"/>
                  <w:tcBorders>
                    <w:tl2br w:val="nil"/>
                    <w:tr2bl w:val="nil"/>
                  </w:tcBorders>
                  <w:noWrap w:val="0"/>
                  <w:vAlign w:val="center"/>
                </w:tcPr>
                <w:p w14:paraId="4CEEC06B">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37" w:type="pct"/>
                  <w:tcBorders>
                    <w:tl2br w:val="nil"/>
                    <w:tr2bl w:val="nil"/>
                  </w:tcBorders>
                  <w:noWrap w:val="0"/>
                  <w:vAlign w:val="center"/>
                </w:tcPr>
                <w:p w14:paraId="683D650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72.0</w:t>
                  </w:r>
                </w:p>
              </w:tc>
              <w:tc>
                <w:tcPr>
                  <w:tcW w:w="273" w:type="pct"/>
                  <w:vMerge w:val="continue"/>
                  <w:tcBorders>
                    <w:tl2br w:val="nil"/>
                    <w:tr2bl w:val="nil"/>
                  </w:tcBorders>
                  <w:noWrap w:val="0"/>
                  <w:vAlign w:val="center"/>
                </w:tcPr>
                <w:p w14:paraId="6A5F0B7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4EBF33B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5BDB307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2F2F8D6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6481D15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3F9CF7C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restart"/>
                  <w:tcBorders>
                    <w:tl2br w:val="nil"/>
                    <w:tr2bl w:val="nil"/>
                  </w:tcBorders>
                  <w:noWrap w:val="0"/>
                  <w:vAlign w:val="center"/>
                </w:tcPr>
                <w:p w14:paraId="4BFC7F82">
                  <w:pPr>
                    <w:keepNext w:val="0"/>
                    <w:keepLines w:val="0"/>
                    <w:widowControl/>
                    <w:numPr>
                      <w:ilvl w:val="0"/>
                      <w:numId w:val="11"/>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0EFA80D4">
                  <w:pPr>
                    <w:adjustRightInd w:val="0"/>
                    <w:snapToGrid w:val="0"/>
                    <w:spacing w:line="240" w:lineRule="auto"/>
                    <w:jc w:val="center"/>
                    <w:rPr>
                      <w:rFonts w:hint="default" w:ascii="Times New Roman" w:hAnsi="Times New Roman" w:eastAsia="仿宋" w:cs="Times New Roman"/>
                      <w:color w:val="auto"/>
                      <w:kern w:val="0"/>
                      <w:sz w:val="21"/>
                      <w:szCs w:val="21"/>
                      <w:lang w:val="en-US" w:eastAsia="zh-CN"/>
                    </w:rPr>
                  </w:pPr>
                </w:p>
              </w:tc>
              <w:tc>
                <w:tcPr>
                  <w:tcW w:w="316" w:type="pct"/>
                  <w:vMerge w:val="restart"/>
                  <w:tcBorders>
                    <w:tl2br w:val="nil"/>
                    <w:tr2bl w:val="nil"/>
                  </w:tcBorders>
                  <w:noWrap w:val="0"/>
                  <w:vAlign w:val="center"/>
                </w:tcPr>
                <w:p w14:paraId="6D51760C">
                  <w:pPr>
                    <w:widowControl/>
                    <w:jc w:val="center"/>
                    <w:rPr>
                      <w:rFonts w:hint="eastAsia"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加工中心</w:t>
                  </w:r>
                </w:p>
                <w:p w14:paraId="58C5550E">
                  <w:pPr>
                    <w:widowControl/>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rPr>
                    <w:t>（2台）</w:t>
                  </w:r>
                </w:p>
              </w:tc>
              <w:tc>
                <w:tcPr>
                  <w:tcW w:w="505" w:type="pct"/>
                  <w:vMerge w:val="restart"/>
                  <w:tcBorders>
                    <w:tl2br w:val="nil"/>
                    <w:tr2bl w:val="nil"/>
                  </w:tcBorders>
                  <w:noWrap w:val="0"/>
                  <w:vAlign w:val="center"/>
                </w:tcPr>
                <w:p w14:paraId="4FC9B76D">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CMC</w:t>
                  </w:r>
                </w:p>
              </w:tc>
              <w:tc>
                <w:tcPr>
                  <w:tcW w:w="367" w:type="pct"/>
                  <w:vMerge w:val="restart"/>
                  <w:tcBorders>
                    <w:tl2br w:val="nil"/>
                    <w:tr2bl w:val="nil"/>
                  </w:tcBorders>
                  <w:noWrap w:val="0"/>
                  <w:vAlign w:val="center"/>
                </w:tcPr>
                <w:p w14:paraId="16FC97FC">
                  <w:pPr>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lang w:val="en-US" w:eastAsia="zh-CN"/>
                    </w:rPr>
                    <w:t>85</w:t>
                  </w:r>
                </w:p>
              </w:tc>
              <w:tc>
                <w:tcPr>
                  <w:tcW w:w="314" w:type="pct"/>
                  <w:vMerge w:val="continue"/>
                  <w:tcBorders>
                    <w:tl2br w:val="nil"/>
                    <w:tr2bl w:val="nil"/>
                  </w:tcBorders>
                  <w:noWrap w:val="0"/>
                  <w:vAlign w:val="center"/>
                </w:tcPr>
                <w:p w14:paraId="5AA902CC">
                  <w:pPr>
                    <w:adjustRightInd w:val="0"/>
                    <w:snapToGrid w:val="0"/>
                    <w:jc w:val="center"/>
                    <w:rPr>
                      <w:rFonts w:hint="default" w:ascii="Times New Roman" w:hAnsi="Times New Roman" w:eastAsia="仿宋" w:cs="Times New Roman"/>
                      <w:color w:val="auto"/>
                      <w:sz w:val="21"/>
                      <w:szCs w:val="21"/>
                      <w:lang w:val="en-US" w:eastAsia="zh-CN"/>
                    </w:rPr>
                  </w:pPr>
                </w:p>
              </w:tc>
              <w:tc>
                <w:tcPr>
                  <w:tcW w:w="233" w:type="pct"/>
                  <w:vMerge w:val="restart"/>
                  <w:tcBorders>
                    <w:tl2br w:val="nil"/>
                    <w:tr2bl w:val="nil"/>
                  </w:tcBorders>
                  <w:noWrap w:val="0"/>
                  <w:vAlign w:val="center"/>
                </w:tcPr>
                <w:p w14:paraId="3C09A24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4</w:t>
                  </w:r>
                </w:p>
              </w:tc>
              <w:tc>
                <w:tcPr>
                  <w:tcW w:w="245" w:type="pct"/>
                  <w:vMerge w:val="restart"/>
                  <w:tcBorders>
                    <w:tl2br w:val="nil"/>
                    <w:tr2bl w:val="nil"/>
                  </w:tcBorders>
                  <w:noWrap w:val="0"/>
                  <w:vAlign w:val="center"/>
                </w:tcPr>
                <w:p w14:paraId="7B0E09F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68</w:t>
                  </w:r>
                </w:p>
              </w:tc>
              <w:tc>
                <w:tcPr>
                  <w:tcW w:w="238" w:type="pct"/>
                  <w:vMerge w:val="restart"/>
                  <w:tcBorders>
                    <w:tl2br w:val="nil"/>
                    <w:tr2bl w:val="nil"/>
                  </w:tcBorders>
                  <w:noWrap w:val="0"/>
                  <w:vAlign w:val="center"/>
                </w:tcPr>
                <w:p w14:paraId="37AC944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1</w:t>
                  </w:r>
                </w:p>
              </w:tc>
              <w:tc>
                <w:tcPr>
                  <w:tcW w:w="208" w:type="pct"/>
                  <w:tcBorders>
                    <w:tl2br w:val="nil"/>
                    <w:tr2bl w:val="nil"/>
                  </w:tcBorders>
                  <w:noWrap w:val="0"/>
                  <w:vAlign w:val="center"/>
                </w:tcPr>
                <w:p w14:paraId="5F29831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08" w:type="pct"/>
                  <w:tcBorders>
                    <w:tl2br w:val="nil"/>
                    <w:tr2bl w:val="nil"/>
                  </w:tcBorders>
                  <w:noWrap w:val="0"/>
                  <w:vAlign w:val="center"/>
                </w:tcPr>
                <w:p w14:paraId="34A88F2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w:t>
                  </w:r>
                </w:p>
              </w:tc>
              <w:tc>
                <w:tcPr>
                  <w:tcW w:w="237" w:type="pct"/>
                  <w:tcBorders>
                    <w:tl2br w:val="nil"/>
                    <w:tr2bl w:val="nil"/>
                  </w:tcBorders>
                  <w:noWrap w:val="0"/>
                  <w:vAlign w:val="center"/>
                </w:tcPr>
                <w:p w14:paraId="4816E33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37" w:type="pct"/>
                  <w:tcBorders>
                    <w:tl2br w:val="nil"/>
                    <w:tr2bl w:val="nil"/>
                  </w:tcBorders>
                  <w:noWrap w:val="0"/>
                  <w:vAlign w:val="center"/>
                </w:tcPr>
                <w:p w14:paraId="3AD9A3E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69.0</w:t>
                  </w:r>
                </w:p>
              </w:tc>
              <w:tc>
                <w:tcPr>
                  <w:tcW w:w="273" w:type="pct"/>
                  <w:vMerge w:val="continue"/>
                  <w:tcBorders>
                    <w:tl2br w:val="nil"/>
                    <w:tr2bl w:val="nil"/>
                  </w:tcBorders>
                  <w:noWrap w:val="0"/>
                  <w:vAlign w:val="center"/>
                </w:tcPr>
                <w:p w14:paraId="183D87D2">
                  <w:pPr>
                    <w:adjustRightInd w:val="0"/>
                    <w:snapToGrid w:val="0"/>
                    <w:jc w:val="center"/>
                    <w:rPr>
                      <w:rFonts w:hint="default" w:ascii="Times New Roman" w:hAnsi="Times New Roman" w:eastAsia="仿宋" w:cs="Times New Roman"/>
                      <w:color w:val="auto"/>
                      <w:sz w:val="21"/>
                      <w:szCs w:val="21"/>
                      <w:lang w:val="en-US" w:eastAsia="zh-CN"/>
                    </w:rPr>
                  </w:pPr>
                </w:p>
              </w:tc>
              <w:tc>
                <w:tcPr>
                  <w:tcW w:w="323" w:type="pct"/>
                  <w:vMerge w:val="continue"/>
                  <w:tcBorders>
                    <w:tl2br w:val="nil"/>
                    <w:tr2bl w:val="nil"/>
                  </w:tcBorders>
                  <w:noWrap w:val="0"/>
                  <w:vAlign w:val="center"/>
                </w:tcPr>
                <w:p w14:paraId="709664F5">
                  <w:pPr>
                    <w:adjustRightInd w:val="0"/>
                    <w:snapToGrid w:val="0"/>
                    <w:jc w:val="center"/>
                    <w:rPr>
                      <w:rFonts w:hint="default" w:ascii="Times New Roman" w:hAnsi="Times New Roman" w:eastAsia="仿宋" w:cs="Times New Roman"/>
                      <w:color w:val="auto"/>
                      <w:sz w:val="21"/>
                      <w:szCs w:val="21"/>
                      <w:lang w:val="en-US" w:eastAsia="zh-CN"/>
                    </w:rPr>
                  </w:pPr>
                </w:p>
              </w:tc>
              <w:tc>
                <w:tcPr>
                  <w:tcW w:w="256" w:type="pct"/>
                  <w:vMerge w:val="restart"/>
                  <w:tcBorders>
                    <w:tl2br w:val="nil"/>
                    <w:tr2bl w:val="nil"/>
                  </w:tcBorders>
                  <w:noWrap w:val="0"/>
                  <w:vAlign w:val="center"/>
                </w:tcPr>
                <w:p w14:paraId="68AD3A4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南</w:t>
                  </w:r>
                </w:p>
              </w:tc>
              <w:tc>
                <w:tcPr>
                  <w:tcW w:w="777" w:type="dxa"/>
                  <w:vMerge w:val="restart"/>
                  <w:tcBorders>
                    <w:tl2br w:val="nil"/>
                    <w:tr2bl w:val="nil"/>
                  </w:tcBorders>
                  <w:noWrap w:val="0"/>
                  <w:vAlign w:val="center"/>
                </w:tcPr>
                <w:p w14:paraId="4C1E80C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47.9</w:t>
                  </w:r>
                </w:p>
              </w:tc>
              <w:tc>
                <w:tcPr>
                  <w:tcW w:w="349" w:type="pct"/>
                  <w:vMerge w:val="continue"/>
                  <w:tcBorders>
                    <w:tl2br w:val="nil"/>
                    <w:tr2bl w:val="nil"/>
                  </w:tcBorders>
                  <w:noWrap w:val="0"/>
                  <w:vAlign w:val="center"/>
                </w:tcPr>
                <w:p w14:paraId="394EA7D6">
                  <w:pPr>
                    <w:adjustRightInd w:val="0"/>
                    <w:snapToGrid w:val="0"/>
                    <w:jc w:val="center"/>
                    <w:rPr>
                      <w:rFonts w:hint="default" w:ascii="Times New Roman" w:hAnsi="Times New Roman" w:eastAsia="仿宋" w:cs="Times New Roman"/>
                      <w:color w:val="auto"/>
                      <w:sz w:val="21"/>
                      <w:szCs w:val="21"/>
                      <w:lang w:val="en-US" w:eastAsia="zh-CN"/>
                    </w:rPr>
                  </w:pPr>
                </w:p>
              </w:tc>
            </w:tr>
            <w:tr w14:paraId="5604956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410A9C20">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030EEE2F">
                  <w:pPr>
                    <w:keepNext w:val="0"/>
                    <w:keepLines w:val="0"/>
                    <w:widowControl/>
                    <w:suppressLineNumbers w:val="0"/>
                    <w:jc w:val="center"/>
                    <w:textAlignment w:val="center"/>
                    <w:rPr>
                      <w:color w:val="auto"/>
                    </w:rPr>
                  </w:pPr>
                </w:p>
              </w:tc>
              <w:tc>
                <w:tcPr>
                  <w:tcW w:w="316" w:type="pct"/>
                  <w:vMerge w:val="continue"/>
                  <w:tcBorders>
                    <w:tl2br w:val="nil"/>
                    <w:tr2bl w:val="nil"/>
                  </w:tcBorders>
                  <w:noWrap w:val="0"/>
                  <w:vAlign w:val="center"/>
                </w:tcPr>
                <w:p w14:paraId="7665F941">
                  <w:pPr>
                    <w:keepNext w:val="0"/>
                    <w:keepLines w:val="0"/>
                    <w:widowControl/>
                    <w:suppressLineNumbers w:val="0"/>
                    <w:jc w:val="center"/>
                    <w:textAlignment w:val="center"/>
                    <w:rPr>
                      <w:color w:val="auto"/>
                    </w:rPr>
                  </w:pPr>
                </w:p>
              </w:tc>
              <w:tc>
                <w:tcPr>
                  <w:tcW w:w="505" w:type="pct"/>
                  <w:vMerge w:val="continue"/>
                  <w:tcBorders>
                    <w:tl2br w:val="nil"/>
                    <w:tr2bl w:val="nil"/>
                  </w:tcBorders>
                  <w:noWrap w:val="0"/>
                  <w:vAlign w:val="center"/>
                </w:tcPr>
                <w:p w14:paraId="3787393D">
                  <w:pPr>
                    <w:keepNext w:val="0"/>
                    <w:keepLines w:val="0"/>
                    <w:widowControl/>
                    <w:suppressLineNumbers w:val="0"/>
                    <w:jc w:val="center"/>
                    <w:textAlignment w:val="center"/>
                    <w:rPr>
                      <w:color w:val="auto"/>
                    </w:rPr>
                  </w:pPr>
                </w:p>
              </w:tc>
              <w:tc>
                <w:tcPr>
                  <w:tcW w:w="367" w:type="pct"/>
                  <w:vMerge w:val="continue"/>
                  <w:tcBorders>
                    <w:tl2br w:val="nil"/>
                    <w:tr2bl w:val="nil"/>
                  </w:tcBorders>
                  <w:noWrap w:val="0"/>
                  <w:vAlign w:val="center"/>
                </w:tcPr>
                <w:p w14:paraId="4E473D59">
                  <w:pPr>
                    <w:keepNext w:val="0"/>
                    <w:keepLines w:val="0"/>
                    <w:widowControl/>
                    <w:suppressLineNumbers w:val="0"/>
                    <w:jc w:val="center"/>
                    <w:textAlignment w:val="center"/>
                    <w:rPr>
                      <w:color w:val="auto"/>
                    </w:rPr>
                  </w:pPr>
                </w:p>
              </w:tc>
              <w:tc>
                <w:tcPr>
                  <w:tcW w:w="314" w:type="pct"/>
                  <w:vMerge w:val="continue"/>
                  <w:tcBorders>
                    <w:tl2br w:val="nil"/>
                    <w:tr2bl w:val="nil"/>
                  </w:tcBorders>
                  <w:noWrap w:val="0"/>
                  <w:vAlign w:val="center"/>
                </w:tcPr>
                <w:p w14:paraId="12AC7634">
                  <w:pPr>
                    <w:keepNext w:val="0"/>
                    <w:keepLines w:val="0"/>
                    <w:widowControl/>
                    <w:suppressLineNumbers w:val="0"/>
                    <w:jc w:val="center"/>
                    <w:textAlignment w:val="center"/>
                    <w:rPr>
                      <w:color w:val="auto"/>
                    </w:rPr>
                  </w:pPr>
                </w:p>
              </w:tc>
              <w:tc>
                <w:tcPr>
                  <w:tcW w:w="233" w:type="pct"/>
                  <w:vMerge w:val="continue"/>
                  <w:tcBorders>
                    <w:tl2br w:val="nil"/>
                    <w:tr2bl w:val="nil"/>
                  </w:tcBorders>
                  <w:noWrap w:val="0"/>
                  <w:vAlign w:val="center"/>
                </w:tcPr>
                <w:p w14:paraId="266069F9">
                  <w:pPr>
                    <w:keepNext w:val="0"/>
                    <w:keepLines w:val="0"/>
                    <w:widowControl/>
                    <w:suppressLineNumbers w:val="0"/>
                    <w:jc w:val="center"/>
                    <w:textAlignment w:val="center"/>
                    <w:rPr>
                      <w:color w:val="auto"/>
                    </w:rPr>
                  </w:pPr>
                </w:p>
              </w:tc>
              <w:tc>
                <w:tcPr>
                  <w:tcW w:w="245" w:type="pct"/>
                  <w:vMerge w:val="continue"/>
                  <w:tcBorders>
                    <w:tl2br w:val="nil"/>
                    <w:tr2bl w:val="nil"/>
                  </w:tcBorders>
                  <w:noWrap w:val="0"/>
                  <w:vAlign w:val="center"/>
                </w:tcPr>
                <w:p w14:paraId="3269CD4D">
                  <w:pPr>
                    <w:keepNext w:val="0"/>
                    <w:keepLines w:val="0"/>
                    <w:widowControl/>
                    <w:suppressLineNumbers w:val="0"/>
                    <w:jc w:val="center"/>
                    <w:textAlignment w:val="center"/>
                    <w:rPr>
                      <w:color w:val="auto"/>
                    </w:rPr>
                  </w:pPr>
                </w:p>
              </w:tc>
              <w:tc>
                <w:tcPr>
                  <w:tcW w:w="238" w:type="pct"/>
                  <w:vMerge w:val="continue"/>
                  <w:tcBorders>
                    <w:tl2br w:val="nil"/>
                    <w:tr2bl w:val="nil"/>
                  </w:tcBorders>
                  <w:noWrap w:val="0"/>
                  <w:vAlign w:val="center"/>
                </w:tcPr>
                <w:p w14:paraId="37F85000">
                  <w:pPr>
                    <w:keepNext w:val="0"/>
                    <w:keepLines w:val="0"/>
                    <w:widowControl/>
                    <w:suppressLineNumbers w:val="0"/>
                    <w:jc w:val="center"/>
                    <w:textAlignment w:val="center"/>
                    <w:rPr>
                      <w:color w:val="auto"/>
                    </w:rPr>
                  </w:pPr>
                </w:p>
              </w:tc>
              <w:tc>
                <w:tcPr>
                  <w:tcW w:w="208" w:type="pct"/>
                  <w:tcBorders>
                    <w:tl2br w:val="nil"/>
                    <w:tr2bl w:val="nil"/>
                  </w:tcBorders>
                  <w:noWrap w:val="0"/>
                  <w:vAlign w:val="center"/>
                </w:tcPr>
                <w:p w14:paraId="488A830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08" w:type="pct"/>
                  <w:tcBorders>
                    <w:tl2br w:val="nil"/>
                    <w:tr2bl w:val="nil"/>
                  </w:tcBorders>
                  <w:noWrap w:val="0"/>
                  <w:vAlign w:val="center"/>
                </w:tcPr>
                <w:p w14:paraId="49AFE80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w:t>
                  </w:r>
                </w:p>
              </w:tc>
              <w:tc>
                <w:tcPr>
                  <w:tcW w:w="237" w:type="pct"/>
                  <w:tcBorders>
                    <w:tl2br w:val="nil"/>
                    <w:tr2bl w:val="nil"/>
                  </w:tcBorders>
                  <w:noWrap w:val="0"/>
                  <w:vAlign w:val="center"/>
                </w:tcPr>
                <w:p w14:paraId="3D98AD1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37" w:type="pct"/>
                  <w:tcBorders>
                    <w:tl2br w:val="nil"/>
                    <w:tr2bl w:val="nil"/>
                  </w:tcBorders>
                  <w:noWrap w:val="0"/>
                  <w:vAlign w:val="center"/>
                </w:tcPr>
                <w:p w14:paraId="1F51CD5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69.0</w:t>
                  </w:r>
                </w:p>
              </w:tc>
              <w:tc>
                <w:tcPr>
                  <w:tcW w:w="273" w:type="pct"/>
                  <w:vMerge w:val="continue"/>
                  <w:tcBorders>
                    <w:tl2br w:val="nil"/>
                    <w:tr2bl w:val="nil"/>
                  </w:tcBorders>
                  <w:noWrap w:val="0"/>
                  <w:vAlign w:val="center"/>
                </w:tcPr>
                <w:p w14:paraId="2164556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46C82B4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4054D6A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72449B5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591E133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13718DF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75824FAC">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7D9D03B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5AE2396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4439CC0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3287E4D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11DD946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545F89E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23168D0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03E8CA8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07A8966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08" w:type="pct"/>
                  <w:tcBorders>
                    <w:tl2br w:val="nil"/>
                    <w:tr2bl w:val="nil"/>
                  </w:tcBorders>
                  <w:noWrap w:val="0"/>
                  <w:vAlign w:val="center"/>
                </w:tcPr>
                <w:p w14:paraId="0F1D623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237" w:type="pct"/>
                  <w:tcBorders>
                    <w:tl2br w:val="nil"/>
                    <w:tr2bl w:val="nil"/>
                  </w:tcBorders>
                  <w:noWrap w:val="0"/>
                  <w:vAlign w:val="center"/>
                </w:tcPr>
                <w:p w14:paraId="1995A5B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37" w:type="pct"/>
                  <w:tcBorders>
                    <w:tl2br w:val="nil"/>
                    <w:tr2bl w:val="nil"/>
                  </w:tcBorders>
                  <w:noWrap w:val="0"/>
                  <w:vAlign w:val="center"/>
                </w:tcPr>
                <w:p w14:paraId="3CD7491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70.8</w:t>
                  </w:r>
                </w:p>
              </w:tc>
              <w:tc>
                <w:tcPr>
                  <w:tcW w:w="273" w:type="pct"/>
                  <w:vMerge w:val="continue"/>
                  <w:tcBorders>
                    <w:tl2br w:val="nil"/>
                    <w:tr2bl w:val="nil"/>
                  </w:tcBorders>
                  <w:noWrap w:val="0"/>
                  <w:vAlign w:val="center"/>
                </w:tcPr>
                <w:p w14:paraId="171FF9D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4B2EB29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064E090B">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南</w:t>
                  </w:r>
                </w:p>
              </w:tc>
              <w:tc>
                <w:tcPr>
                  <w:tcW w:w="287" w:type="pct"/>
                  <w:vMerge w:val="continue"/>
                  <w:tcBorders>
                    <w:tl2br w:val="nil"/>
                    <w:tr2bl w:val="nil"/>
                  </w:tcBorders>
                  <w:noWrap w:val="0"/>
                  <w:vAlign w:val="center"/>
                </w:tcPr>
                <w:p w14:paraId="0578DB2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48.5</w:t>
                  </w:r>
                </w:p>
              </w:tc>
              <w:tc>
                <w:tcPr>
                  <w:tcW w:w="349" w:type="pct"/>
                  <w:vMerge w:val="continue"/>
                  <w:tcBorders>
                    <w:tl2br w:val="nil"/>
                    <w:tr2bl w:val="nil"/>
                  </w:tcBorders>
                  <w:noWrap w:val="0"/>
                  <w:vAlign w:val="center"/>
                </w:tcPr>
                <w:p w14:paraId="0B5B0E9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5C51F8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5820F00F">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49F1139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3207844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46BAE7F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43C6415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1D9A2F1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49925CE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7C5D3F7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537BB66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511FAA0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08" w:type="pct"/>
                  <w:tcBorders>
                    <w:tl2br w:val="nil"/>
                    <w:tr2bl w:val="nil"/>
                  </w:tcBorders>
                  <w:noWrap w:val="0"/>
                  <w:vAlign w:val="center"/>
                </w:tcPr>
                <w:p w14:paraId="58D0689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w:t>
                  </w:r>
                </w:p>
              </w:tc>
              <w:tc>
                <w:tcPr>
                  <w:tcW w:w="237" w:type="pct"/>
                  <w:tcBorders>
                    <w:tl2br w:val="nil"/>
                    <w:tr2bl w:val="nil"/>
                  </w:tcBorders>
                  <w:noWrap w:val="0"/>
                  <w:vAlign w:val="center"/>
                </w:tcPr>
                <w:p w14:paraId="622FDF7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37" w:type="pct"/>
                  <w:tcBorders>
                    <w:tl2br w:val="nil"/>
                    <w:tr2bl w:val="nil"/>
                  </w:tcBorders>
                  <w:noWrap w:val="0"/>
                  <w:vAlign w:val="center"/>
                </w:tcPr>
                <w:p w14:paraId="6A7AE99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69.6</w:t>
                  </w:r>
                </w:p>
              </w:tc>
              <w:tc>
                <w:tcPr>
                  <w:tcW w:w="273" w:type="pct"/>
                  <w:vMerge w:val="continue"/>
                  <w:tcBorders>
                    <w:tl2br w:val="nil"/>
                    <w:tr2bl w:val="nil"/>
                  </w:tcBorders>
                  <w:noWrap w:val="0"/>
                  <w:vAlign w:val="center"/>
                </w:tcPr>
                <w:p w14:paraId="40CBF56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32CFC83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67480005">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3664111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268550D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1445AA5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restart"/>
                  <w:tcBorders>
                    <w:tl2br w:val="nil"/>
                    <w:tr2bl w:val="nil"/>
                  </w:tcBorders>
                  <w:noWrap w:val="0"/>
                  <w:vAlign w:val="center"/>
                </w:tcPr>
                <w:p w14:paraId="1531D110">
                  <w:pPr>
                    <w:keepNext w:val="0"/>
                    <w:keepLines w:val="0"/>
                    <w:widowControl/>
                    <w:numPr>
                      <w:ilvl w:val="0"/>
                      <w:numId w:val="11"/>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6B85B80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restart"/>
                  <w:tcBorders>
                    <w:tl2br w:val="nil"/>
                    <w:tr2bl w:val="nil"/>
                  </w:tcBorders>
                  <w:noWrap w:val="0"/>
                  <w:vAlign w:val="center"/>
                </w:tcPr>
                <w:p w14:paraId="43D1229F">
                  <w:pPr>
                    <w:widowControl/>
                    <w:jc w:val="center"/>
                    <w:rPr>
                      <w:rFonts w:hint="eastAsia"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动平衡</w:t>
                  </w:r>
                </w:p>
                <w:p w14:paraId="16727996">
                  <w:pPr>
                    <w:widowControl/>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rPr>
                    <w:t>（1台）</w:t>
                  </w:r>
                </w:p>
              </w:tc>
              <w:tc>
                <w:tcPr>
                  <w:tcW w:w="505" w:type="pct"/>
                  <w:vMerge w:val="restart"/>
                  <w:tcBorders>
                    <w:tl2br w:val="nil"/>
                    <w:tr2bl w:val="nil"/>
                  </w:tcBorders>
                  <w:noWrap w:val="0"/>
                  <w:vAlign w:val="center"/>
                </w:tcPr>
                <w:p w14:paraId="0A8D55E3">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1000*8000</w:t>
                  </w:r>
                </w:p>
              </w:tc>
              <w:tc>
                <w:tcPr>
                  <w:tcW w:w="367" w:type="pct"/>
                  <w:vMerge w:val="restart"/>
                  <w:tcBorders>
                    <w:tl2br w:val="nil"/>
                    <w:tr2bl w:val="nil"/>
                  </w:tcBorders>
                  <w:noWrap w:val="0"/>
                  <w:vAlign w:val="center"/>
                </w:tcPr>
                <w:p w14:paraId="6D9BE30A">
                  <w:pPr>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lang w:val="en-US" w:eastAsia="zh-CN"/>
                    </w:rPr>
                    <w:t>65</w:t>
                  </w:r>
                </w:p>
              </w:tc>
              <w:tc>
                <w:tcPr>
                  <w:tcW w:w="314" w:type="pct"/>
                  <w:vMerge w:val="continue"/>
                  <w:tcBorders>
                    <w:tl2br w:val="nil"/>
                    <w:tr2bl w:val="nil"/>
                  </w:tcBorders>
                  <w:noWrap w:val="0"/>
                  <w:vAlign w:val="center"/>
                </w:tcPr>
                <w:p w14:paraId="72E7603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restart"/>
                  <w:tcBorders>
                    <w:tl2br w:val="nil"/>
                    <w:tr2bl w:val="nil"/>
                  </w:tcBorders>
                  <w:noWrap w:val="0"/>
                  <w:vAlign w:val="center"/>
                </w:tcPr>
                <w:p w14:paraId="7E6FB3F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18</w:t>
                  </w:r>
                </w:p>
              </w:tc>
              <w:tc>
                <w:tcPr>
                  <w:tcW w:w="245" w:type="pct"/>
                  <w:vMerge w:val="restart"/>
                  <w:tcBorders>
                    <w:tl2br w:val="nil"/>
                    <w:tr2bl w:val="nil"/>
                  </w:tcBorders>
                  <w:noWrap w:val="0"/>
                  <w:vAlign w:val="center"/>
                </w:tcPr>
                <w:p w14:paraId="6BD067B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44</w:t>
                  </w:r>
                </w:p>
              </w:tc>
              <w:tc>
                <w:tcPr>
                  <w:tcW w:w="238" w:type="pct"/>
                  <w:vMerge w:val="restart"/>
                  <w:tcBorders>
                    <w:tl2br w:val="nil"/>
                    <w:tr2bl w:val="nil"/>
                  </w:tcBorders>
                  <w:noWrap w:val="0"/>
                  <w:vAlign w:val="center"/>
                </w:tcPr>
                <w:p w14:paraId="1066722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1</w:t>
                  </w:r>
                </w:p>
              </w:tc>
              <w:tc>
                <w:tcPr>
                  <w:tcW w:w="208" w:type="pct"/>
                  <w:tcBorders>
                    <w:tl2br w:val="nil"/>
                    <w:tr2bl w:val="nil"/>
                  </w:tcBorders>
                  <w:noWrap w:val="0"/>
                  <w:vAlign w:val="center"/>
                </w:tcPr>
                <w:p w14:paraId="6C32BC6C">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08" w:type="pct"/>
                  <w:tcBorders>
                    <w:tl2br w:val="nil"/>
                    <w:tr2bl w:val="nil"/>
                  </w:tcBorders>
                  <w:noWrap w:val="0"/>
                  <w:vAlign w:val="center"/>
                </w:tcPr>
                <w:p w14:paraId="0BD721F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w:t>
                  </w:r>
                </w:p>
              </w:tc>
              <w:tc>
                <w:tcPr>
                  <w:tcW w:w="237" w:type="pct"/>
                  <w:tcBorders>
                    <w:tl2br w:val="nil"/>
                    <w:tr2bl w:val="nil"/>
                  </w:tcBorders>
                  <w:noWrap w:val="0"/>
                  <w:vAlign w:val="center"/>
                </w:tcPr>
                <w:p w14:paraId="4D088755">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37" w:type="pct"/>
                  <w:tcBorders>
                    <w:tl2br w:val="nil"/>
                    <w:tr2bl w:val="nil"/>
                  </w:tcBorders>
                  <w:noWrap w:val="0"/>
                  <w:vAlign w:val="center"/>
                </w:tcPr>
                <w:p w14:paraId="616ECF2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46.1</w:t>
                  </w:r>
                </w:p>
              </w:tc>
              <w:tc>
                <w:tcPr>
                  <w:tcW w:w="273" w:type="pct"/>
                  <w:vMerge w:val="continue"/>
                  <w:tcBorders>
                    <w:tl2br w:val="nil"/>
                    <w:tr2bl w:val="nil"/>
                  </w:tcBorders>
                  <w:noWrap w:val="0"/>
                  <w:vAlign w:val="center"/>
                </w:tcPr>
                <w:p w14:paraId="31C7A9F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3852BBF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3357CB07">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4E4A859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5AB6D29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437E10E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09AA116A">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7566AF3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0151A7C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1EA7863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7DB983C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7FEF7B3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0BDBA10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469E1ED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12C97E9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1C9BAD79">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08" w:type="pct"/>
                  <w:tcBorders>
                    <w:tl2br w:val="nil"/>
                    <w:tr2bl w:val="nil"/>
                  </w:tcBorders>
                  <w:noWrap w:val="0"/>
                  <w:vAlign w:val="center"/>
                </w:tcPr>
                <w:p w14:paraId="3FB6974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w:t>
                  </w:r>
                </w:p>
              </w:tc>
              <w:tc>
                <w:tcPr>
                  <w:tcW w:w="237" w:type="pct"/>
                  <w:tcBorders>
                    <w:tl2br w:val="nil"/>
                    <w:tr2bl w:val="nil"/>
                  </w:tcBorders>
                  <w:noWrap w:val="0"/>
                  <w:vAlign w:val="center"/>
                </w:tcPr>
                <w:p w14:paraId="343999F2">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37" w:type="pct"/>
                  <w:tcBorders>
                    <w:tl2br w:val="nil"/>
                    <w:tr2bl w:val="nil"/>
                  </w:tcBorders>
                  <w:noWrap w:val="0"/>
                  <w:vAlign w:val="center"/>
                </w:tcPr>
                <w:p w14:paraId="7B02AB6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46.0</w:t>
                  </w:r>
                </w:p>
              </w:tc>
              <w:tc>
                <w:tcPr>
                  <w:tcW w:w="273" w:type="pct"/>
                  <w:vMerge w:val="continue"/>
                  <w:tcBorders>
                    <w:tl2br w:val="nil"/>
                    <w:tr2bl w:val="nil"/>
                  </w:tcBorders>
                  <w:noWrap w:val="0"/>
                  <w:vAlign w:val="center"/>
                </w:tcPr>
                <w:p w14:paraId="1396B3D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6E6097E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1BC8CB10">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1CF3887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7052D5D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0320858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3F469D65">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098C8EB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7087F82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51A6B81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7C06E8A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54E4E8E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2AD76B3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69104D7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01BDDAF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29F93B46">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08" w:type="pct"/>
                  <w:tcBorders>
                    <w:tl2br w:val="nil"/>
                    <w:tr2bl w:val="nil"/>
                  </w:tcBorders>
                  <w:noWrap w:val="0"/>
                  <w:vAlign w:val="center"/>
                </w:tcPr>
                <w:p w14:paraId="13269A5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w:t>
                  </w:r>
                </w:p>
              </w:tc>
              <w:tc>
                <w:tcPr>
                  <w:tcW w:w="237" w:type="pct"/>
                  <w:tcBorders>
                    <w:tl2br w:val="nil"/>
                    <w:tr2bl w:val="nil"/>
                  </w:tcBorders>
                  <w:noWrap w:val="0"/>
                  <w:vAlign w:val="center"/>
                </w:tcPr>
                <w:p w14:paraId="1D27DC95">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37" w:type="pct"/>
                  <w:tcBorders>
                    <w:tl2br w:val="nil"/>
                    <w:tr2bl w:val="nil"/>
                  </w:tcBorders>
                  <w:noWrap w:val="0"/>
                  <w:vAlign w:val="center"/>
                </w:tcPr>
                <w:p w14:paraId="5C951D6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46.1</w:t>
                  </w:r>
                </w:p>
              </w:tc>
              <w:tc>
                <w:tcPr>
                  <w:tcW w:w="273" w:type="pct"/>
                  <w:vMerge w:val="continue"/>
                  <w:tcBorders>
                    <w:tl2br w:val="nil"/>
                    <w:tr2bl w:val="nil"/>
                  </w:tcBorders>
                  <w:noWrap w:val="0"/>
                  <w:vAlign w:val="center"/>
                </w:tcPr>
                <w:p w14:paraId="765C056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29ADB41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0197EC1A">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6111368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570AAFC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47E9D92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7C8E4C8E">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73A0B41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674DF9A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0AB32F5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72503BC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3F2AD32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1675F62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2D528CA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1EB0A89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7F45B0BA">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08" w:type="pct"/>
                  <w:tcBorders>
                    <w:tl2br w:val="nil"/>
                    <w:tr2bl w:val="nil"/>
                  </w:tcBorders>
                  <w:noWrap w:val="0"/>
                  <w:vAlign w:val="center"/>
                </w:tcPr>
                <w:p w14:paraId="7059ECB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w:t>
                  </w:r>
                </w:p>
              </w:tc>
              <w:tc>
                <w:tcPr>
                  <w:tcW w:w="237" w:type="pct"/>
                  <w:tcBorders>
                    <w:tl2br w:val="nil"/>
                    <w:tr2bl w:val="nil"/>
                  </w:tcBorders>
                  <w:noWrap w:val="0"/>
                  <w:vAlign w:val="center"/>
                </w:tcPr>
                <w:p w14:paraId="561592FE">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37" w:type="pct"/>
                  <w:tcBorders>
                    <w:tl2br w:val="nil"/>
                    <w:tr2bl w:val="nil"/>
                  </w:tcBorders>
                  <w:noWrap w:val="0"/>
                  <w:vAlign w:val="center"/>
                </w:tcPr>
                <w:p w14:paraId="6B7BEE6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46.0</w:t>
                  </w:r>
                </w:p>
              </w:tc>
              <w:tc>
                <w:tcPr>
                  <w:tcW w:w="273" w:type="pct"/>
                  <w:vMerge w:val="continue"/>
                  <w:tcBorders>
                    <w:tl2br w:val="nil"/>
                    <w:tr2bl w:val="nil"/>
                  </w:tcBorders>
                  <w:noWrap w:val="0"/>
                  <w:vAlign w:val="center"/>
                </w:tcPr>
                <w:p w14:paraId="6740CB0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443EB17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52D1813E">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南</w:t>
                  </w:r>
                </w:p>
              </w:tc>
              <w:tc>
                <w:tcPr>
                  <w:tcW w:w="287" w:type="pct"/>
                  <w:vMerge w:val="continue"/>
                  <w:tcBorders>
                    <w:tl2br w:val="nil"/>
                    <w:tr2bl w:val="nil"/>
                  </w:tcBorders>
                  <w:noWrap w:val="0"/>
                  <w:vAlign w:val="center"/>
                </w:tcPr>
                <w:p w14:paraId="568DD6A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仿宋" w:cs="Times New Roman"/>
                      <w:color w:val="auto"/>
                      <w:kern w:val="2"/>
                      <w:sz w:val="21"/>
                      <w:szCs w:val="21"/>
                      <w:vertAlign w:val="baseline"/>
                      <w:lang w:val="en-US" w:eastAsia="zh-CN" w:bidi="ar-SA"/>
                    </w:rPr>
                    <w:t>50.8</w:t>
                  </w:r>
                </w:p>
              </w:tc>
              <w:tc>
                <w:tcPr>
                  <w:tcW w:w="349" w:type="pct"/>
                  <w:vMerge w:val="continue"/>
                  <w:tcBorders>
                    <w:tl2br w:val="nil"/>
                    <w:tr2bl w:val="nil"/>
                  </w:tcBorders>
                  <w:noWrap w:val="0"/>
                  <w:vAlign w:val="center"/>
                </w:tcPr>
                <w:p w14:paraId="50D5193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4F5FC38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restart"/>
                  <w:tcBorders>
                    <w:tl2br w:val="nil"/>
                    <w:tr2bl w:val="nil"/>
                  </w:tcBorders>
                  <w:noWrap w:val="0"/>
                  <w:vAlign w:val="center"/>
                </w:tcPr>
                <w:p w14:paraId="3351D8E0">
                  <w:pPr>
                    <w:keepNext w:val="0"/>
                    <w:keepLines w:val="0"/>
                    <w:widowControl/>
                    <w:numPr>
                      <w:ilvl w:val="0"/>
                      <w:numId w:val="11"/>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7E447DA5">
                  <w:pPr>
                    <w:adjustRightInd w:val="0"/>
                    <w:snapToGrid w:val="0"/>
                    <w:spacing w:line="240" w:lineRule="auto"/>
                    <w:jc w:val="center"/>
                    <w:rPr>
                      <w:rFonts w:hint="default" w:ascii="Times New Roman" w:hAnsi="Times New Roman" w:eastAsia="仿宋" w:cs="Times New Roman"/>
                      <w:color w:val="auto"/>
                      <w:kern w:val="0"/>
                      <w:sz w:val="21"/>
                      <w:szCs w:val="21"/>
                      <w:lang w:val="en-US" w:eastAsia="zh-CN"/>
                    </w:rPr>
                  </w:pPr>
                </w:p>
              </w:tc>
              <w:tc>
                <w:tcPr>
                  <w:tcW w:w="316" w:type="pct"/>
                  <w:vMerge w:val="restart"/>
                  <w:tcBorders>
                    <w:tl2br w:val="nil"/>
                    <w:tr2bl w:val="nil"/>
                  </w:tcBorders>
                  <w:noWrap w:val="0"/>
                  <w:vAlign w:val="center"/>
                </w:tcPr>
                <w:p w14:paraId="54E6F3BA">
                  <w:pPr>
                    <w:widowControl/>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密炼机</w:t>
                  </w:r>
                </w:p>
                <w:p w14:paraId="644BD21C">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r>
                    <w:rPr>
                      <w:rFonts w:hint="eastAsia" w:eastAsia="仿宋" w:cs="Times New Roman"/>
                      <w:color w:val="auto"/>
                      <w:kern w:val="0"/>
                      <w:sz w:val="21"/>
                      <w:szCs w:val="21"/>
                      <w:lang w:val="en-US" w:eastAsia="zh-CN" w:bidi="ar-SA"/>
                    </w:rPr>
                    <w:t>1台</w:t>
                  </w:r>
                  <w:r>
                    <w:rPr>
                      <w:rFonts w:hint="eastAsia" w:ascii="Times New Roman" w:hAnsi="Times New Roman" w:eastAsia="仿宋" w:cs="Times New Roman"/>
                      <w:color w:val="auto"/>
                      <w:kern w:val="0"/>
                      <w:sz w:val="21"/>
                      <w:szCs w:val="21"/>
                      <w:lang w:val="en-US" w:eastAsia="zh-CN" w:bidi="ar-SA"/>
                    </w:rPr>
                    <w:t>）</w:t>
                  </w:r>
                </w:p>
              </w:tc>
              <w:tc>
                <w:tcPr>
                  <w:tcW w:w="505" w:type="pct"/>
                  <w:vMerge w:val="restart"/>
                  <w:tcBorders>
                    <w:tl2br w:val="nil"/>
                    <w:tr2bl w:val="nil"/>
                  </w:tcBorders>
                  <w:noWrap w:val="0"/>
                  <w:vAlign w:val="center"/>
                </w:tcPr>
                <w:p w14:paraId="462484B9">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X（S）N-35/32</w:t>
                  </w:r>
                </w:p>
              </w:tc>
              <w:tc>
                <w:tcPr>
                  <w:tcW w:w="367" w:type="pct"/>
                  <w:vMerge w:val="restart"/>
                  <w:tcBorders>
                    <w:tl2br w:val="nil"/>
                    <w:tr2bl w:val="nil"/>
                  </w:tcBorders>
                  <w:noWrap w:val="0"/>
                  <w:vAlign w:val="center"/>
                </w:tcPr>
                <w:p w14:paraId="45557D51">
                  <w:pPr>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70</w:t>
                  </w:r>
                </w:p>
              </w:tc>
              <w:tc>
                <w:tcPr>
                  <w:tcW w:w="314" w:type="pct"/>
                  <w:vMerge w:val="continue"/>
                  <w:tcBorders>
                    <w:tl2br w:val="nil"/>
                    <w:tr2bl w:val="nil"/>
                  </w:tcBorders>
                  <w:noWrap w:val="0"/>
                  <w:vAlign w:val="center"/>
                </w:tcPr>
                <w:p w14:paraId="2ADEF75A">
                  <w:pPr>
                    <w:adjustRightInd w:val="0"/>
                    <w:snapToGrid w:val="0"/>
                    <w:jc w:val="center"/>
                    <w:rPr>
                      <w:rFonts w:hint="default" w:ascii="Times New Roman" w:hAnsi="Times New Roman" w:eastAsia="仿宋" w:cs="Times New Roman"/>
                      <w:color w:val="auto"/>
                      <w:sz w:val="21"/>
                      <w:szCs w:val="21"/>
                      <w:lang w:val="en-US" w:eastAsia="zh-CN"/>
                    </w:rPr>
                  </w:pPr>
                </w:p>
              </w:tc>
              <w:tc>
                <w:tcPr>
                  <w:tcW w:w="233" w:type="pct"/>
                  <w:vMerge w:val="restart"/>
                  <w:tcBorders>
                    <w:tl2br w:val="nil"/>
                    <w:tr2bl w:val="nil"/>
                  </w:tcBorders>
                  <w:noWrap w:val="0"/>
                  <w:vAlign w:val="center"/>
                </w:tcPr>
                <w:p w14:paraId="7D408EDE">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34</w:t>
                  </w:r>
                </w:p>
              </w:tc>
              <w:tc>
                <w:tcPr>
                  <w:tcW w:w="245" w:type="pct"/>
                  <w:vMerge w:val="restart"/>
                  <w:tcBorders>
                    <w:tl2br w:val="nil"/>
                    <w:tr2bl w:val="nil"/>
                  </w:tcBorders>
                  <w:noWrap w:val="0"/>
                  <w:vAlign w:val="center"/>
                </w:tcPr>
                <w:p w14:paraId="692629EC">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75</w:t>
                  </w:r>
                </w:p>
              </w:tc>
              <w:tc>
                <w:tcPr>
                  <w:tcW w:w="238" w:type="pct"/>
                  <w:vMerge w:val="restart"/>
                  <w:tcBorders>
                    <w:tl2br w:val="nil"/>
                    <w:tr2bl w:val="nil"/>
                  </w:tcBorders>
                  <w:noWrap w:val="0"/>
                  <w:vAlign w:val="center"/>
                </w:tcPr>
                <w:p w14:paraId="15CD1F3F">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208" w:type="pct"/>
                  <w:tcBorders>
                    <w:tl2br w:val="nil"/>
                    <w:tr2bl w:val="nil"/>
                  </w:tcBorders>
                  <w:noWrap w:val="0"/>
                  <w:vAlign w:val="center"/>
                </w:tcPr>
                <w:p w14:paraId="7635732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08" w:type="pct"/>
                  <w:tcBorders>
                    <w:tl2br w:val="nil"/>
                    <w:tr2bl w:val="nil"/>
                  </w:tcBorders>
                  <w:noWrap w:val="0"/>
                  <w:vAlign w:val="center"/>
                </w:tcPr>
                <w:p w14:paraId="3D4EDDC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237" w:type="pct"/>
                  <w:tcBorders>
                    <w:tl2br w:val="nil"/>
                    <w:tr2bl w:val="nil"/>
                  </w:tcBorders>
                  <w:noWrap w:val="0"/>
                  <w:vAlign w:val="center"/>
                </w:tcPr>
                <w:p w14:paraId="063446B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37" w:type="pct"/>
                  <w:tcBorders>
                    <w:tl2br w:val="nil"/>
                    <w:tr2bl w:val="nil"/>
                  </w:tcBorders>
                  <w:noWrap w:val="0"/>
                  <w:vAlign w:val="center"/>
                </w:tcPr>
                <w:p w14:paraId="13CEE9C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54.8</w:t>
                  </w:r>
                </w:p>
              </w:tc>
              <w:tc>
                <w:tcPr>
                  <w:tcW w:w="273" w:type="pct"/>
                  <w:vMerge w:val="continue"/>
                  <w:tcBorders>
                    <w:tl2br w:val="nil"/>
                    <w:tr2bl w:val="nil"/>
                  </w:tcBorders>
                  <w:noWrap w:val="0"/>
                  <w:vAlign w:val="center"/>
                </w:tcPr>
                <w:p w14:paraId="400E7205">
                  <w:pPr>
                    <w:adjustRightInd w:val="0"/>
                    <w:snapToGrid w:val="0"/>
                    <w:jc w:val="center"/>
                    <w:rPr>
                      <w:rFonts w:hint="default" w:ascii="Times New Roman" w:hAnsi="Times New Roman" w:eastAsia="仿宋" w:cs="Times New Roman"/>
                      <w:color w:val="auto"/>
                      <w:sz w:val="21"/>
                      <w:szCs w:val="21"/>
                      <w:lang w:val="en-US" w:eastAsia="zh-CN"/>
                    </w:rPr>
                  </w:pPr>
                </w:p>
              </w:tc>
              <w:tc>
                <w:tcPr>
                  <w:tcW w:w="323" w:type="pct"/>
                  <w:vMerge w:val="continue"/>
                  <w:tcBorders>
                    <w:tl2br w:val="nil"/>
                    <w:tr2bl w:val="nil"/>
                  </w:tcBorders>
                  <w:noWrap w:val="0"/>
                  <w:vAlign w:val="center"/>
                </w:tcPr>
                <w:p w14:paraId="010325FA">
                  <w:pPr>
                    <w:adjustRightInd w:val="0"/>
                    <w:snapToGrid w:val="0"/>
                    <w:jc w:val="center"/>
                    <w:rPr>
                      <w:rFonts w:hint="default" w:ascii="Times New Roman" w:hAnsi="Times New Roman" w:eastAsia="仿宋" w:cs="Times New Roman"/>
                      <w:color w:val="auto"/>
                      <w:sz w:val="21"/>
                      <w:szCs w:val="21"/>
                      <w:lang w:val="en-US" w:eastAsia="zh-CN"/>
                    </w:rPr>
                  </w:pPr>
                </w:p>
              </w:tc>
              <w:tc>
                <w:tcPr>
                  <w:tcW w:w="256" w:type="pct"/>
                  <w:vMerge w:val="restart"/>
                  <w:tcBorders>
                    <w:tl2br w:val="nil"/>
                    <w:tr2bl w:val="nil"/>
                  </w:tcBorders>
                  <w:noWrap w:val="0"/>
                  <w:vAlign w:val="center"/>
                </w:tcPr>
                <w:p w14:paraId="1C77CF80">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西</w:t>
                  </w:r>
                </w:p>
              </w:tc>
              <w:tc>
                <w:tcPr>
                  <w:tcW w:w="777" w:type="dxa"/>
                  <w:vMerge w:val="restart"/>
                  <w:tcBorders>
                    <w:tl2br w:val="nil"/>
                    <w:tr2bl w:val="nil"/>
                  </w:tcBorders>
                  <w:noWrap w:val="0"/>
                  <w:vAlign w:val="center"/>
                </w:tcPr>
                <w:p w14:paraId="5B03BF9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47.9</w:t>
                  </w:r>
                </w:p>
              </w:tc>
              <w:tc>
                <w:tcPr>
                  <w:tcW w:w="349" w:type="pct"/>
                  <w:vMerge w:val="continue"/>
                  <w:tcBorders>
                    <w:tl2br w:val="nil"/>
                    <w:tr2bl w:val="nil"/>
                  </w:tcBorders>
                  <w:noWrap w:val="0"/>
                  <w:vAlign w:val="center"/>
                </w:tcPr>
                <w:p w14:paraId="595AC882">
                  <w:pPr>
                    <w:adjustRightInd w:val="0"/>
                    <w:snapToGrid w:val="0"/>
                    <w:jc w:val="center"/>
                    <w:rPr>
                      <w:rFonts w:hint="default" w:ascii="Times New Roman" w:hAnsi="Times New Roman" w:eastAsia="仿宋" w:cs="Times New Roman"/>
                      <w:color w:val="auto"/>
                      <w:sz w:val="21"/>
                      <w:szCs w:val="21"/>
                      <w:lang w:val="en-US" w:eastAsia="zh-CN"/>
                    </w:rPr>
                  </w:pPr>
                </w:p>
              </w:tc>
            </w:tr>
            <w:tr w14:paraId="1F7D1C6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488EB110">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162068B0">
                  <w:pPr>
                    <w:keepNext w:val="0"/>
                    <w:keepLines w:val="0"/>
                    <w:widowControl/>
                    <w:suppressLineNumbers w:val="0"/>
                    <w:jc w:val="center"/>
                    <w:textAlignment w:val="center"/>
                    <w:rPr>
                      <w:color w:val="auto"/>
                    </w:rPr>
                  </w:pPr>
                </w:p>
              </w:tc>
              <w:tc>
                <w:tcPr>
                  <w:tcW w:w="316" w:type="pct"/>
                  <w:vMerge w:val="continue"/>
                  <w:tcBorders>
                    <w:tl2br w:val="nil"/>
                    <w:tr2bl w:val="nil"/>
                  </w:tcBorders>
                  <w:noWrap w:val="0"/>
                  <w:vAlign w:val="center"/>
                </w:tcPr>
                <w:p w14:paraId="04C7F34D">
                  <w:pPr>
                    <w:keepNext w:val="0"/>
                    <w:keepLines w:val="0"/>
                    <w:widowControl/>
                    <w:suppressLineNumbers w:val="0"/>
                    <w:jc w:val="center"/>
                    <w:textAlignment w:val="center"/>
                    <w:rPr>
                      <w:color w:val="auto"/>
                    </w:rPr>
                  </w:pPr>
                </w:p>
              </w:tc>
              <w:tc>
                <w:tcPr>
                  <w:tcW w:w="505" w:type="pct"/>
                  <w:vMerge w:val="continue"/>
                  <w:tcBorders>
                    <w:tl2br w:val="nil"/>
                    <w:tr2bl w:val="nil"/>
                  </w:tcBorders>
                  <w:noWrap w:val="0"/>
                  <w:vAlign w:val="center"/>
                </w:tcPr>
                <w:p w14:paraId="3DE23B68">
                  <w:pPr>
                    <w:keepNext w:val="0"/>
                    <w:keepLines w:val="0"/>
                    <w:widowControl/>
                    <w:suppressLineNumbers w:val="0"/>
                    <w:jc w:val="center"/>
                    <w:textAlignment w:val="center"/>
                    <w:rPr>
                      <w:color w:val="auto"/>
                    </w:rPr>
                  </w:pPr>
                </w:p>
              </w:tc>
              <w:tc>
                <w:tcPr>
                  <w:tcW w:w="367" w:type="pct"/>
                  <w:vMerge w:val="continue"/>
                  <w:tcBorders>
                    <w:tl2br w:val="nil"/>
                    <w:tr2bl w:val="nil"/>
                  </w:tcBorders>
                  <w:noWrap w:val="0"/>
                  <w:vAlign w:val="center"/>
                </w:tcPr>
                <w:p w14:paraId="66DE8577">
                  <w:pPr>
                    <w:keepNext w:val="0"/>
                    <w:keepLines w:val="0"/>
                    <w:widowControl/>
                    <w:suppressLineNumbers w:val="0"/>
                    <w:jc w:val="center"/>
                    <w:textAlignment w:val="center"/>
                    <w:rPr>
                      <w:color w:val="auto"/>
                    </w:rPr>
                  </w:pPr>
                </w:p>
              </w:tc>
              <w:tc>
                <w:tcPr>
                  <w:tcW w:w="314" w:type="pct"/>
                  <w:vMerge w:val="continue"/>
                  <w:tcBorders>
                    <w:tl2br w:val="nil"/>
                    <w:tr2bl w:val="nil"/>
                  </w:tcBorders>
                  <w:noWrap w:val="0"/>
                  <w:vAlign w:val="center"/>
                </w:tcPr>
                <w:p w14:paraId="41403D7D">
                  <w:pPr>
                    <w:keepNext w:val="0"/>
                    <w:keepLines w:val="0"/>
                    <w:widowControl/>
                    <w:suppressLineNumbers w:val="0"/>
                    <w:jc w:val="center"/>
                    <w:textAlignment w:val="center"/>
                    <w:rPr>
                      <w:color w:val="auto"/>
                    </w:rPr>
                  </w:pPr>
                </w:p>
              </w:tc>
              <w:tc>
                <w:tcPr>
                  <w:tcW w:w="233" w:type="pct"/>
                  <w:vMerge w:val="continue"/>
                  <w:tcBorders>
                    <w:tl2br w:val="nil"/>
                    <w:tr2bl w:val="nil"/>
                  </w:tcBorders>
                  <w:noWrap w:val="0"/>
                  <w:vAlign w:val="center"/>
                </w:tcPr>
                <w:p w14:paraId="5115F2C6">
                  <w:pPr>
                    <w:keepNext w:val="0"/>
                    <w:keepLines w:val="0"/>
                    <w:widowControl/>
                    <w:suppressLineNumbers w:val="0"/>
                    <w:jc w:val="center"/>
                    <w:textAlignment w:val="center"/>
                    <w:rPr>
                      <w:color w:val="auto"/>
                    </w:rPr>
                  </w:pPr>
                </w:p>
              </w:tc>
              <w:tc>
                <w:tcPr>
                  <w:tcW w:w="245" w:type="pct"/>
                  <w:vMerge w:val="continue"/>
                  <w:tcBorders>
                    <w:tl2br w:val="nil"/>
                    <w:tr2bl w:val="nil"/>
                  </w:tcBorders>
                  <w:noWrap w:val="0"/>
                  <w:vAlign w:val="center"/>
                </w:tcPr>
                <w:p w14:paraId="31E76768">
                  <w:pPr>
                    <w:keepNext w:val="0"/>
                    <w:keepLines w:val="0"/>
                    <w:widowControl/>
                    <w:suppressLineNumbers w:val="0"/>
                    <w:jc w:val="center"/>
                    <w:textAlignment w:val="center"/>
                    <w:rPr>
                      <w:color w:val="auto"/>
                    </w:rPr>
                  </w:pPr>
                </w:p>
              </w:tc>
              <w:tc>
                <w:tcPr>
                  <w:tcW w:w="238" w:type="pct"/>
                  <w:vMerge w:val="continue"/>
                  <w:tcBorders>
                    <w:tl2br w:val="nil"/>
                    <w:tr2bl w:val="nil"/>
                  </w:tcBorders>
                  <w:noWrap w:val="0"/>
                  <w:vAlign w:val="center"/>
                </w:tcPr>
                <w:p w14:paraId="07292AF3">
                  <w:pPr>
                    <w:keepNext w:val="0"/>
                    <w:keepLines w:val="0"/>
                    <w:widowControl/>
                    <w:suppressLineNumbers w:val="0"/>
                    <w:jc w:val="center"/>
                    <w:textAlignment w:val="center"/>
                    <w:rPr>
                      <w:color w:val="auto"/>
                    </w:rPr>
                  </w:pPr>
                </w:p>
              </w:tc>
              <w:tc>
                <w:tcPr>
                  <w:tcW w:w="208" w:type="pct"/>
                  <w:tcBorders>
                    <w:tl2br w:val="nil"/>
                    <w:tr2bl w:val="nil"/>
                  </w:tcBorders>
                  <w:noWrap w:val="0"/>
                  <w:vAlign w:val="center"/>
                </w:tcPr>
                <w:p w14:paraId="2E53034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08" w:type="pct"/>
                  <w:tcBorders>
                    <w:tl2br w:val="nil"/>
                    <w:tr2bl w:val="nil"/>
                  </w:tcBorders>
                  <w:noWrap w:val="0"/>
                  <w:vAlign w:val="center"/>
                </w:tcPr>
                <w:p w14:paraId="286DEED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w:t>
                  </w:r>
                </w:p>
              </w:tc>
              <w:tc>
                <w:tcPr>
                  <w:tcW w:w="237" w:type="pct"/>
                  <w:tcBorders>
                    <w:tl2br w:val="nil"/>
                    <w:tr2bl w:val="nil"/>
                  </w:tcBorders>
                  <w:noWrap w:val="0"/>
                  <w:vAlign w:val="center"/>
                </w:tcPr>
                <w:p w14:paraId="45F3877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37" w:type="pct"/>
                  <w:tcBorders>
                    <w:tl2br w:val="nil"/>
                    <w:tr2bl w:val="nil"/>
                  </w:tcBorders>
                  <w:noWrap w:val="0"/>
                  <w:vAlign w:val="center"/>
                </w:tcPr>
                <w:p w14:paraId="7EF5E95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51.0</w:t>
                  </w:r>
                </w:p>
              </w:tc>
              <w:tc>
                <w:tcPr>
                  <w:tcW w:w="273" w:type="pct"/>
                  <w:vMerge w:val="continue"/>
                  <w:tcBorders>
                    <w:tl2br w:val="nil"/>
                    <w:tr2bl w:val="nil"/>
                  </w:tcBorders>
                  <w:noWrap w:val="0"/>
                  <w:vAlign w:val="center"/>
                </w:tcPr>
                <w:p w14:paraId="43E3A63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1AAE0D8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57E6AF07">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0D71C2A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1680DED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4E02698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28756B02">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26CE5E0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1A6461B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264A29B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172A8C0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2AE0A6B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0F1D40A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2E870B2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3FF193E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35EDF5F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08" w:type="pct"/>
                  <w:tcBorders>
                    <w:tl2br w:val="nil"/>
                    <w:tr2bl w:val="nil"/>
                  </w:tcBorders>
                  <w:noWrap w:val="0"/>
                  <w:vAlign w:val="center"/>
                </w:tcPr>
                <w:p w14:paraId="2D81B87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w:t>
                  </w:r>
                </w:p>
              </w:tc>
              <w:tc>
                <w:tcPr>
                  <w:tcW w:w="237" w:type="pct"/>
                  <w:tcBorders>
                    <w:tl2br w:val="nil"/>
                    <w:tr2bl w:val="nil"/>
                  </w:tcBorders>
                  <w:noWrap w:val="0"/>
                  <w:vAlign w:val="center"/>
                </w:tcPr>
                <w:p w14:paraId="07076D4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37" w:type="pct"/>
                  <w:tcBorders>
                    <w:tl2br w:val="nil"/>
                    <w:tr2bl w:val="nil"/>
                  </w:tcBorders>
                  <w:noWrap w:val="0"/>
                  <w:vAlign w:val="center"/>
                </w:tcPr>
                <w:p w14:paraId="4D484FF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51.0</w:t>
                  </w:r>
                </w:p>
              </w:tc>
              <w:tc>
                <w:tcPr>
                  <w:tcW w:w="273" w:type="pct"/>
                  <w:vMerge w:val="continue"/>
                  <w:tcBorders>
                    <w:tl2br w:val="nil"/>
                    <w:tr2bl w:val="nil"/>
                  </w:tcBorders>
                  <w:noWrap w:val="0"/>
                  <w:vAlign w:val="center"/>
                </w:tcPr>
                <w:p w14:paraId="4B7B39F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3CE51F8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5D8A1FFE">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1005C6C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49B6076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0E90BF3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426236A7">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3C0E588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14ADF8A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46505BD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292D78C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41851FE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4910C68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480867C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559FD26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3A69282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08" w:type="pct"/>
                  <w:tcBorders>
                    <w:tl2br w:val="nil"/>
                    <w:tr2bl w:val="nil"/>
                  </w:tcBorders>
                  <w:noWrap w:val="0"/>
                  <w:vAlign w:val="center"/>
                </w:tcPr>
                <w:p w14:paraId="7338109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237" w:type="pct"/>
                  <w:tcBorders>
                    <w:tl2br w:val="nil"/>
                    <w:tr2bl w:val="nil"/>
                  </w:tcBorders>
                  <w:noWrap w:val="0"/>
                  <w:vAlign w:val="center"/>
                </w:tcPr>
                <w:p w14:paraId="3EC6430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37" w:type="pct"/>
                  <w:tcBorders>
                    <w:tl2br w:val="nil"/>
                    <w:tr2bl w:val="nil"/>
                  </w:tcBorders>
                  <w:noWrap w:val="0"/>
                  <w:vAlign w:val="center"/>
                </w:tcPr>
                <w:p w14:paraId="27ED4BF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54.8</w:t>
                  </w:r>
                </w:p>
              </w:tc>
              <w:tc>
                <w:tcPr>
                  <w:tcW w:w="273" w:type="pct"/>
                  <w:vMerge w:val="continue"/>
                  <w:tcBorders>
                    <w:tl2br w:val="nil"/>
                    <w:tr2bl w:val="nil"/>
                  </w:tcBorders>
                  <w:noWrap w:val="0"/>
                  <w:vAlign w:val="center"/>
                </w:tcPr>
                <w:p w14:paraId="4B1BF30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5BD6696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79D71904">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5CBE53E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249313C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0998499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restart"/>
                  <w:tcBorders>
                    <w:tl2br w:val="nil"/>
                    <w:tr2bl w:val="nil"/>
                  </w:tcBorders>
                  <w:noWrap w:val="0"/>
                  <w:vAlign w:val="center"/>
                </w:tcPr>
                <w:p w14:paraId="1A386B73">
                  <w:pPr>
                    <w:keepNext w:val="0"/>
                    <w:keepLines w:val="0"/>
                    <w:widowControl/>
                    <w:numPr>
                      <w:ilvl w:val="0"/>
                      <w:numId w:val="11"/>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286FA9F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restart"/>
                  <w:tcBorders>
                    <w:tl2br w:val="nil"/>
                    <w:tr2bl w:val="nil"/>
                  </w:tcBorders>
                  <w:noWrap w:val="0"/>
                  <w:vAlign w:val="center"/>
                </w:tcPr>
                <w:p w14:paraId="075B19FF">
                  <w:pPr>
                    <w:widowControl/>
                    <w:jc w:val="center"/>
                    <w:rPr>
                      <w:rFonts w:hint="eastAsia"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开炼机</w:t>
                  </w:r>
                </w:p>
                <w:p w14:paraId="0A964024">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r>
                    <w:rPr>
                      <w:rFonts w:hint="eastAsia" w:eastAsia="仿宋" w:cs="Times New Roman"/>
                      <w:color w:val="auto"/>
                      <w:kern w:val="0"/>
                      <w:sz w:val="21"/>
                      <w:szCs w:val="21"/>
                      <w:lang w:val="en-US" w:eastAsia="zh-CN" w:bidi="ar-SA"/>
                    </w:rPr>
                    <w:t>2台</w:t>
                  </w:r>
                  <w:r>
                    <w:rPr>
                      <w:rFonts w:hint="eastAsia" w:ascii="Times New Roman" w:hAnsi="Times New Roman" w:eastAsia="仿宋" w:cs="Times New Roman"/>
                      <w:color w:val="auto"/>
                      <w:kern w:val="0"/>
                      <w:sz w:val="21"/>
                      <w:szCs w:val="21"/>
                      <w:lang w:val="en-US" w:eastAsia="zh-CN" w:bidi="ar-SA"/>
                    </w:rPr>
                    <w:t>）</w:t>
                  </w:r>
                </w:p>
              </w:tc>
              <w:tc>
                <w:tcPr>
                  <w:tcW w:w="505" w:type="pct"/>
                  <w:vMerge w:val="restart"/>
                  <w:tcBorders>
                    <w:tl2br w:val="nil"/>
                    <w:tr2bl w:val="nil"/>
                  </w:tcBorders>
                  <w:noWrap w:val="0"/>
                  <w:vAlign w:val="center"/>
                </w:tcPr>
                <w:p w14:paraId="32C050A5">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WD400</w:t>
                  </w:r>
                </w:p>
              </w:tc>
              <w:tc>
                <w:tcPr>
                  <w:tcW w:w="367" w:type="pct"/>
                  <w:vMerge w:val="restart"/>
                  <w:tcBorders>
                    <w:tl2br w:val="nil"/>
                    <w:tr2bl w:val="nil"/>
                  </w:tcBorders>
                  <w:noWrap w:val="0"/>
                  <w:vAlign w:val="center"/>
                </w:tcPr>
                <w:p w14:paraId="69FEC642">
                  <w:pPr>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70</w:t>
                  </w:r>
                </w:p>
              </w:tc>
              <w:tc>
                <w:tcPr>
                  <w:tcW w:w="314" w:type="pct"/>
                  <w:vMerge w:val="continue"/>
                  <w:tcBorders>
                    <w:tl2br w:val="nil"/>
                    <w:tr2bl w:val="nil"/>
                  </w:tcBorders>
                  <w:noWrap w:val="0"/>
                  <w:vAlign w:val="center"/>
                </w:tcPr>
                <w:p w14:paraId="14B2E12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restart"/>
                  <w:tcBorders>
                    <w:tl2br w:val="nil"/>
                    <w:tr2bl w:val="nil"/>
                  </w:tcBorders>
                  <w:noWrap w:val="0"/>
                  <w:vAlign w:val="center"/>
                </w:tcPr>
                <w:p w14:paraId="2943F4C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30</w:t>
                  </w:r>
                </w:p>
              </w:tc>
              <w:tc>
                <w:tcPr>
                  <w:tcW w:w="245" w:type="pct"/>
                  <w:vMerge w:val="restart"/>
                  <w:tcBorders>
                    <w:tl2br w:val="nil"/>
                    <w:tr2bl w:val="nil"/>
                  </w:tcBorders>
                  <w:noWrap w:val="0"/>
                  <w:vAlign w:val="center"/>
                </w:tcPr>
                <w:p w14:paraId="0D14F43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75</w:t>
                  </w:r>
                </w:p>
              </w:tc>
              <w:tc>
                <w:tcPr>
                  <w:tcW w:w="238" w:type="pct"/>
                  <w:vMerge w:val="restart"/>
                  <w:tcBorders>
                    <w:tl2br w:val="nil"/>
                    <w:tr2bl w:val="nil"/>
                  </w:tcBorders>
                  <w:noWrap w:val="0"/>
                  <w:vAlign w:val="center"/>
                </w:tcPr>
                <w:p w14:paraId="5A98191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1</w:t>
                  </w:r>
                </w:p>
              </w:tc>
              <w:tc>
                <w:tcPr>
                  <w:tcW w:w="208" w:type="pct"/>
                  <w:tcBorders>
                    <w:tl2br w:val="nil"/>
                    <w:tr2bl w:val="nil"/>
                  </w:tcBorders>
                  <w:noWrap w:val="0"/>
                  <w:vAlign w:val="center"/>
                </w:tcPr>
                <w:p w14:paraId="32603B72">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08" w:type="pct"/>
                  <w:tcBorders>
                    <w:tl2br w:val="nil"/>
                    <w:tr2bl w:val="nil"/>
                  </w:tcBorders>
                  <w:noWrap w:val="0"/>
                  <w:vAlign w:val="center"/>
                </w:tcPr>
                <w:p w14:paraId="5AA1F1A1">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237" w:type="pct"/>
                  <w:tcBorders>
                    <w:tl2br w:val="nil"/>
                    <w:tr2bl w:val="nil"/>
                  </w:tcBorders>
                  <w:noWrap w:val="0"/>
                  <w:vAlign w:val="center"/>
                </w:tcPr>
                <w:p w14:paraId="49FE8A48">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37" w:type="pct"/>
                  <w:tcBorders>
                    <w:tl2br w:val="nil"/>
                    <w:tr2bl w:val="nil"/>
                  </w:tcBorders>
                  <w:noWrap w:val="0"/>
                  <w:vAlign w:val="center"/>
                </w:tcPr>
                <w:p w14:paraId="4B0CEC90">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55.3</w:t>
                  </w:r>
                </w:p>
              </w:tc>
              <w:tc>
                <w:tcPr>
                  <w:tcW w:w="273" w:type="pct"/>
                  <w:vMerge w:val="continue"/>
                  <w:tcBorders>
                    <w:tl2br w:val="nil"/>
                    <w:tr2bl w:val="nil"/>
                  </w:tcBorders>
                  <w:noWrap w:val="0"/>
                  <w:vAlign w:val="center"/>
                </w:tcPr>
                <w:p w14:paraId="74484D6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2FCB0F6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01EEB684">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西</w:t>
                  </w:r>
                </w:p>
              </w:tc>
              <w:tc>
                <w:tcPr>
                  <w:tcW w:w="287" w:type="pct"/>
                  <w:vMerge w:val="continue"/>
                  <w:tcBorders>
                    <w:tl2br w:val="nil"/>
                    <w:tr2bl w:val="nil"/>
                  </w:tcBorders>
                  <w:noWrap w:val="0"/>
                  <w:vAlign w:val="center"/>
                </w:tcPr>
                <w:p w14:paraId="7A364F9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48.7</w:t>
                  </w:r>
                </w:p>
              </w:tc>
              <w:tc>
                <w:tcPr>
                  <w:tcW w:w="349" w:type="pct"/>
                  <w:vMerge w:val="continue"/>
                  <w:tcBorders>
                    <w:tl2br w:val="nil"/>
                    <w:tr2bl w:val="nil"/>
                  </w:tcBorders>
                  <w:noWrap w:val="0"/>
                  <w:vAlign w:val="center"/>
                </w:tcPr>
                <w:p w14:paraId="04D2F2B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2DDCE7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52A04D50">
                  <w:pPr>
                    <w:keepNext w:val="0"/>
                    <w:keepLines w:val="0"/>
                    <w:widowControl/>
                    <w:suppressLineNumbers w:val="0"/>
                    <w:tabs>
                      <w:tab w:val="left" w:pos="42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427FD0A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32F78FE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7BC328D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3C28035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67E30ED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38F6136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11B9D9A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2697230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571F973F">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08" w:type="pct"/>
                  <w:tcBorders>
                    <w:tl2br w:val="nil"/>
                    <w:tr2bl w:val="nil"/>
                  </w:tcBorders>
                  <w:noWrap w:val="0"/>
                  <w:vAlign w:val="center"/>
                </w:tcPr>
                <w:p w14:paraId="0A195832">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w:t>
                  </w:r>
                </w:p>
              </w:tc>
              <w:tc>
                <w:tcPr>
                  <w:tcW w:w="237" w:type="pct"/>
                  <w:tcBorders>
                    <w:tl2br w:val="nil"/>
                    <w:tr2bl w:val="nil"/>
                  </w:tcBorders>
                  <w:noWrap w:val="0"/>
                  <w:vAlign w:val="center"/>
                </w:tcPr>
                <w:p w14:paraId="6F15E55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37" w:type="pct"/>
                  <w:tcBorders>
                    <w:tl2br w:val="nil"/>
                    <w:tr2bl w:val="nil"/>
                  </w:tcBorders>
                  <w:noWrap w:val="0"/>
                  <w:vAlign w:val="center"/>
                </w:tcPr>
                <w:p w14:paraId="470D089A">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54.0</w:t>
                  </w:r>
                </w:p>
              </w:tc>
              <w:tc>
                <w:tcPr>
                  <w:tcW w:w="273" w:type="pct"/>
                  <w:vMerge w:val="continue"/>
                  <w:tcBorders>
                    <w:tl2br w:val="nil"/>
                    <w:tr2bl w:val="nil"/>
                  </w:tcBorders>
                  <w:noWrap w:val="0"/>
                  <w:vAlign w:val="center"/>
                </w:tcPr>
                <w:p w14:paraId="5E50AC8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2ED9FE9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54E96D96">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77D1CDF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54B2F8C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5C03277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3EBDFE7D">
                  <w:pPr>
                    <w:keepNext w:val="0"/>
                    <w:keepLines w:val="0"/>
                    <w:widowControl/>
                    <w:suppressLineNumbers w:val="0"/>
                    <w:tabs>
                      <w:tab w:val="left" w:pos="42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2967D3D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0B476BE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45DEA83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01B0AB5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6273263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57F683F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18B42C7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48CCAAC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2B93157A">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08" w:type="pct"/>
                  <w:tcBorders>
                    <w:tl2br w:val="nil"/>
                    <w:tr2bl w:val="nil"/>
                  </w:tcBorders>
                  <w:noWrap w:val="0"/>
                  <w:vAlign w:val="center"/>
                </w:tcPr>
                <w:p w14:paraId="6F10A974">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237" w:type="pct"/>
                  <w:tcBorders>
                    <w:tl2br w:val="nil"/>
                    <w:tr2bl w:val="nil"/>
                  </w:tcBorders>
                  <w:noWrap w:val="0"/>
                  <w:vAlign w:val="center"/>
                </w:tcPr>
                <w:p w14:paraId="0DD7A830">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37" w:type="pct"/>
                  <w:tcBorders>
                    <w:tl2br w:val="nil"/>
                    <w:tr2bl w:val="nil"/>
                  </w:tcBorders>
                  <w:noWrap w:val="0"/>
                  <w:vAlign w:val="center"/>
                </w:tcPr>
                <w:p w14:paraId="046FFCFF">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54.0</w:t>
                  </w:r>
                </w:p>
              </w:tc>
              <w:tc>
                <w:tcPr>
                  <w:tcW w:w="273" w:type="pct"/>
                  <w:vMerge w:val="continue"/>
                  <w:tcBorders>
                    <w:tl2br w:val="nil"/>
                    <w:tr2bl w:val="nil"/>
                  </w:tcBorders>
                  <w:noWrap w:val="0"/>
                  <w:vAlign w:val="center"/>
                </w:tcPr>
                <w:p w14:paraId="445490F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6D0C715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11B80370">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5E2C57C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0E934C4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442C8F3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27B23EDA">
                  <w:pPr>
                    <w:keepNext w:val="0"/>
                    <w:keepLines w:val="0"/>
                    <w:widowControl/>
                    <w:suppressLineNumbers w:val="0"/>
                    <w:tabs>
                      <w:tab w:val="left" w:pos="42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6D38FCC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49E03ED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18D1049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1305FF4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6D5CE79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71CA2C3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28E0137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0059EF9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3B92B8A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08" w:type="pct"/>
                  <w:tcBorders>
                    <w:tl2br w:val="nil"/>
                    <w:tr2bl w:val="nil"/>
                  </w:tcBorders>
                  <w:noWrap w:val="0"/>
                  <w:vAlign w:val="center"/>
                </w:tcPr>
                <w:p w14:paraId="4243EAE7">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237" w:type="pct"/>
                  <w:tcBorders>
                    <w:tl2br w:val="nil"/>
                    <w:tr2bl w:val="nil"/>
                  </w:tcBorders>
                  <w:noWrap w:val="0"/>
                  <w:vAlign w:val="center"/>
                </w:tcPr>
                <w:p w14:paraId="750D0D7B">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37" w:type="pct"/>
                  <w:tcBorders>
                    <w:tl2br w:val="nil"/>
                    <w:tr2bl w:val="nil"/>
                  </w:tcBorders>
                  <w:noWrap w:val="0"/>
                  <w:vAlign w:val="center"/>
                </w:tcPr>
                <w:p w14:paraId="7149C0B9">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57.8</w:t>
                  </w:r>
                </w:p>
              </w:tc>
              <w:tc>
                <w:tcPr>
                  <w:tcW w:w="273" w:type="pct"/>
                  <w:vMerge w:val="continue"/>
                  <w:tcBorders>
                    <w:tl2br w:val="nil"/>
                    <w:tr2bl w:val="nil"/>
                  </w:tcBorders>
                  <w:noWrap w:val="0"/>
                  <w:vAlign w:val="center"/>
                </w:tcPr>
                <w:p w14:paraId="3FC0BDE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2835BE0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7D37981B">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4B5FE46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3FF691B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785DF93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restart"/>
                  <w:tcBorders>
                    <w:tl2br w:val="nil"/>
                    <w:tr2bl w:val="nil"/>
                  </w:tcBorders>
                  <w:noWrap w:val="0"/>
                  <w:vAlign w:val="center"/>
                </w:tcPr>
                <w:p w14:paraId="481330C2">
                  <w:pPr>
                    <w:keepNext w:val="0"/>
                    <w:keepLines w:val="0"/>
                    <w:widowControl/>
                    <w:numPr>
                      <w:ilvl w:val="0"/>
                      <w:numId w:val="11"/>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10C1D09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restart"/>
                  <w:tcBorders>
                    <w:tl2br w:val="nil"/>
                    <w:tr2bl w:val="nil"/>
                  </w:tcBorders>
                  <w:noWrap w:val="0"/>
                  <w:vAlign w:val="center"/>
                </w:tcPr>
                <w:p w14:paraId="24F8D423">
                  <w:pPr>
                    <w:widowControl/>
                    <w:jc w:val="center"/>
                    <w:rPr>
                      <w:rFonts w:hint="eastAsia"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缠绕机</w:t>
                  </w:r>
                </w:p>
                <w:p w14:paraId="18F9FB31">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r>
                    <w:rPr>
                      <w:rFonts w:hint="eastAsia" w:eastAsia="仿宋" w:cs="Times New Roman"/>
                      <w:color w:val="auto"/>
                      <w:kern w:val="0"/>
                      <w:sz w:val="21"/>
                      <w:szCs w:val="21"/>
                      <w:lang w:val="en-US" w:eastAsia="zh-CN" w:bidi="ar-SA"/>
                    </w:rPr>
                    <w:t>1台</w:t>
                  </w:r>
                  <w:r>
                    <w:rPr>
                      <w:rFonts w:hint="eastAsia" w:ascii="Times New Roman" w:hAnsi="Times New Roman" w:eastAsia="仿宋" w:cs="Times New Roman"/>
                      <w:color w:val="auto"/>
                      <w:kern w:val="0"/>
                      <w:sz w:val="21"/>
                      <w:szCs w:val="21"/>
                      <w:lang w:val="en-US" w:eastAsia="zh-CN" w:bidi="ar-SA"/>
                    </w:rPr>
                    <w:t>）</w:t>
                  </w:r>
                </w:p>
              </w:tc>
              <w:tc>
                <w:tcPr>
                  <w:tcW w:w="505" w:type="pct"/>
                  <w:vMerge w:val="restart"/>
                  <w:tcBorders>
                    <w:tl2br w:val="nil"/>
                    <w:tr2bl w:val="nil"/>
                  </w:tcBorders>
                  <w:noWrap w:val="0"/>
                  <w:vAlign w:val="center"/>
                </w:tcPr>
                <w:p w14:paraId="26CEC88C">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8000</w:t>
                  </w:r>
                </w:p>
              </w:tc>
              <w:tc>
                <w:tcPr>
                  <w:tcW w:w="367" w:type="pct"/>
                  <w:vMerge w:val="restart"/>
                  <w:tcBorders>
                    <w:tl2br w:val="nil"/>
                    <w:tr2bl w:val="nil"/>
                  </w:tcBorders>
                  <w:noWrap w:val="0"/>
                  <w:vAlign w:val="center"/>
                </w:tcPr>
                <w:p w14:paraId="0D251938">
                  <w:pPr>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75</w:t>
                  </w:r>
                </w:p>
              </w:tc>
              <w:tc>
                <w:tcPr>
                  <w:tcW w:w="314" w:type="pct"/>
                  <w:vMerge w:val="continue"/>
                  <w:tcBorders>
                    <w:tl2br w:val="nil"/>
                    <w:tr2bl w:val="nil"/>
                  </w:tcBorders>
                  <w:noWrap w:val="0"/>
                  <w:vAlign w:val="center"/>
                </w:tcPr>
                <w:p w14:paraId="163AC16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restart"/>
                  <w:tcBorders>
                    <w:tl2br w:val="nil"/>
                    <w:tr2bl w:val="nil"/>
                  </w:tcBorders>
                  <w:noWrap w:val="0"/>
                  <w:vAlign w:val="center"/>
                </w:tcPr>
                <w:p w14:paraId="26F69D7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33</w:t>
                  </w:r>
                </w:p>
              </w:tc>
              <w:tc>
                <w:tcPr>
                  <w:tcW w:w="245" w:type="pct"/>
                  <w:vMerge w:val="restart"/>
                  <w:tcBorders>
                    <w:tl2br w:val="nil"/>
                    <w:tr2bl w:val="nil"/>
                  </w:tcBorders>
                  <w:noWrap w:val="0"/>
                  <w:vAlign w:val="center"/>
                </w:tcPr>
                <w:p w14:paraId="68F62CE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66</w:t>
                  </w:r>
                </w:p>
              </w:tc>
              <w:tc>
                <w:tcPr>
                  <w:tcW w:w="238" w:type="pct"/>
                  <w:vMerge w:val="restart"/>
                  <w:tcBorders>
                    <w:tl2br w:val="nil"/>
                    <w:tr2bl w:val="nil"/>
                  </w:tcBorders>
                  <w:noWrap w:val="0"/>
                  <w:vAlign w:val="center"/>
                </w:tcPr>
                <w:p w14:paraId="019E23C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1</w:t>
                  </w:r>
                </w:p>
              </w:tc>
              <w:tc>
                <w:tcPr>
                  <w:tcW w:w="208" w:type="pct"/>
                  <w:tcBorders>
                    <w:tl2br w:val="nil"/>
                    <w:tr2bl w:val="nil"/>
                  </w:tcBorders>
                  <w:noWrap w:val="0"/>
                  <w:vAlign w:val="center"/>
                </w:tcPr>
                <w:p w14:paraId="1942CFAD">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08" w:type="pct"/>
                  <w:tcBorders>
                    <w:tl2br w:val="nil"/>
                    <w:tr2bl w:val="nil"/>
                  </w:tcBorders>
                  <w:noWrap w:val="0"/>
                  <w:vAlign w:val="center"/>
                </w:tcPr>
                <w:p w14:paraId="687981C5">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237" w:type="pct"/>
                  <w:tcBorders>
                    <w:tl2br w:val="nil"/>
                    <w:tr2bl w:val="nil"/>
                  </w:tcBorders>
                  <w:noWrap w:val="0"/>
                  <w:vAlign w:val="center"/>
                </w:tcPr>
                <w:p w14:paraId="0A06710A">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37" w:type="pct"/>
                  <w:tcBorders>
                    <w:tl2br w:val="nil"/>
                    <w:tr2bl w:val="nil"/>
                  </w:tcBorders>
                  <w:noWrap w:val="0"/>
                  <w:vAlign w:val="center"/>
                </w:tcPr>
                <w:p w14:paraId="05C6D244">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58.5</w:t>
                  </w:r>
                </w:p>
              </w:tc>
              <w:tc>
                <w:tcPr>
                  <w:tcW w:w="273" w:type="pct"/>
                  <w:vMerge w:val="continue"/>
                  <w:tcBorders>
                    <w:tl2br w:val="nil"/>
                    <w:tr2bl w:val="nil"/>
                  </w:tcBorders>
                  <w:noWrap w:val="0"/>
                  <w:vAlign w:val="center"/>
                </w:tcPr>
                <w:p w14:paraId="755EF64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3B2E798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restart"/>
                  <w:tcBorders>
                    <w:tl2br w:val="nil"/>
                    <w:tr2bl w:val="nil"/>
                  </w:tcBorders>
                  <w:noWrap w:val="0"/>
                  <w:vAlign w:val="center"/>
                </w:tcPr>
                <w:p w14:paraId="73207B95">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北</w:t>
                  </w:r>
                </w:p>
              </w:tc>
              <w:tc>
                <w:tcPr>
                  <w:tcW w:w="777" w:type="dxa"/>
                  <w:vMerge w:val="restart"/>
                  <w:tcBorders>
                    <w:tl2br w:val="nil"/>
                    <w:tr2bl w:val="nil"/>
                  </w:tcBorders>
                  <w:noWrap w:val="0"/>
                  <w:vAlign w:val="center"/>
                </w:tcPr>
                <w:p w14:paraId="0CD309E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48.0</w:t>
                  </w:r>
                </w:p>
              </w:tc>
              <w:tc>
                <w:tcPr>
                  <w:tcW w:w="349" w:type="pct"/>
                  <w:vMerge w:val="continue"/>
                  <w:tcBorders>
                    <w:tl2br w:val="nil"/>
                    <w:tr2bl w:val="nil"/>
                  </w:tcBorders>
                  <w:noWrap w:val="0"/>
                  <w:vAlign w:val="center"/>
                </w:tcPr>
                <w:p w14:paraId="570DBE5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48AE4DA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04C5D013">
                  <w:pPr>
                    <w:keepNext w:val="0"/>
                    <w:keepLines w:val="0"/>
                    <w:widowControl/>
                    <w:suppressLineNumbers w:val="0"/>
                    <w:tabs>
                      <w:tab w:val="left" w:pos="42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3EFECBC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144F500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323682B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2FA80B4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463D4E0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10B114A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548A258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35DE17D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3E710C5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08" w:type="pct"/>
                  <w:tcBorders>
                    <w:tl2br w:val="nil"/>
                    <w:tr2bl w:val="nil"/>
                  </w:tcBorders>
                  <w:noWrap w:val="0"/>
                  <w:vAlign w:val="center"/>
                </w:tcPr>
                <w:p w14:paraId="19D463C3">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w:t>
                  </w:r>
                </w:p>
              </w:tc>
              <w:tc>
                <w:tcPr>
                  <w:tcW w:w="237" w:type="pct"/>
                  <w:tcBorders>
                    <w:tl2br w:val="nil"/>
                    <w:tr2bl w:val="nil"/>
                  </w:tcBorders>
                  <w:noWrap w:val="0"/>
                  <w:vAlign w:val="center"/>
                </w:tcPr>
                <w:p w14:paraId="14763620">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37" w:type="pct"/>
                  <w:tcBorders>
                    <w:tl2br w:val="nil"/>
                    <w:tr2bl w:val="nil"/>
                  </w:tcBorders>
                  <w:noWrap w:val="0"/>
                  <w:vAlign w:val="center"/>
                </w:tcPr>
                <w:p w14:paraId="2A40567A">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56.0</w:t>
                  </w:r>
                </w:p>
              </w:tc>
              <w:tc>
                <w:tcPr>
                  <w:tcW w:w="273" w:type="pct"/>
                  <w:vMerge w:val="continue"/>
                  <w:tcBorders>
                    <w:tl2br w:val="nil"/>
                    <w:tr2bl w:val="nil"/>
                  </w:tcBorders>
                  <w:noWrap w:val="0"/>
                  <w:vAlign w:val="center"/>
                </w:tcPr>
                <w:p w14:paraId="33F134B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647288A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27AB74E2">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797BFEA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48D6613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4684DBD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3A5A8403">
                  <w:pPr>
                    <w:keepNext w:val="0"/>
                    <w:keepLines w:val="0"/>
                    <w:widowControl/>
                    <w:suppressLineNumbers w:val="0"/>
                    <w:tabs>
                      <w:tab w:val="left" w:pos="42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0F853D4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4B7CD31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3D34BA6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6333ECF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18CCD3F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736D4B1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170E01A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537D37B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490D578B">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08" w:type="pct"/>
                  <w:tcBorders>
                    <w:tl2br w:val="nil"/>
                    <w:tr2bl w:val="nil"/>
                  </w:tcBorders>
                  <w:noWrap w:val="0"/>
                  <w:vAlign w:val="center"/>
                </w:tcPr>
                <w:p w14:paraId="57922E82">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w:t>
                  </w:r>
                </w:p>
              </w:tc>
              <w:tc>
                <w:tcPr>
                  <w:tcW w:w="237" w:type="pct"/>
                  <w:tcBorders>
                    <w:tl2br w:val="nil"/>
                    <w:tr2bl w:val="nil"/>
                  </w:tcBorders>
                  <w:noWrap w:val="0"/>
                  <w:vAlign w:val="center"/>
                </w:tcPr>
                <w:p w14:paraId="4C5BFC7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37" w:type="pct"/>
                  <w:tcBorders>
                    <w:tl2br w:val="nil"/>
                    <w:tr2bl w:val="nil"/>
                  </w:tcBorders>
                  <w:noWrap w:val="0"/>
                  <w:vAlign w:val="center"/>
                </w:tcPr>
                <w:p w14:paraId="6BD4DEFF">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56.0</w:t>
                  </w:r>
                </w:p>
              </w:tc>
              <w:tc>
                <w:tcPr>
                  <w:tcW w:w="273" w:type="pct"/>
                  <w:vMerge w:val="continue"/>
                  <w:tcBorders>
                    <w:tl2br w:val="nil"/>
                    <w:tr2bl w:val="nil"/>
                  </w:tcBorders>
                  <w:noWrap w:val="0"/>
                  <w:vAlign w:val="center"/>
                </w:tcPr>
                <w:p w14:paraId="6F7614B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1C425B6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3233484F">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05F5338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319FA9F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6DA9C7C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7338A001">
                  <w:pPr>
                    <w:keepNext w:val="0"/>
                    <w:keepLines w:val="0"/>
                    <w:widowControl/>
                    <w:suppressLineNumbers w:val="0"/>
                    <w:tabs>
                      <w:tab w:val="left" w:pos="42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2F2BEFF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6" w:type="pct"/>
                  <w:vMerge w:val="continue"/>
                  <w:tcBorders>
                    <w:tl2br w:val="nil"/>
                    <w:tr2bl w:val="nil"/>
                  </w:tcBorders>
                  <w:noWrap w:val="0"/>
                  <w:vAlign w:val="center"/>
                </w:tcPr>
                <w:p w14:paraId="32E61BC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505" w:type="pct"/>
                  <w:vMerge w:val="continue"/>
                  <w:tcBorders>
                    <w:tl2br w:val="nil"/>
                    <w:tr2bl w:val="nil"/>
                  </w:tcBorders>
                  <w:noWrap w:val="0"/>
                  <w:vAlign w:val="center"/>
                </w:tcPr>
                <w:p w14:paraId="4D683D7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67" w:type="pct"/>
                  <w:vMerge w:val="continue"/>
                  <w:tcBorders>
                    <w:tl2br w:val="nil"/>
                    <w:tr2bl w:val="nil"/>
                  </w:tcBorders>
                  <w:noWrap w:val="0"/>
                  <w:vAlign w:val="center"/>
                </w:tcPr>
                <w:p w14:paraId="5074A70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14" w:type="pct"/>
                  <w:vMerge w:val="continue"/>
                  <w:tcBorders>
                    <w:tl2br w:val="nil"/>
                    <w:tr2bl w:val="nil"/>
                  </w:tcBorders>
                  <w:noWrap w:val="0"/>
                  <w:vAlign w:val="center"/>
                </w:tcPr>
                <w:p w14:paraId="0AF6927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3" w:type="pct"/>
                  <w:vMerge w:val="continue"/>
                  <w:tcBorders>
                    <w:tl2br w:val="nil"/>
                    <w:tr2bl w:val="nil"/>
                  </w:tcBorders>
                  <w:noWrap w:val="0"/>
                  <w:vAlign w:val="center"/>
                </w:tcPr>
                <w:p w14:paraId="020A17D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45" w:type="pct"/>
                  <w:vMerge w:val="continue"/>
                  <w:tcBorders>
                    <w:tl2br w:val="nil"/>
                    <w:tr2bl w:val="nil"/>
                  </w:tcBorders>
                  <w:noWrap w:val="0"/>
                  <w:vAlign w:val="center"/>
                </w:tcPr>
                <w:p w14:paraId="7C48EC0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38" w:type="pct"/>
                  <w:vMerge w:val="continue"/>
                  <w:tcBorders>
                    <w:tl2br w:val="nil"/>
                    <w:tr2bl w:val="nil"/>
                  </w:tcBorders>
                  <w:noWrap w:val="0"/>
                  <w:vAlign w:val="center"/>
                </w:tcPr>
                <w:p w14:paraId="2780FB3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08" w:type="pct"/>
                  <w:tcBorders>
                    <w:tl2br w:val="nil"/>
                    <w:tr2bl w:val="nil"/>
                  </w:tcBorders>
                  <w:noWrap w:val="0"/>
                  <w:vAlign w:val="center"/>
                </w:tcPr>
                <w:p w14:paraId="743576EC">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08" w:type="pct"/>
                  <w:tcBorders>
                    <w:tl2br w:val="nil"/>
                    <w:tr2bl w:val="nil"/>
                  </w:tcBorders>
                  <w:noWrap w:val="0"/>
                  <w:vAlign w:val="center"/>
                </w:tcPr>
                <w:p w14:paraId="6612CA1A">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37" w:type="pct"/>
                  <w:tcBorders>
                    <w:tl2br w:val="nil"/>
                    <w:tr2bl w:val="nil"/>
                  </w:tcBorders>
                  <w:noWrap w:val="0"/>
                  <w:vAlign w:val="center"/>
                </w:tcPr>
                <w:p w14:paraId="0082786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37" w:type="pct"/>
                  <w:tcBorders>
                    <w:tl2br w:val="nil"/>
                    <w:tr2bl w:val="nil"/>
                  </w:tcBorders>
                  <w:noWrap w:val="0"/>
                  <w:vAlign w:val="center"/>
                </w:tcPr>
                <w:p w14:paraId="1A26D840">
                  <w:pPr>
                    <w:keepNext w:val="0"/>
                    <w:keepLines w:val="0"/>
                    <w:widowControl/>
                    <w:suppressLineNumbers w:val="0"/>
                    <w:jc w:val="center"/>
                    <w:textAlignment w:val="center"/>
                    <w:rPr>
                      <w:rFonts w:hint="default"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56.4</w:t>
                  </w:r>
                </w:p>
              </w:tc>
              <w:tc>
                <w:tcPr>
                  <w:tcW w:w="273" w:type="pct"/>
                  <w:vMerge w:val="continue"/>
                  <w:tcBorders>
                    <w:tl2br w:val="nil"/>
                    <w:tr2bl w:val="nil"/>
                  </w:tcBorders>
                  <w:noWrap w:val="0"/>
                  <w:vAlign w:val="center"/>
                </w:tcPr>
                <w:p w14:paraId="0EB9EB7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23" w:type="pct"/>
                  <w:vMerge w:val="continue"/>
                  <w:tcBorders>
                    <w:tl2br w:val="nil"/>
                    <w:tr2bl w:val="nil"/>
                  </w:tcBorders>
                  <w:noWrap w:val="0"/>
                  <w:vAlign w:val="center"/>
                </w:tcPr>
                <w:p w14:paraId="3F0B563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256" w:type="pct"/>
                  <w:vMerge w:val="continue"/>
                  <w:tcBorders>
                    <w:tl2br w:val="nil"/>
                    <w:tr2bl w:val="nil"/>
                  </w:tcBorders>
                  <w:noWrap w:val="0"/>
                  <w:vAlign w:val="center"/>
                </w:tcPr>
                <w:p w14:paraId="41B46A23">
                  <w:pPr>
                    <w:keepNext w:val="0"/>
                    <w:keepLines w:val="0"/>
                    <w:widowControl/>
                    <w:suppressLineNumbers w:val="0"/>
                    <w:jc w:val="center"/>
                    <w:textAlignment w:val="center"/>
                    <w:rPr>
                      <w:rFonts w:hint="eastAsia" w:ascii="仿宋" w:hAnsi="仿宋" w:eastAsia="仿宋" w:cs="仿宋"/>
                      <w:color w:val="auto"/>
                      <w:kern w:val="2"/>
                      <w:sz w:val="21"/>
                      <w:szCs w:val="21"/>
                      <w:vertAlign w:val="baseline"/>
                      <w:lang w:val="en-US" w:eastAsia="zh-CN" w:bidi="ar-SA"/>
                    </w:rPr>
                  </w:pPr>
                </w:p>
              </w:tc>
              <w:tc>
                <w:tcPr>
                  <w:tcW w:w="287" w:type="pct"/>
                  <w:vMerge w:val="continue"/>
                  <w:tcBorders>
                    <w:tl2br w:val="nil"/>
                    <w:tr2bl w:val="nil"/>
                  </w:tcBorders>
                  <w:noWrap w:val="0"/>
                  <w:vAlign w:val="center"/>
                </w:tcPr>
                <w:p w14:paraId="05E47D5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c>
                <w:tcPr>
                  <w:tcW w:w="349" w:type="pct"/>
                  <w:vMerge w:val="continue"/>
                  <w:tcBorders>
                    <w:tl2br w:val="nil"/>
                    <w:tr2bl w:val="nil"/>
                  </w:tcBorders>
                  <w:noWrap w:val="0"/>
                  <w:vAlign w:val="center"/>
                </w:tcPr>
                <w:p w14:paraId="4440CB3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p>
              </w:tc>
            </w:tr>
            <w:tr w14:paraId="3E20EAE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restart"/>
                  <w:tcBorders>
                    <w:tl2br w:val="nil"/>
                    <w:tr2bl w:val="nil"/>
                  </w:tcBorders>
                  <w:noWrap w:val="0"/>
                  <w:vAlign w:val="center"/>
                </w:tcPr>
                <w:p w14:paraId="179E92D0">
                  <w:pPr>
                    <w:keepNext w:val="0"/>
                    <w:keepLines w:val="0"/>
                    <w:widowControl/>
                    <w:numPr>
                      <w:ilvl w:val="0"/>
                      <w:numId w:val="11"/>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5A451A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6" w:type="pct"/>
                  <w:vMerge w:val="restart"/>
                  <w:tcBorders>
                    <w:tl2br w:val="nil"/>
                    <w:tr2bl w:val="nil"/>
                  </w:tcBorders>
                  <w:noWrap w:val="0"/>
                  <w:vAlign w:val="center"/>
                </w:tcPr>
                <w:p w14:paraId="39F7F87F">
                  <w:pPr>
                    <w:widowControl/>
                    <w:jc w:val="center"/>
                    <w:rPr>
                      <w:rFonts w:hint="eastAsia"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车床</w:t>
                  </w:r>
                </w:p>
                <w:p w14:paraId="07600F41">
                  <w:pPr>
                    <w:widowControl/>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rPr>
                    <w:t>（12台）</w:t>
                  </w:r>
                </w:p>
              </w:tc>
              <w:tc>
                <w:tcPr>
                  <w:tcW w:w="505" w:type="pct"/>
                  <w:vMerge w:val="restart"/>
                  <w:tcBorders>
                    <w:tl2br w:val="nil"/>
                    <w:tr2bl w:val="nil"/>
                  </w:tcBorders>
                  <w:noWrap w:val="0"/>
                  <w:vAlign w:val="center"/>
                </w:tcPr>
                <w:p w14:paraId="2EE1680F">
                  <w:pPr>
                    <w:widowControl/>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CZ61100</w:t>
                  </w:r>
                </w:p>
              </w:tc>
              <w:tc>
                <w:tcPr>
                  <w:tcW w:w="367" w:type="pct"/>
                  <w:vMerge w:val="restart"/>
                  <w:tcBorders>
                    <w:tl2br w:val="nil"/>
                    <w:tr2bl w:val="nil"/>
                  </w:tcBorders>
                  <w:noWrap w:val="0"/>
                  <w:vAlign w:val="center"/>
                </w:tcPr>
                <w:p w14:paraId="5FC741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85</w:t>
                  </w:r>
                </w:p>
              </w:tc>
              <w:tc>
                <w:tcPr>
                  <w:tcW w:w="314" w:type="pct"/>
                  <w:vMerge w:val="continue"/>
                  <w:tcBorders>
                    <w:tl2br w:val="nil"/>
                    <w:tr2bl w:val="nil"/>
                  </w:tcBorders>
                  <w:noWrap w:val="0"/>
                  <w:vAlign w:val="center"/>
                </w:tcPr>
                <w:p w14:paraId="31FE71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3" w:type="pct"/>
                  <w:vMerge w:val="restart"/>
                  <w:tcBorders>
                    <w:tl2br w:val="nil"/>
                    <w:tr2bl w:val="nil"/>
                  </w:tcBorders>
                  <w:noWrap w:val="0"/>
                  <w:vAlign w:val="center"/>
                </w:tcPr>
                <w:p w14:paraId="6D866D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w:t>
                  </w:r>
                </w:p>
              </w:tc>
              <w:tc>
                <w:tcPr>
                  <w:tcW w:w="245" w:type="pct"/>
                  <w:vMerge w:val="restart"/>
                  <w:tcBorders>
                    <w:tl2br w:val="nil"/>
                    <w:tr2bl w:val="nil"/>
                  </w:tcBorders>
                  <w:noWrap w:val="0"/>
                  <w:vAlign w:val="center"/>
                </w:tcPr>
                <w:p w14:paraId="11FA18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w:t>
                  </w:r>
                </w:p>
              </w:tc>
              <w:tc>
                <w:tcPr>
                  <w:tcW w:w="238" w:type="pct"/>
                  <w:vMerge w:val="restart"/>
                  <w:tcBorders>
                    <w:tl2br w:val="nil"/>
                    <w:tr2bl w:val="nil"/>
                  </w:tcBorders>
                  <w:noWrap w:val="0"/>
                  <w:vAlign w:val="center"/>
                </w:tcPr>
                <w:p w14:paraId="2A6B12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208" w:type="pct"/>
                  <w:tcBorders>
                    <w:tl2br w:val="nil"/>
                    <w:tr2bl w:val="nil"/>
                  </w:tcBorders>
                  <w:noWrap w:val="0"/>
                  <w:vAlign w:val="center"/>
                </w:tcPr>
                <w:p w14:paraId="73D085BB">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08" w:type="pct"/>
                  <w:tcBorders>
                    <w:tl2br w:val="nil"/>
                    <w:tr2bl w:val="nil"/>
                  </w:tcBorders>
                  <w:noWrap w:val="0"/>
                  <w:vAlign w:val="center"/>
                </w:tcPr>
                <w:p w14:paraId="6E95B1A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237" w:type="pct"/>
                  <w:tcBorders>
                    <w:tl2br w:val="nil"/>
                    <w:tr2bl w:val="nil"/>
                  </w:tcBorders>
                  <w:noWrap w:val="0"/>
                  <w:vAlign w:val="center"/>
                </w:tcPr>
                <w:p w14:paraId="03DD82BD">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东</w:t>
                  </w:r>
                </w:p>
              </w:tc>
              <w:tc>
                <w:tcPr>
                  <w:tcW w:w="237" w:type="pct"/>
                  <w:tcBorders>
                    <w:tl2br w:val="nil"/>
                    <w:tr2bl w:val="nil"/>
                  </w:tcBorders>
                  <w:noWrap w:val="0"/>
                  <w:vAlign w:val="center"/>
                </w:tcPr>
                <w:p w14:paraId="420A791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78.1</w:t>
                  </w:r>
                </w:p>
              </w:tc>
              <w:tc>
                <w:tcPr>
                  <w:tcW w:w="273" w:type="pct"/>
                  <w:vMerge w:val="continue"/>
                  <w:tcBorders>
                    <w:tl2br w:val="nil"/>
                    <w:tr2bl w:val="nil"/>
                  </w:tcBorders>
                  <w:noWrap w:val="0"/>
                  <w:vAlign w:val="center"/>
                </w:tcPr>
                <w:p w14:paraId="5B0C83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23" w:type="pct"/>
                  <w:vMerge w:val="continue"/>
                  <w:tcBorders>
                    <w:tl2br w:val="nil"/>
                    <w:tr2bl w:val="nil"/>
                  </w:tcBorders>
                  <w:noWrap w:val="0"/>
                  <w:vAlign w:val="center"/>
                </w:tcPr>
                <w:p w14:paraId="418B36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6" w:type="pct"/>
                  <w:vMerge w:val="continue"/>
                  <w:tcBorders>
                    <w:tl2br w:val="nil"/>
                    <w:tr2bl w:val="nil"/>
                  </w:tcBorders>
                  <w:noWrap w:val="0"/>
                  <w:vAlign w:val="center"/>
                </w:tcPr>
                <w:p w14:paraId="13B2003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287" w:type="pct"/>
                  <w:vMerge w:val="continue"/>
                  <w:tcBorders>
                    <w:tl2br w:val="nil"/>
                    <w:tr2bl w:val="nil"/>
                  </w:tcBorders>
                  <w:noWrap w:val="0"/>
                  <w:vAlign w:val="center"/>
                </w:tcPr>
                <w:p w14:paraId="57E3AE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49" w:type="pct"/>
                  <w:vMerge w:val="continue"/>
                  <w:tcBorders>
                    <w:tl2br w:val="nil"/>
                    <w:tr2bl w:val="nil"/>
                  </w:tcBorders>
                  <w:noWrap w:val="0"/>
                  <w:vAlign w:val="center"/>
                </w:tcPr>
                <w:p w14:paraId="6B02EA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bookmarkEnd w:id="10"/>
            <w:tr w14:paraId="37F6F6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58E5B843">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618E17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6" w:type="pct"/>
                  <w:vMerge w:val="continue"/>
                  <w:tcBorders>
                    <w:tl2br w:val="nil"/>
                    <w:tr2bl w:val="nil"/>
                  </w:tcBorders>
                  <w:noWrap w:val="0"/>
                  <w:vAlign w:val="center"/>
                </w:tcPr>
                <w:p w14:paraId="6F9565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05" w:type="pct"/>
                  <w:vMerge w:val="continue"/>
                  <w:tcBorders>
                    <w:tl2br w:val="nil"/>
                    <w:tr2bl w:val="nil"/>
                  </w:tcBorders>
                  <w:noWrap w:val="0"/>
                  <w:vAlign w:val="center"/>
                </w:tcPr>
                <w:p w14:paraId="7E3731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67" w:type="pct"/>
                  <w:vMerge w:val="continue"/>
                  <w:tcBorders>
                    <w:tl2br w:val="nil"/>
                    <w:tr2bl w:val="nil"/>
                  </w:tcBorders>
                  <w:noWrap w:val="0"/>
                  <w:vAlign w:val="center"/>
                </w:tcPr>
                <w:p w14:paraId="23E457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4" w:type="pct"/>
                  <w:vMerge w:val="continue"/>
                  <w:tcBorders>
                    <w:tl2br w:val="nil"/>
                    <w:tr2bl w:val="nil"/>
                  </w:tcBorders>
                  <w:noWrap w:val="0"/>
                  <w:vAlign w:val="center"/>
                </w:tcPr>
                <w:p w14:paraId="3B20EE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3" w:type="pct"/>
                  <w:vMerge w:val="continue"/>
                  <w:tcBorders>
                    <w:tl2br w:val="nil"/>
                    <w:tr2bl w:val="nil"/>
                  </w:tcBorders>
                  <w:noWrap w:val="0"/>
                  <w:vAlign w:val="center"/>
                </w:tcPr>
                <w:p w14:paraId="402CE3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45" w:type="pct"/>
                  <w:vMerge w:val="continue"/>
                  <w:tcBorders>
                    <w:tl2br w:val="nil"/>
                    <w:tr2bl w:val="nil"/>
                  </w:tcBorders>
                  <w:noWrap w:val="0"/>
                  <w:vAlign w:val="center"/>
                </w:tcPr>
                <w:p w14:paraId="71C160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8" w:type="pct"/>
                  <w:vMerge w:val="continue"/>
                  <w:tcBorders>
                    <w:tl2br w:val="nil"/>
                    <w:tr2bl w:val="nil"/>
                  </w:tcBorders>
                  <w:noWrap w:val="0"/>
                  <w:vAlign w:val="center"/>
                </w:tcPr>
                <w:p w14:paraId="4E171F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08" w:type="pct"/>
                  <w:tcBorders>
                    <w:tl2br w:val="nil"/>
                    <w:tr2bl w:val="nil"/>
                  </w:tcBorders>
                  <w:noWrap w:val="0"/>
                  <w:vAlign w:val="center"/>
                </w:tcPr>
                <w:p w14:paraId="56110E71">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08" w:type="pct"/>
                  <w:tcBorders>
                    <w:tl2br w:val="nil"/>
                    <w:tr2bl w:val="nil"/>
                  </w:tcBorders>
                  <w:noWrap w:val="0"/>
                  <w:vAlign w:val="center"/>
                </w:tcPr>
                <w:p w14:paraId="5680AB4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w:t>
                  </w:r>
                </w:p>
              </w:tc>
              <w:tc>
                <w:tcPr>
                  <w:tcW w:w="237" w:type="pct"/>
                  <w:tcBorders>
                    <w:tl2br w:val="nil"/>
                    <w:tr2bl w:val="nil"/>
                  </w:tcBorders>
                  <w:noWrap w:val="0"/>
                  <w:vAlign w:val="center"/>
                </w:tcPr>
                <w:p w14:paraId="1DD63BCA">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南</w:t>
                  </w:r>
                </w:p>
              </w:tc>
              <w:tc>
                <w:tcPr>
                  <w:tcW w:w="237" w:type="pct"/>
                  <w:tcBorders>
                    <w:tl2br w:val="nil"/>
                    <w:tr2bl w:val="nil"/>
                  </w:tcBorders>
                  <w:noWrap w:val="0"/>
                  <w:vAlign w:val="center"/>
                </w:tcPr>
                <w:p w14:paraId="7732BE6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76.8</w:t>
                  </w:r>
                </w:p>
              </w:tc>
              <w:tc>
                <w:tcPr>
                  <w:tcW w:w="273" w:type="pct"/>
                  <w:vMerge w:val="continue"/>
                  <w:tcBorders>
                    <w:tl2br w:val="nil"/>
                    <w:tr2bl w:val="nil"/>
                  </w:tcBorders>
                  <w:noWrap w:val="0"/>
                  <w:vAlign w:val="center"/>
                </w:tcPr>
                <w:p w14:paraId="53A23F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23" w:type="pct"/>
                  <w:vMerge w:val="continue"/>
                  <w:tcBorders>
                    <w:tl2br w:val="nil"/>
                    <w:tr2bl w:val="nil"/>
                  </w:tcBorders>
                  <w:noWrap w:val="0"/>
                  <w:vAlign w:val="center"/>
                </w:tcPr>
                <w:p w14:paraId="33B4C9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6" w:type="pct"/>
                  <w:vMerge w:val="continue"/>
                  <w:tcBorders>
                    <w:tl2br w:val="nil"/>
                    <w:tr2bl w:val="nil"/>
                  </w:tcBorders>
                  <w:noWrap w:val="0"/>
                  <w:vAlign w:val="center"/>
                </w:tcPr>
                <w:p w14:paraId="53FADE3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287" w:type="pct"/>
                  <w:vMerge w:val="continue"/>
                  <w:tcBorders>
                    <w:tl2br w:val="nil"/>
                    <w:tr2bl w:val="nil"/>
                  </w:tcBorders>
                  <w:noWrap w:val="0"/>
                  <w:vAlign w:val="center"/>
                </w:tcPr>
                <w:p w14:paraId="72113A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49" w:type="pct"/>
                  <w:vMerge w:val="continue"/>
                  <w:tcBorders>
                    <w:tl2br w:val="nil"/>
                    <w:tr2bl w:val="nil"/>
                  </w:tcBorders>
                  <w:noWrap w:val="0"/>
                  <w:vAlign w:val="center"/>
                </w:tcPr>
                <w:p w14:paraId="37E963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6496DC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71A7068C">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13C83F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6" w:type="pct"/>
                  <w:vMerge w:val="continue"/>
                  <w:tcBorders>
                    <w:tl2br w:val="nil"/>
                    <w:tr2bl w:val="nil"/>
                  </w:tcBorders>
                  <w:noWrap w:val="0"/>
                  <w:vAlign w:val="center"/>
                </w:tcPr>
                <w:p w14:paraId="130907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05" w:type="pct"/>
                  <w:vMerge w:val="continue"/>
                  <w:tcBorders>
                    <w:tl2br w:val="nil"/>
                    <w:tr2bl w:val="nil"/>
                  </w:tcBorders>
                  <w:noWrap w:val="0"/>
                  <w:vAlign w:val="center"/>
                </w:tcPr>
                <w:p w14:paraId="1E40A6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67" w:type="pct"/>
                  <w:vMerge w:val="continue"/>
                  <w:tcBorders>
                    <w:tl2br w:val="nil"/>
                    <w:tr2bl w:val="nil"/>
                  </w:tcBorders>
                  <w:noWrap w:val="0"/>
                  <w:vAlign w:val="center"/>
                </w:tcPr>
                <w:p w14:paraId="05EB8B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4" w:type="pct"/>
                  <w:vMerge w:val="continue"/>
                  <w:tcBorders>
                    <w:tl2br w:val="nil"/>
                    <w:tr2bl w:val="nil"/>
                  </w:tcBorders>
                  <w:noWrap w:val="0"/>
                  <w:vAlign w:val="center"/>
                </w:tcPr>
                <w:p w14:paraId="75A2D0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3" w:type="pct"/>
                  <w:vMerge w:val="continue"/>
                  <w:tcBorders>
                    <w:tl2br w:val="nil"/>
                    <w:tr2bl w:val="nil"/>
                  </w:tcBorders>
                  <w:noWrap w:val="0"/>
                  <w:vAlign w:val="center"/>
                </w:tcPr>
                <w:p w14:paraId="09B101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45" w:type="pct"/>
                  <w:vMerge w:val="continue"/>
                  <w:tcBorders>
                    <w:tl2br w:val="nil"/>
                    <w:tr2bl w:val="nil"/>
                  </w:tcBorders>
                  <w:noWrap w:val="0"/>
                  <w:vAlign w:val="center"/>
                </w:tcPr>
                <w:p w14:paraId="34C3C3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8" w:type="pct"/>
                  <w:vMerge w:val="continue"/>
                  <w:tcBorders>
                    <w:tl2br w:val="nil"/>
                    <w:tr2bl w:val="nil"/>
                  </w:tcBorders>
                  <w:noWrap w:val="0"/>
                  <w:vAlign w:val="center"/>
                </w:tcPr>
                <w:p w14:paraId="174D70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08" w:type="pct"/>
                  <w:tcBorders>
                    <w:tl2br w:val="nil"/>
                    <w:tr2bl w:val="nil"/>
                  </w:tcBorders>
                  <w:noWrap w:val="0"/>
                  <w:vAlign w:val="center"/>
                </w:tcPr>
                <w:p w14:paraId="6719024A">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08" w:type="pct"/>
                  <w:tcBorders>
                    <w:tl2br w:val="nil"/>
                    <w:tr2bl w:val="nil"/>
                  </w:tcBorders>
                  <w:noWrap w:val="0"/>
                  <w:vAlign w:val="center"/>
                </w:tcPr>
                <w:p w14:paraId="3510D71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237" w:type="pct"/>
                  <w:tcBorders>
                    <w:tl2br w:val="nil"/>
                    <w:tr2bl w:val="nil"/>
                  </w:tcBorders>
                  <w:noWrap w:val="0"/>
                  <w:vAlign w:val="center"/>
                </w:tcPr>
                <w:p w14:paraId="5E7A3EB9">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西</w:t>
                  </w:r>
                </w:p>
              </w:tc>
              <w:tc>
                <w:tcPr>
                  <w:tcW w:w="237" w:type="pct"/>
                  <w:tcBorders>
                    <w:tl2br w:val="nil"/>
                    <w:tr2bl w:val="nil"/>
                  </w:tcBorders>
                  <w:noWrap w:val="0"/>
                  <w:vAlign w:val="center"/>
                </w:tcPr>
                <w:p w14:paraId="17170DD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76.8</w:t>
                  </w:r>
                </w:p>
              </w:tc>
              <w:tc>
                <w:tcPr>
                  <w:tcW w:w="273" w:type="pct"/>
                  <w:vMerge w:val="continue"/>
                  <w:tcBorders>
                    <w:tl2br w:val="nil"/>
                    <w:tr2bl w:val="nil"/>
                  </w:tcBorders>
                  <w:noWrap w:val="0"/>
                  <w:vAlign w:val="center"/>
                </w:tcPr>
                <w:p w14:paraId="5878E6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23" w:type="pct"/>
                  <w:vMerge w:val="continue"/>
                  <w:tcBorders>
                    <w:tl2br w:val="nil"/>
                    <w:tr2bl w:val="nil"/>
                  </w:tcBorders>
                  <w:noWrap w:val="0"/>
                  <w:vAlign w:val="center"/>
                </w:tcPr>
                <w:p w14:paraId="425306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6" w:type="pct"/>
                  <w:vMerge w:val="continue"/>
                  <w:tcBorders>
                    <w:tl2br w:val="nil"/>
                    <w:tr2bl w:val="nil"/>
                  </w:tcBorders>
                  <w:noWrap w:val="0"/>
                  <w:vAlign w:val="center"/>
                </w:tcPr>
                <w:p w14:paraId="49852D0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北</w:t>
                  </w:r>
                </w:p>
              </w:tc>
              <w:tc>
                <w:tcPr>
                  <w:tcW w:w="287" w:type="pct"/>
                  <w:vMerge w:val="continue"/>
                  <w:tcBorders>
                    <w:tl2br w:val="nil"/>
                    <w:tr2bl w:val="nil"/>
                  </w:tcBorders>
                  <w:noWrap w:val="0"/>
                  <w:vAlign w:val="center"/>
                </w:tcPr>
                <w:p w14:paraId="635E38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49.1</w:t>
                  </w:r>
                </w:p>
              </w:tc>
              <w:tc>
                <w:tcPr>
                  <w:tcW w:w="349" w:type="pct"/>
                  <w:vMerge w:val="continue"/>
                  <w:tcBorders>
                    <w:tl2br w:val="nil"/>
                    <w:tr2bl w:val="nil"/>
                  </w:tcBorders>
                  <w:noWrap w:val="0"/>
                  <w:vAlign w:val="center"/>
                </w:tcPr>
                <w:p w14:paraId="614FA1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1417EB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 w:hRule="atLeast"/>
                <w:jc w:val="center"/>
              </w:trPr>
              <w:tc>
                <w:tcPr>
                  <w:tcW w:w="173" w:type="pct"/>
                  <w:vMerge w:val="continue"/>
                  <w:tcBorders>
                    <w:tl2br w:val="nil"/>
                    <w:tr2bl w:val="nil"/>
                  </w:tcBorders>
                  <w:noWrap w:val="0"/>
                  <w:vAlign w:val="center"/>
                </w:tcPr>
                <w:p w14:paraId="78438560">
                  <w:pPr>
                    <w:keepNext w:val="0"/>
                    <w:keepLines w:val="0"/>
                    <w:widowControl/>
                    <w:numPr>
                      <w:ilvl w:val="0"/>
                      <w:numId w:val="7"/>
                    </w:numPr>
                    <w:suppressLineNumbers w:val="0"/>
                    <w:tabs>
                      <w:tab w:val="left" w:pos="420"/>
                      <w:tab w:val="clear" w:pos="0"/>
                    </w:tabs>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24" w:type="pct"/>
                  <w:vMerge w:val="continue"/>
                  <w:tcBorders>
                    <w:tl2br w:val="nil"/>
                    <w:tr2bl w:val="nil"/>
                  </w:tcBorders>
                  <w:noWrap w:val="0"/>
                  <w:vAlign w:val="center"/>
                </w:tcPr>
                <w:p w14:paraId="6114CF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6" w:type="pct"/>
                  <w:vMerge w:val="continue"/>
                  <w:tcBorders>
                    <w:tl2br w:val="nil"/>
                    <w:tr2bl w:val="nil"/>
                  </w:tcBorders>
                  <w:noWrap w:val="0"/>
                  <w:vAlign w:val="center"/>
                </w:tcPr>
                <w:p w14:paraId="5E7D86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05" w:type="pct"/>
                  <w:vMerge w:val="continue"/>
                  <w:tcBorders>
                    <w:tl2br w:val="nil"/>
                    <w:tr2bl w:val="nil"/>
                  </w:tcBorders>
                  <w:noWrap w:val="0"/>
                  <w:vAlign w:val="center"/>
                </w:tcPr>
                <w:p w14:paraId="72CA94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67" w:type="pct"/>
                  <w:vMerge w:val="continue"/>
                  <w:tcBorders>
                    <w:tl2br w:val="nil"/>
                    <w:tr2bl w:val="nil"/>
                  </w:tcBorders>
                  <w:noWrap w:val="0"/>
                  <w:vAlign w:val="center"/>
                </w:tcPr>
                <w:p w14:paraId="446F06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4" w:type="pct"/>
                  <w:vMerge w:val="continue"/>
                  <w:tcBorders>
                    <w:tl2br w:val="nil"/>
                    <w:tr2bl w:val="nil"/>
                  </w:tcBorders>
                  <w:noWrap w:val="0"/>
                  <w:vAlign w:val="center"/>
                </w:tcPr>
                <w:p w14:paraId="0EE654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3" w:type="pct"/>
                  <w:vMerge w:val="continue"/>
                  <w:tcBorders>
                    <w:tl2br w:val="nil"/>
                    <w:tr2bl w:val="nil"/>
                  </w:tcBorders>
                  <w:noWrap w:val="0"/>
                  <w:vAlign w:val="center"/>
                </w:tcPr>
                <w:p w14:paraId="3EC421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45" w:type="pct"/>
                  <w:vMerge w:val="continue"/>
                  <w:tcBorders>
                    <w:tl2br w:val="nil"/>
                    <w:tr2bl w:val="nil"/>
                  </w:tcBorders>
                  <w:noWrap w:val="0"/>
                  <w:vAlign w:val="center"/>
                </w:tcPr>
                <w:p w14:paraId="0A917B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8" w:type="pct"/>
                  <w:vMerge w:val="continue"/>
                  <w:tcBorders>
                    <w:tl2br w:val="nil"/>
                    <w:tr2bl w:val="nil"/>
                  </w:tcBorders>
                  <w:noWrap w:val="0"/>
                  <w:vAlign w:val="center"/>
                </w:tcPr>
                <w:p w14:paraId="44E6A9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08" w:type="pct"/>
                  <w:tcBorders>
                    <w:tl2br w:val="nil"/>
                    <w:tr2bl w:val="nil"/>
                  </w:tcBorders>
                  <w:noWrap w:val="0"/>
                  <w:vAlign w:val="center"/>
                </w:tcPr>
                <w:p w14:paraId="1B59E5F0">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08" w:type="pct"/>
                  <w:tcBorders>
                    <w:tl2br w:val="nil"/>
                    <w:tr2bl w:val="nil"/>
                  </w:tcBorders>
                  <w:noWrap w:val="0"/>
                  <w:vAlign w:val="center"/>
                </w:tcPr>
                <w:p w14:paraId="361CCEE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w:t>
                  </w:r>
                </w:p>
              </w:tc>
              <w:tc>
                <w:tcPr>
                  <w:tcW w:w="237" w:type="pct"/>
                  <w:tcBorders>
                    <w:tl2br w:val="nil"/>
                    <w:tr2bl w:val="nil"/>
                  </w:tcBorders>
                  <w:noWrap w:val="0"/>
                  <w:vAlign w:val="center"/>
                </w:tcPr>
                <w:p w14:paraId="2BA7F2B2">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vertAlign w:val="baseline"/>
                      <w:lang w:val="en-US" w:eastAsia="zh-CN" w:bidi="ar-SA"/>
                    </w:rPr>
                  </w:pPr>
                  <w:r>
                    <w:rPr>
                      <w:rFonts w:hint="eastAsia" w:ascii="Times New Roman" w:hAnsi="Times New Roman" w:eastAsia="仿宋" w:cs="Times New Roman"/>
                      <w:color w:val="auto"/>
                      <w:kern w:val="2"/>
                      <w:sz w:val="21"/>
                      <w:szCs w:val="21"/>
                      <w:vertAlign w:val="baseline"/>
                      <w:lang w:val="en-US" w:eastAsia="zh-CN" w:bidi="ar-SA"/>
                    </w:rPr>
                    <w:t>北</w:t>
                  </w:r>
                </w:p>
              </w:tc>
              <w:tc>
                <w:tcPr>
                  <w:tcW w:w="237" w:type="pct"/>
                  <w:tcBorders>
                    <w:tl2br w:val="nil"/>
                    <w:tr2bl w:val="nil"/>
                  </w:tcBorders>
                  <w:noWrap w:val="0"/>
                  <w:vAlign w:val="center"/>
                </w:tcPr>
                <w:p w14:paraId="73BDBBD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76.8</w:t>
                  </w:r>
                </w:p>
              </w:tc>
              <w:tc>
                <w:tcPr>
                  <w:tcW w:w="273" w:type="pct"/>
                  <w:vMerge w:val="continue"/>
                  <w:tcBorders>
                    <w:tl2br w:val="nil"/>
                    <w:tr2bl w:val="nil"/>
                  </w:tcBorders>
                  <w:noWrap w:val="0"/>
                  <w:vAlign w:val="center"/>
                </w:tcPr>
                <w:p w14:paraId="1083DC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23" w:type="pct"/>
                  <w:vMerge w:val="continue"/>
                  <w:tcBorders>
                    <w:tl2br w:val="nil"/>
                    <w:tr2bl w:val="nil"/>
                  </w:tcBorders>
                  <w:noWrap w:val="0"/>
                  <w:vAlign w:val="center"/>
                </w:tcPr>
                <w:p w14:paraId="4077F1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6" w:type="pct"/>
                  <w:vMerge w:val="continue"/>
                  <w:tcBorders>
                    <w:tl2br w:val="nil"/>
                    <w:tr2bl w:val="nil"/>
                  </w:tcBorders>
                  <w:noWrap w:val="0"/>
                  <w:vAlign w:val="center"/>
                </w:tcPr>
                <w:p w14:paraId="531112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87" w:type="pct"/>
                  <w:vMerge w:val="continue"/>
                  <w:tcBorders>
                    <w:tl2br w:val="nil"/>
                    <w:tr2bl w:val="nil"/>
                  </w:tcBorders>
                  <w:noWrap w:val="0"/>
                  <w:vAlign w:val="center"/>
                </w:tcPr>
                <w:p w14:paraId="66B291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49" w:type="pct"/>
                  <w:vMerge w:val="continue"/>
                  <w:tcBorders>
                    <w:tl2br w:val="nil"/>
                    <w:tr2bl w:val="nil"/>
                  </w:tcBorders>
                  <w:noWrap w:val="0"/>
                  <w:vAlign w:val="center"/>
                </w:tcPr>
                <w:p w14:paraId="5814EF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703828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注：以生产车间</w:t>
            </w:r>
            <w:r>
              <w:rPr>
                <w:rFonts w:hint="eastAsia" w:ascii="Times New Roman" w:hAnsi="Times New Roman" w:cs="Times New Roman"/>
                <w:b/>
                <w:bCs/>
                <w:color w:val="auto"/>
                <w:lang w:val="en-US" w:eastAsia="zh-CN"/>
              </w:rPr>
              <w:t>西南</w:t>
            </w:r>
            <w:r>
              <w:rPr>
                <w:rFonts w:hint="default" w:ascii="Times New Roman" w:hAnsi="Times New Roman" w:cs="Times New Roman"/>
                <w:b/>
                <w:bCs/>
                <w:color w:val="auto"/>
                <w:lang w:val="en-US" w:eastAsia="zh-CN"/>
              </w:rPr>
              <w:t>角</w:t>
            </w:r>
            <w:r>
              <w:rPr>
                <w:rFonts w:hint="eastAsia" w:cs="Times New Roman"/>
                <w:b/>
                <w:bCs/>
                <w:color w:val="auto"/>
                <w:sz w:val="21"/>
                <w:szCs w:val="21"/>
                <w:lang w:val="en-US" w:eastAsia="zh-CN"/>
              </w:rPr>
              <w:t>为坐标原点（0,0,0）。</w:t>
            </w:r>
          </w:p>
          <w:p w14:paraId="6B1D68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21</w:t>
            </w:r>
            <w:r>
              <w:rPr>
                <w:rFonts w:hint="eastAsia" w:ascii="Times New Roman" w:hAnsi="Times New Roman" w:eastAsia="宋体" w:cs="Times New Roman"/>
                <w:b/>
                <w:bCs/>
                <w:color w:val="auto"/>
                <w:sz w:val="21"/>
                <w:szCs w:val="21"/>
                <w:lang w:eastAsia="zh-CN"/>
              </w:rPr>
              <w:t xml:space="preserve">  噪声源强调查清单（室外声源）</w:t>
            </w:r>
          </w:p>
          <w:tbl>
            <w:tblPr>
              <w:tblStyle w:val="7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77"/>
              <w:gridCol w:w="1616"/>
              <w:gridCol w:w="1985"/>
              <w:gridCol w:w="1359"/>
              <w:gridCol w:w="1329"/>
              <w:gridCol w:w="1278"/>
              <w:gridCol w:w="2174"/>
              <w:gridCol w:w="1887"/>
              <w:gridCol w:w="1224"/>
            </w:tblGrid>
            <w:tr w14:paraId="06B821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250" w:type="pct"/>
                  <w:vMerge w:val="restart"/>
                  <w:tcBorders>
                    <w:tl2br w:val="nil"/>
                    <w:tr2bl w:val="nil"/>
                  </w:tcBorders>
                  <w:noWrap w:val="0"/>
                  <w:vAlign w:val="center"/>
                </w:tcPr>
                <w:p w14:paraId="21B16C75">
                  <w:pPr>
                    <w:adjustRightInd w:val="0"/>
                    <w:snapToGrid w:val="0"/>
                    <w:spacing w:before="0" w:line="240" w:lineRule="auto"/>
                    <w:ind w:left="0"/>
                    <w:jc w:val="center"/>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pacing w:val="0"/>
                      <w:sz w:val="21"/>
                      <w:szCs w:val="21"/>
                    </w:rPr>
                    <w:t>序号</w:t>
                  </w:r>
                </w:p>
              </w:tc>
              <w:tc>
                <w:tcPr>
                  <w:tcW w:w="597" w:type="pct"/>
                  <w:vMerge w:val="restart"/>
                  <w:tcBorders>
                    <w:tl2br w:val="nil"/>
                    <w:tr2bl w:val="nil"/>
                  </w:tcBorders>
                  <w:noWrap w:val="0"/>
                  <w:vAlign w:val="center"/>
                </w:tcPr>
                <w:p w14:paraId="4A75F1AE">
                  <w:pPr>
                    <w:adjustRightInd w:val="0"/>
                    <w:snapToGrid w:val="0"/>
                    <w:spacing w:before="0" w:line="240" w:lineRule="auto"/>
                    <w:ind w:left="0"/>
                    <w:jc w:val="center"/>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pacing w:val="0"/>
                      <w:sz w:val="21"/>
                      <w:szCs w:val="21"/>
                    </w:rPr>
                    <w:t>声源名称</w:t>
                  </w:r>
                </w:p>
              </w:tc>
              <w:tc>
                <w:tcPr>
                  <w:tcW w:w="733" w:type="pct"/>
                  <w:vMerge w:val="restart"/>
                  <w:tcBorders>
                    <w:tl2br w:val="nil"/>
                    <w:tr2bl w:val="nil"/>
                  </w:tcBorders>
                  <w:noWrap w:val="0"/>
                  <w:vAlign w:val="center"/>
                </w:tcPr>
                <w:p w14:paraId="479A0D43">
                  <w:pPr>
                    <w:adjustRightInd w:val="0"/>
                    <w:snapToGrid w:val="0"/>
                    <w:spacing w:before="0" w:line="240" w:lineRule="auto"/>
                    <w:ind w:left="0"/>
                    <w:jc w:val="center"/>
                    <w:rPr>
                      <w:rFonts w:hint="default" w:ascii="Times New Roman" w:hAnsi="Times New Roman" w:eastAsia="仿宋" w:cs="Times New Roman"/>
                      <w:color w:val="auto"/>
                      <w:spacing w:val="0"/>
                      <w:sz w:val="21"/>
                      <w:szCs w:val="21"/>
                      <w:lang w:val="en-US" w:eastAsia="zh-CN"/>
                    </w:rPr>
                  </w:pPr>
                  <w:r>
                    <w:rPr>
                      <w:rFonts w:hint="eastAsia" w:ascii="Times New Roman" w:hAnsi="Times New Roman" w:eastAsia="仿宋" w:cs="Times New Roman"/>
                      <w:color w:val="auto"/>
                      <w:spacing w:val="0"/>
                      <w:sz w:val="21"/>
                      <w:szCs w:val="21"/>
                      <w:lang w:val="en-US" w:eastAsia="zh-CN"/>
                    </w:rPr>
                    <w:t>型号</w:t>
                  </w:r>
                </w:p>
              </w:tc>
              <w:tc>
                <w:tcPr>
                  <w:tcW w:w="1465" w:type="pct"/>
                  <w:gridSpan w:val="3"/>
                  <w:tcBorders>
                    <w:tl2br w:val="nil"/>
                    <w:tr2bl w:val="nil"/>
                  </w:tcBorders>
                  <w:noWrap w:val="0"/>
                  <w:vAlign w:val="center"/>
                </w:tcPr>
                <w:p w14:paraId="799E514E">
                  <w:pPr>
                    <w:adjustRightInd w:val="0"/>
                    <w:snapToGrid w:val="0"/>
                    <w:spacing w:before="0" w:line="240" w:lineRule="auto"/>
                    <w:ind w:left="0"/>
                    <w:jc w:val="center"/>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pacing w:val="0"/>
                      <w:sz w:val="21"/>
                      <w:szCs w:val="21"/>
                    </w:rPr>
                    <w:t>空间相对位置/m</w:t>
                  </w:r>
                </w:p>
              </w:tc>
              <w:tc>
                <w:tcPr>
                  <w:tcW w:w="803" w:type="pct"/>
                  <w:tcBorders>
                    <w:left w:val="single" w:color="auto" w:sz="4" w:space="0"/>
                    <w:tl2br w:val="nil"/>
                    <w:tr2bl w:val="nil"/>
                  </w:tcBorders>
                  <w:noWrap w:val="0"/>
                  <w:vAlign w:val="center"/>
                </w:tcPr>
                <w:p w14:paraId="73009178">
                  <w:pPr>
                    <w:adjustRightInd w:val="0"/>
                    <w:snapToGrid w:val="0"/>
                    <w:spacing w:before="0" w:line="240" w:lineRule="auto"/>
                    <w:ind w:left="0"/>
                    <w:jc w:val="center"/>
                    <w:rPr>
                      <w:rFonts w:hint="eastAsia" w:ascii="Times New Roman" w:hAnsi="Times New Roman" w:eastAsia="仿宋" w:cs="Times New Roman"/>
                      <w:color w:val="auto"/>
                      <w:spacing w:val="0"/>
                      <w:sz w:val="21"/>
                      <w:szCs w:val="21"/>
                    </w:rPr>
                  </w:pPr>
                  <w:r>
                    <w:rPr>
                      <w:rFonts w:hint="eastAsia" w:ascii="Times New Roman" w:hAnsi="Times New Roman" w:eastAsia="仿宋" w:cs="Times New Roman"/>
                      <w:color w:val="auto"/>
                      <w:spacing w:val="0"/>
                      <w:sz w:val="21"/>
                      <w:szCs w:val="21"/>
                    </w:rPr>
                    <w:t>声源源强</w:t>
                  </w:r>
                </w:p>
              </w:tc>
              <w:tc>
                <w:tcPr>
                  <w:tcW w:w="697" w:type="pct"/>
                  <w:vMerge w:val="restart"/>
                  <w:tcBorders>
                    <w:tl2br w:val="nil"/>
                    <w:tr2bl w:val="nil"/>
                  </w:tcBorders>
                  <w:noWrap w:val="0"/>
                  <w:vAlign w:val="center"/>
                </w:tcPr>
                <w:p w14:paraId="79D7B261">
                  <w:pPr>
                    <w:adjustRightInd w:val="0"/>
                    <w:snapToGrid w:val="0"/>
                    <w:spacing w:before="0" w:line="240" w:lineRule="auto"/>
                    <w:ind w:left="0"/>
                    <w:jc w:val="center"/>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pacing w:val="0"/>
                      <w:sz w:val="21"/>
                      <w:szCs w:val="21"/>
                    </w:rPr>
                    <w:t>声源控制措施</w:t>
                  </w:r>
                </w:p>
              </w:tc>
              <w:tc>
                <w:tcPr>
                  <w:tcW w:w="452" w:type="pct"/>
                  <w:vMerge w:val="restart"/>
                  <w:tcBorders>
                    <w:tl2br w:val="nil"/>
                    <w:tr2bl w:val="nil"/>
                  </w:tcBorders>
                  <w:noWrap w:val="0"/>
                  <w:vAlign w:val="center"/>
                </w:tcPr>
                <w:p w14:paraId="21D862A2">
                  <w:pPr>
                    <w:adjustRightInd w:val="0"/>
                    <w:snapToGrid w:val="0"/>
                    <w:spacing w:before="0" w:line="240" w:lineRule="auto"/>
                    <w:ind w:left="0"/>
                    <w:jc w:val="center"/>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pacing w:val="0"/>
                      <w:sz w:val="21"/>
                      <w:szCs w:val="21"/>
                    </w:rPr>
                    <w:t>运行时段</w:t>
                  </w:r>
                </w:p>
              </w:tc>
            </w:tr>
            <w:tr w14:paraId="1108A3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250" w:type="pct"/>
                  <w:vMerge w:val="continue"/>
                  <w:tcBorders>
                    <w:tl2br w:val="nil"/>
                    <w:tr2bl w:val="nil"/>
                  </w:tcBorders>
                  <w:noWrap w:val="0"/>
                  <w:vAlign w:val="center"/>
                </w:tcPr>
                <w:p w14:paraId="0AD50B1D">
                  <w:pPr>
                    <w:adjustRightInd w:val="0"/>
                    <w:snapToGrid w:val="0"/>
                    <w:jc w:val="center"/>
                    <w:rPr>
                      <w:rFonts w:hint="eastAsia" w:ascii="Times New Roman" w:hAnsi="Times New Roman" w:eastAsia="仿宋" w:cs="Times New Roman"/>
                      <w:color w:val="auto"/>
                      <w:sz w:val="21"/>
                      <w:szCs w:val="21"/>
                    </w:rPr>
                  </w:pPr>
                </w:p>
              </w:tc>
              <w:tc>
                <w:tcPr>
                  <w:tcW w:w="597" w:type="pct"/>
                  <w:vMerge w:val="continue"/>
                  <w:tcBorders>
                    <w:tl2br w:val="nil"/>
                    <w:tr2bl w:val="nil"/>
                  </w:tcBorders>
                  <w:noWrap w:val="0"/>
                  <w:vAlign w:val="center"/>
                </w:tcPr>
                <w:p w14:paraId="2318BEE3">
                  <w:pPr>
                    <w:adjustRightInd w:val="0"/>
                    <w:snapToGrid w:val="0"/>
                    <w:jc w:val="center"/>
                    <w:rPr>
                      <w:rFonts w:hint="eastAsia" w:ascii="Times New Roman" w:hAnsi="Times New Roman" w:eastAsia="仿宋" w:cs="Times New Roman"/>
                      <w:color w:val="auto"/>
                      <w:sz w:val="21"/>
                      <w:szCs w:val="21"/>
                    </w:rPr>
                  </w:pPr>
                </w:p>
              </w:tc>
              <w:tc>
                <w:tcPr>
                  <w:tcW w:w="733" w:type="pct"/>
                  <w:vMerge w:val="continue"/>
                  <w:tcBorders>
                    <w:tl2br w:val="nil"/>
                    <w:tr2bl w:val="nil"/>
                  </w:tcBorders>
                  <w:noWrap w:val="0"/>
                  <w:vAlign w:val="center"/>
                </w:tcPr>
                <w:p w14:paraId="042B86C5">
                  <w:pPr>
                    <w:adjustRightInd w:val="0"/>
                    <w:snapToGrid w:val="0"/>
                    <w:spacing w:before="0" w:line="240" w:lineRule="auto"/>
                    <w:ind w:left="0"/>
                    <w:jc w:val="center"/>
                    <w:rPr>
                      <w:rFonts w:hint="eastAsia" w:ascii="Times New Roman" w:hAnsi="Times New Roman" w:eastAsia="仿宋" w:cs="Times New Roman"/>
                      <w:i w:val="0"/>
                      <w:iCs w:val="0"/>
                      <w:color w:val="auto"/>
                      <w:spacing w:val="0"/>
                      <w:sz w:val="21"/>
                      <w:szCs w:val="21"/>
                    </w:rPr>
                  </w:pPr>
                </w:p>
              </w:tc>
              <w:tc>
                <w:tcPr>
                  <w:tcW w:w="502" w:type="pct"/>
                  <w:tcBorders>
                    <w:tl2br w:val="nil"/>
                    <w:tr2bl w:val="nil"/>
                  </w:tcBorders>
                  <w:noWrap w:val="0"/>
                  <w:vAlign w:val="center"/>
                </w:tcPr>
                <w:p w14:paraId="7433F905">
                  <w:pPr>
                    <w:adjustRightInd w:val="0"/>
                    <w:snapToGrid w:val="0"/>
                    <w:spacing w:before="0" w:line="240" w:lineRule="auto"/>
                    <w:ind w:left="0"/>
                    <w:jc w:val="center"/>
                    <w:rPr>
                      <w:rFonts w:hint="eastAsia" w:ascii="Times New Roman" w:hAnsi="Times New Roman" w:eastAsia="仿宋" w:cs="Times New Roman"/>
                      <w:color w:val="auto"/>
                      <w:sz w:val="21"/>
                      <w:szCs w:val="21"/>
                    </w:rPr>
                  </w:pPr>
                  <w:r>
                    <w:rPr>
                      <w:rFonts w:hint="eastAsia" w:ascii="Times New Roman" w:hAnsi="Times New Roman" w:eastAsia="仿宋" w:cs="Times New Roman"/>
                      <w:i w:val="0"/>
                      <w:iCs w:val="0"/>
                      <w:color w:val="auto"/>
                      <w:spacing w:val="0"/>
                      <w:sz w:val="21"/>
                      <w:szCs w:val="21"/>
                    </w:rPr>
                    <w:t>X</w:t>
                  </w:r>
                </w:p>
              </w:tc>
              <w:tc>
                <w:tcPr>
                  <w:tcW w:w="491" w:type="pct"/>
                  <w:tcBorders>
                    <w:tl2br w:val="nil"/>
                    <w:tr2bl w:val="nil"/>
                  </w:tcBorders>
                  <w:noWrap w:val="0"/>
                  <w:vAlign w:val="center"/>
                </w:tcPr>
                <w:p w14:paraId="69104B8B">
                  <w:pPr>
                    <w:adjustRightInd w:val="0"/>
                    <w:snapToGrid w:val="0"/>
                    <w:spacing w:before="0" w:line="240" w:lineRule="auto"/>
                    <w:ind w:left="0"/>
                    <w:jc w:val="center"/>
                    <w:rPr>
                      <w:rFonts w:hint="eastAsia" w:ascii="Times New Roman" w:hAnsi="Times New Roman" w:eastAsia="仿宋" w:cs="Times New Roman"/>
                      <w:color w:val="auto"/>
                      <w:sz w:val="21"/>
                      <w:szCs w:val="21"/>
                    </w:rPr>
                  </w:pPr>
                  <w:r>
                    <w:rPr>
                      <w:rFonts w:hint="eastAsia" w:ascii="Times New Roman" w:hAnsi="Times New Roman" w:eastAsia="仿宋" w:cs="Times New Roman"/>
                      <w:i w:val="0"/>
                      <w:iCs w:val="0"/>
                      <w:color w:val="auto"/>
                      <w:spacing w:val="0"/>
                      <w:sz w:val="21"/>
                      <w:szCs w:val="21"/>
                    </w:rPr>
                    <w:t>Y</w:t>
                  </w:r>
                </w:p>
              </w:tc>
              <w:tc>
                <w:tcPr>
                  <w:tcW w:w="472" w:type="pct"/>
                  <w:tcBorders>
                    <w:tl2br w:val="nil"/>
                    <w:tr2bl w:val="nil"/>
                  </w:tcBorders>
                  <w:noWrap w:val="0"/>
                  <w:vAlign w:val="center"/>
                </w:tcPr>
                <w:p w14:paraId="6EBD9E45">
                  <w:pPr>
                    <w:adjustRightInd w:val="0"/>
                    <w:snapToGrid w:val="0"/>
                    <w:spacing w:before="0" w:line="240" w:lineRule="auto"/>
                    <w:ind w:left="0"/>
                    <w:jc w:val="center"/>
                    <w:rPr>
                      <w:rFonts w:hint="eastAsia" w:ascii="Times New Roman" w:hAnsi="Times New Roman" w:eastAsia="仿宋" w:cs="Times New Roman"/>
                      <w:color w:val="auto"/>
                      <w:sz w:val="21"/>
                      <w:szCs w:val="21"/>
                    </w:rPr>
                  </w:pPr>
                  <w:r>
                    <w:rPr>
                      <w:rFonts w:hint="eastAsia" w:ascii="Times New Roman" w:hAnsi="Times New Roman" w:eastAsia="仿宋" w:cs="Times New Roman"/>
                      <w:i w:val="0"/>
                      <w:iCs w:val="0"/>
                      <w:color w:val="auto"/>
                      <w:spacing w:val="0"/>
                      <w:sz w:val="21"/>
                      <w:szCs w:val="21"/>
                    </w:rPr>
                    <w:t>Z</w:t>
                  </w:r>
                </w:p>
              </w:tc>
              <w:tc>
                <w:tcPr>
                  <w:tcW w:w="803" w:type="pct"/>
                  <w:tcBorders>
                    <w:left w:val="single" w:color="auto" w:sz="4" w:space="0"/>
                    <w:tl2br w:val="nil"/>
                    <w:tr2bl w:val="nil"/>
                  </w:tcBorders>
                  <w:noWrap w:val="0"/>
                  <w:vAlign w:val="center"/>
                </w:tcPr>
                <w:p w14:paraId="4FDC2099">
                  <w:pPr>
                    <w:adjustRightInd w:val="0"/>
                    <w:snapToGrid w:val="0"/>
                    <w:spacing w:before="0" w:line="240" w:lineRule="auto"/>
                    <w:ind w:left="0"/>
                    <w:jc w:val="center"/>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pacing w:val="0"/>
                      <w:sz w:val="21"/>
                      <w:szCs w:val="21"/>
                    </w:rPr>
                    <w:t>声功率级/dB(</w:t>
                  </w:r>
                  <w:r>
                    <w:rPr>
                      <w:rFonts w:hint="eastAsia" w:ascii="Times New Roman" w:hAnsi="Times New Roman" w:eastAsia="仿宋" w:cs="Times New Roman"/>
                      <w:color w:val="auto"/>
                      <w:sz w:val="21"/>
                      <w:szCs w:val="21"/>
                    </w:rPr>
                    <w:t>A</w:t>
                  </w:r>
                  <w:r>
                    <w:rPr>
                      <w:rFonts w:hint="eastAsia" w:ascii="Times New Roman" w:hAnsi="Times New Roman" w:eastAsia="仿宋" w:cs="Times New Roman"/>
                      <w:color w:val="auto"/>
                      <w:spacing w:val="0"/>
                      <w:sz w:val="21"/>
                      <w:szCs w:val="21"/>
                    </w:rPr>
                    <w:t>)</w:t>
                  </w:r>
                </w:p>
              </w:tc>
              <w:tc>
                <w:tcPr>
                  <w:tcW w:w="697" w:type="pct"/>
                  <w:vMerge w:val="continue"/>
                  <w:tcBorders>
                    <w:tl2br w:val="nil"/>
                    <w:tr2bl w:val="nil"/>
                  </w:tcBorders>
                  <w:noWrap w:val="0"/>
                  <w:vAlign w:val="center"/>
                </w:tcPr>
                <w:p w14:paraId="4FA76B0D">
                  <w:pPr>
                    <w:adjustRightInd w:val="0"/>
                    <w:snapToGrid w:val="0"/>
                    <w:jc w:val="center"/>
                    <w:rPr>
                      <w:rFonts w:hint="eastAsia" w:ascii="Times New Roman" w:hAnsi="Times New Roman" w:eastAsia="仿宋" w:cs="Times New Roman"/>
                      <w:color w:val="auto"/>
                      <w:sz w:val="21"/>
                      <w:szCs w:val="21"/>
                    </w:rPr>
                  </w:pPr>
                </w:p>
              </w:tc>
              <w:tc>
                <w:tcPr>
                  <w:tcW w:w="452" w:type="pct"/>
                  <w:vMerge w:val="continue"/>
                  <w:tcBorders>
                    <w:tl2br w:val="nil"/>
                    <w:tr2bl w:val="nil"/>
                  </w:tcBorders>
                  <w:noWrap w:val="0"/>
                  <w:vAlign w:val="center"/>
                </w:tcPr>
                <w:p w14:paraId="2EE3D932">
                  <w:pPr>
                    <w:adjustRightInd w:val="0"/>
                    <w:snapToGrid w:val="0"/>
                    <w:jc w:val="center"/>
                    <w:rPr>
                      <w:rFonts w:hint="eastAsia" w:ascii="Times New Roman" w:hAnsi="Times New Roman" w:eastAsia="仿宋" w:cs="Times New Roman"/>
                      <w:color w:val="auto"/>
                      <w:sz w:val="21"/>
                      <w:szCs w:val="21"/>
                    </w:rPr>
                  </w:pPr>
                </w:p>
              </w:tc>
            </w:tr>
            <w:tr w14:paraId="29A864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0" w:type="pct"/>
                  <w:tcBorders>
                    <w:tl2br w:val="nil"/>
                    <w:tr2bl w:val="nil"/>
                  </w:tcBorders>
                  <w:noWrap w:val="0"/>
                  <w:vAlign w:val="center"/>
                </w:tcPr>
                <w:p w14:paraId="4923A3D8">
                  <w:pPr>
                    <w:adjustRightInd w:val="0"/>
                    <w:snapToGrid w:val="0"/>
                    <w:spacing w:before="0" w:line="240" w:lineRule="auto"/>
                    <w:ind w:left="0"/>
                    <w:jc w:val="center"/>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w:t>
                  </w:r>
                </w:p>
              </w:tc>
              <w:tc>
                <w:tcPr>
                  <w:tcW w:w="597" w:type="pct"/>
                  <w:tcBorders>
                    <w:tl2br w:val="nil"/>
                    <w:tr2bl w:val="nil"/>
                  </w:tcBorders>
                  <w:shd w:val="clear" w:color="auto" w:fill="auto"/>
                  <w:noWrap w:val="0"/>
                  <w:vAlign w:val="center"/>
                </w:tcPr>
                <w:p w14:paraId="38C14BAC">
                  <w:pPr>
                    <w:adjustRightInd w:val="0"/>
                    <w:snapToGrid w:val="0"/>
                    <w:spacing w:before="0" w:line="240" w:lineRule="auto"/>
                    <w:ind w:left="0" w:leftChars="0"/>
                    <w:jc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rPr>
                    <w:t>废气处理风机</w:t>
                  </w:r>
                </w:p>
              </w:tc>
              <w:tc>
                <w:tcPr>
                  <w:tcW w:w="733" w:type="pct"/>
                  <w:tcBorders>
                    <w:tl2br w:val="nil"/>
                    <w:tr2bl w:val="nil"/>
                  </w:tcBorders>
                  <w:shd w:val="clear" w:color="auto" w:fill="auto"/>
                  <w:noWrap w:val="0"/>
                  <w:vAlign w:val="center"/>
                </w:tcPr>
                <w:p w14:paraId="7B1293D6">
                  <w:pPr>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5000m</w:t>
                  </w:r>
                  <w:r>
                    <w:rPr>
                      <w:rFonts w:hint="eastAsia"/>
                      <w:color w:val="auto"/>
                      <w:vertAlign w:val="superscript"/>
                      <w:lang w:val="en-US" w:eastAsia="zh-CN"/>
                    </w:rPr>
                    <w:t>3</w:t>
                  </w:r>
                  <w:r>
                    <w:rPr>
                      <w:rFonts w:hint="eastAsia" w:ascii="Times New Roman" w:hAnsi="Times New Roman" w:eastAsia="仿宋" w:cs="Times New Roman"/>
                      <w:color w:val="auto"/>
                      <w:sz w:val="21"/>
                      <w:szCs w:val="21"/>
                      <w:lang w:val="en-US" w:eastAsia="zh-CN"/>
                    </w:rPr>
                    <w:t>/h</w:t>
                  </w:r>
                  <w:r>
                    <w:rPr>
                      <w:rFonts w:hint="eastAsia" w:eastAsia="仿宋" w:cs="Times New Roman"/>
                      <w:color w:val="auto"/>
                      <w:sz w:val="21"/>
                      <w:szCs w:val="21"/>
                      <w:lang w:val="en-US" w:eastAsia="zh-CN"/>
                    </w:rPr>
                    <w:t>（TA001）</w:t>
                  </w:r>
                </w:p>
              </w:tc>
              <w:tc>
                <w:tcPr>
                  <w:tcW w:w="502" w:type="pct"/>
                  <w:tcBorders>
                    <w:tl2br w:val="nil"/>
                    <w:tr2bl w:val="nil"/>
                  </w:tcBorders>
                  <w:shd w:val="clear" w:color="auto" w:fill="auto"/>
                  <w:noWrap w:val="0"/>
                  <w:vAlign w:val="center"/>
                </w:tcPr>
                <w:p w14:paraId="4406EF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35</w:t>
                  </w:r>
                </w:p>
              </w:tc>
              <w:tc>
                <w:tcPr>
                  <w:tcW w:w="491" w:type="pct"/>
                  <w:tcBorders>
                    <w:tl2br w:val="nil"/>
                    <w:tr2bl w:val="nil"/>
                  </w:tcBorders>
                  <w:shd w:val="clear" w:color="auto" w:fill="auto"/>
                  <w:noWrap w:val="0"/>
                  <w:vAlign w:val="center"/>
                </w:tcPr>
                <w:p w14:paraId="727AA3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36</w:t>
                  </w:r>
                </w:p>
              </w:tc>
              <w:tc>
                <w:tcPr>
                  <w:tcW w:w="472" w:type="pct"/>
                  <w:tcBorders>
                    <w:tl2br w:val="nil"/>
                    <w:tr2bl w:val="nil"/>
                  </w:tcBorders>
                  <w:shd w:val="clear" w:color="auto" w:fill="auto"/>
                  <w:noWrap w:val="0"/>
                  <w:vAlign w:val="center"/>
                </w:tcPr>
                <w:p w14:paraId="62FC81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803" w:type="pct"/>
                  <w:tcBorders>
                    <w:tl2br w:val="nil"/>
                    <w:tr2bl w:val="nil"/>
                  </w:tcBorders>
                  <w:shd w:val="clear" w:color="auto" w:fill="auto"/>
                  <w:noWrap w:val="0"/>
                  <w:vAlign w:val="center"/>
                </w:tcPr>
                <w:p w14:paraId="32802C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85</w:t>
                  </w:r>
                </w:p>
              </w:tc>
              <w:tc>
                <w:tcPr>
                  <w:tcW w:w="697" w:type="pct"/>
                  <w:vMerge w:val="restart"/>
                  <w:tcBorders>
                    <w:tl2br w:val="nil"/>
                    <w:tr2bl w:val="nil"/>
                  </w:tcBorders>
                  <w:shd w:val="clear" w:color="auto" w:fill="auto"/>
                  <w:noWrap w:val="0"/>
                  <w:vAlign w:val="center"/>
                </w:tcPr>
                <w:p w14:paraId="31ECE495">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rPr>
                  </w:pPr>
                  <w:r>
                    <w:rPr>
                      <w:rFonts w:hint="eastAsia" w:ascii="Times New Roman" w:hAnsi="Times New Roman" w:eastAsia="仿宋" w:cs="Times New Roman"/>
                      <w:color w:val="auto"/>
                      <w:sz w:val="21"/>
                      <w:szCs w:val="21"/>
                      <w:lang w:val="en-US" w:eastAsia="zh-CN"/>
                    </w:rPr>
                    <w:t>选用低噪声设备、距离衰减、</w:t>
                  </w:r>
                  <w:r>
                    <w:rPr>
                      <w:rFonts w:hint="eastAsia" w:eastAsia="仿宋" w:cs="Times New Roman"/>
                      <w:color w:val="auto"/>
                      <w:sz w:val="21"/>
                      <w:szCs w:val="21"/>
                      <w:lang w:val="en-US" w:eastAsia="zh-CN"/>
                    </w:rPr>
                    <w:t>减震</w:t>
                  </w:r>
                  <w:r>
                    <w:rPr>
                      <w:rFonts w:hint="eastAsia" w:ascii="Times New Roman" w:hAnsi="Times New Roman" w:eastAsia="仿宋" w:cs="Times New Roman"/>
                      <w:color w:val="auto"/>
                      <w:sz w:val="21"/>
                      <w:szCs w:val="21"/>
                      <w:lang w:val="en-US" w:eastAsia="zh-CN"/>
                    </w:rPr>
                    <w:t>消声20dB(A)</w:t>
                  </w:r>
                </w:p>
              </w:tc>
              <w:tc>
                <w:tcPr>
                  <w:tcW w:w="452" w:type="pct"/>
                  <w:vMerge w:val="restart"/>
                  <w:tcBorders>
                    <w:tl2br w:val="nil"/>
                    <w:tr2bl w:val="nil"/>
                  </w:tcBorders>
                  <w:noWrap w:val="0"/>
                  <w:vAlign w:val="center"/>
                </w:tcPr>
                <w:p w14:paraId="077E54C3">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工作期间</w:t>
                  </w:r>
                </w:p>
              </w:tc>
            </w:tr>
            <w:tr w14:paraId="490FEB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0" w:type="pct"/>
                  <w:tcBorders>
                    <w:tl2br w:val="nil"/>
                    <w:tr2bl w:val="nil"/>
                  </w:tcBorders>
                  <w:noWrap w:val="0"/>
                  <w:vAlign w:val="center"/>
                </w:tcPr>
                <w:p w14:paraId="2FDD5DCC">
                  <w:pPr>
                    <w:adjustRightInd w:val="0"/>
                    <w:snapToGrid w:val="0"/>
                    <w:spacing w:before="0" w:line="240" w:lineRule="auto"/>
                    <w:ind w:left="0"/>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w:t>
                  </w:r>
                </w:p>
              </w:tc>
              <w:tc>
                <w:tcPr>
                  <w:tcW w:w="597" w:type="pct"/>
                  <w:tcBorders>
                    <w:tl2br w:val="nil"/>
                    <w:tr2bl w:val="nil"/>
                  </w:tcBorders>
                  <w:noWrap w:val="0"/>
                  <w:vAlign w:val="center"/>
                </w:tcPr>
                <w:p w14:paraId="602DAB5E">
                  <w:pPr>
                    <w:adjustRightInd w:val="0"/>
                    <w:snapToGrid w:val="0"/>
                    <w:spacing w:before="0" w:line="240" w:lineRule="auto"/>
                    <w:ind w:left="0" w:leftChars="0"/>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 w:val="21"/>
                      <w:szCs w:val="21"/>
                    </w:rPr>
                    <w:t>废气处理风机</w:t>
                  </w:r>
                </w:p>
              </w:tc>
              <w:tc>
                <w:tcPr>
                  <w:tcW w:w="733" w:type="pct"/>
                  <w:tcBorders>
                    <w:tl2br w:val="nil"/>
                    <w:tr2bl w:val="nil"/>
                  </w:tcBorders>
                  <w:noWrap w:val="0"/>
                  <w:vAlign w:val="center"/>
                </w:tcPr>
                <w:p w14:paraId="21571D83">
                  <w:pPr>
                    <w:adjustRightInd w:val="0"/>
                    <w:snapToGrid w:val="0"/>
                    <w:jc w:val="center"/>
                    <w:rPr>
                      <w:rFonts w:hint="eastAsia" w:ascii="Times New Roman" w:hAnsi="Times New Roman" w:eastAsia="宋体"/>
                      <w:color w:val="auto"/>
                      <w:kern w:val="2"/>
                      <w:sz w:val="21"/>
                      <w:szCs w:val="24"/>
                      <w:lang w:val="en-US" w:eastAsia="zh-CN" w:bidi="ar-SA"/>
                    </w:rPr>
                  </w:pPr>
                  <w:r>
                    <w:rPr>
                      <w:rFonts w:hint="eastAsia"/>
                      <w:color w:val="auto"/>
                      <w:lang w:val="en-US" w:eastAsia="zh-CN"/>
                    </w:rPr>
                    <w:t>15000m</w:t>
                  </w:r>
                  <w:r>
                    <w:rPr>
                      <w:rFonts w:hint="eastAsia"/>
                      <w:color w:val="auto"/>
                      <w:vertAlign w:val="superscript"/>
                      <w:lang w:val="en-US" w:eastAsia="zh-CN"/>
                    </w:rPr>
                    <w:t>3</w:t>
                  </w:r>
                  <w:r>
                    <w:rPr>
                      <w:rFonts w:hint="eastAsia" w:ascii="Times New Roman" w:hAnsi="Times New Roman" w:eastAsia="仿宋" w:cs="Times New Roman"/>
                      <w:color w:val="auto"/>
                      <w:sz w:val="21"/>
                      <w:szCs w:val="21"/>
                      <w:lang w:val="en-US" w:eastAsia="zh-CN"/>
                    </w:rPr>
                    <w:t>/h</w:t>
                  </w:r>
                  <w:r>
                    <w:rPr>
                      <w:rFonts w:hint="eastAsia" w:eastAsia="仿宋" w:cs="Times New Roman"/>
                      <w:color w:val="auto"/>
                      <w:sz w:val="21"/>
                      <w:szCs w:val="21"/>
                      <w:lang w:val="en-US" w:eastAsia="zh-CN"/>
                    </w:rPr>
                    <w:t>（TA002）</w:t>
                  </w:r>
                </w:p>
              </w:tc>
              <w:tc>
                <w:tcPr>
                  <w:tcW w:w="502" w:type="pct"/>
                  <w:tcBorders>
                    <w:tl2br w:val="nil"/>
                    <w:tr2bl w:val="nil"/>
                  </w:tcBorders>
                  <w:noWrap w:val="0"/>
                  <w:vAlign w:val="center"/>
                </w:tcPr>
                <w:p w14:paraId="49D98BC3">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26</w:t>
                  </w:r>
                </w:p>
              </w:tc>
              <w:tc>
                <w:tcPr>
                  <w:tcW w:w="491" w:type="pct"/>
                  <w:tcBorders>
                    <w:tl2br w:val="nil"/>
                    <w:tr2bl w:val="nil"/>
                  </w:tcBorders>
                  <w:noWrap w:val="0"/>
                  <w:vAlign w:val="center"/>
                </w:tcPr>
                <w:p w14:paraId="46167716">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75</w:t>
                  </w:r>
                </w:p>
              </w:tc>
              <w:tc>
                <w:tcPr>
                  <w:tcW w:w="472" w:type="pct"/>
                  <w:tcBorders>
                    <w:tl2br w:val="nil"/>
                    <w:tr2bl w:val="nil"/>
                  </w:tcBorders>
                  <w:noWrap w:val="0"/>
                  <w:vAlign w:val="center"/>
                </w:tcPr>
                <w:p w14:paraId="37156D82">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w:t>
                  </w:r>
                </w:p>
              </w:tc>
              <w:tc>
                <w:tcPr>
                  <w:tcW w:w="803" w:type="pct"/>
                  <w:tcBorders>
                    <w:tl2br w:val="nil"/>
                    <w:tr2bl w:val="nil"/>
                  </w:tcBorders>
                  <w:noWrap w:val="0"/>
                  <w:vAlign w:val="center"/>
                </w:tcPr>
                <w:p w14:paraId="7689FF19">
                  <w:pPr>
                    <w:adjustRightInd w:val="0"/>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85</w:t>
                  </w:r>
                </w:p>
              </w:tc>
              <w:tc>
                <w:tcPr>
                  <w:tcW w:w="697" w:type="pct"/>
                  <w:vMerge w:val="continue"/>
                  <w:tcBorders>
                    <w:tl2br w:val="nil"/>
                    <w:tr2bl w:val="nil"/>
                  </w:tcBorders>
                  <w:noWrap w:val="0"/>
                  <w:vAlign w:val="center"/>
                </w:tcPr>
                <w:p w14:paraId="2A31C131">
                  <w:pPr>
                    <w:adjustRightInd w:val="0"/>
                    <w:snapToGrid w:val="0"/>
                    <w:jc w:val="center"/>
                    <w:rPr>
                      <w:rFonts w:hint="eastAsia" w:ascii="Times New Roman" w:hAnsi="Times New Roman" w:eastAsia="仿宋" w:cs="Times New Roman"/>
                      <w:color w:val="auto"/>
                      <w:sz w:val="21"/>
                      <w:szCs w:val="21"/>
                      <w:lang w:val="en-US" w:eastAsia="zh-CN"/>
                    </w:rPr>
                  </w:pPr>
                </w:p>
              </w:tc>
              <w:tc>
                <w:tcPr>
                  <w:tcW w:w="452" w:type="pct"/>
                  <w:vMerge w:val="continue"/>
                  <w:tcBorders>
                    <w:tl2br w:val="nil"/>
                    <w:tr2bl w:val="nil"/>
                  </w:tcBorders>
                  <w:noWrap w:val="0"/>
                  <w:vAlign w:val="center"/>
                </w:tcPr>
                <w:p w14:paraId="5F645A10">
                  <w:pPr>
                    <w:adjustRightInd w:val="0"/>
                    <w:snapToGrid w:val="0"/>
                    <w:jc w:val="center"/>
                    <w:rPr>
                      <w:rFonts w:hint="eastAsia" w:ascii="Times New Roman" w:hAnsi="Times New Roman" w:eastAsia="仿宋" w:cs="Times New Roman"/>
                      <w:color w:val="auto"/>
                      <w:sz w:val="21"/>
                      <w:szCs w:val="21"/>
                      <w:lang w:val="en-US" w:eastAsia="zh-CN"/>
                    </w:rPr>
                  </w:pPr>
                </w:p>
              </w:tc>
            </w:tr>
            <w:tr w14:paraId="7539D2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0" w:type="pct"/>
                  <w:tcBorders>
                    <w:tl2br w:val="nil"/>
                    <w:tr2bl w:val="nil"/>
                  </w:tcBorders>
                  <w:noWrap w:val="0"/>
                  <w:vAlign w:val="center"/>
                </w:tcPr>
                <w:p w14:paraId="3130A8B2">
                  <w:pPr>
                    <w:adjustRightInd w:val="0"/>
                    <w:snapToGrid w:val="0"/>
                    <w:spacing w:before="0" w:line="240" w:lineRule="auto"/>
                    <w:ind w:left="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3</w:t>
                  </w:r>
                </w:p>
              </w:tc>
              <w:tc>
                <w:tcPr>
                  <w:tcW w:w="597" w:type="pct"/>
                  <w:tcBorders>
                    <w:tl2br w:val="nil"/>
                    <w:tr2bl w:val="nil"/>
                  </w:tcBorders>
                  <w:noWrap w:val="0"/>
                  <w:vAlign w:val="center"/>
                </w:tcPr>
                <w:p w14:paraId="4DA980D1">
                  <w:pPr>
                    <w:adjustRightInd w:val="0"/>
                    <w:snapToGrid w:val="0"/>
                    <w:spacing w:before="0" w:line="240" w:lineRule="auto"/>
                    <w:ind w:left="0" w:lef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喷淋塔</w:t>
                  </w:r>
                </w:p>
              </w:tc>
              <w:tc>
                <w:tcPr>
                  <w:tcW w:w="733" w:type="pct"/>
                  <w:tcBorders>
                    <w:tl2br w:val="nil"/>
                    <w:tr2bl w:val="nil"/>
                  </w:tcBorders>
                  <w:noWrap w:val="0"/>
                  <w:vAlign w:val="center"/>
                </w:tcPr>
                <w:p w14:paraId="4F6202FD">
                  <w:pPr>
                    <w:adjustRightInd w:val="0"/>
                    <w:snapToGrid w:val="0"/>
                    <w:jc w:val="center"/>
                    <w:rPr>
                      <w:rFonts w:hint="eastAsia" w:ascii="Times New Roman" w:hAnsi="Times New Roman" w:eastAsia="宋体"/>
                      <w:color w:val="auto"/>
                      <w:kern w:val="2"/>
                      <w:sz w:val="21"/>
                      <w:szCs w:val="24"/>
                      <w:lang w:val="en-US" w:eastAsia="zh-CN" w:bidi="ar-SA"/>
                    </w:rPr>
                  </w:pPr>
                  <w:r>
                    <w:rPr>
                      <w:rFonts w:hint="eastAsia"/>
                      <w:color w:val="auto"/>
                      <w:lang w:val="en-US" w:eastAsia="zh-CN"/>
                    </w:rPr>
                    <w:t>/</w:t>
                  </w:r>
                </w:p>
              </w:tc>
              <w:tc>
                <w:tcPr>
                  <w:tcW w:w="502" w:type="pct"/>
                  <w:tcBorders>
                    <w:tl2br w:val="nil"/>
                    <w:tr2bl w:val="nil"/>
                  </w:tcBorders>
                  <w:noWrap w:val="0"/>
                  <w:vAlign w:val="center"/>
                </w:tcPr>
                <w:p w14:paraId="5BC3B1B7">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21</w:t>
                  </w:r>
                </w:p>
              </w:tc>
              <w:tc>
                <w:tcPr>
                  <w:tcW w:w="491" w:type="pct"/>
                  <w:tcBorders>
                    <w:tl2br w:val="nil"/>
                    <w:tr2bl w:val="nil"/>
                  </w:tcBorders>
                  <w:noWrap w:val="0"/>
                  <w:vAlign w:val="center"/>
                </w:tcPr>
                <w:p w14:paraId="37F68429">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80</w:t>
                  </w:r>
                </w:p>
              </w:tc>
              <w:tc>
                <w:tcPr>
                  <w:tcW w:w="472" w:type="pct"/>
                  <w:tcBorders>
                    <w:tl2br w:val="nil"/>
                    <w:tr2bl w:val="nil"/>
                  </w:tcBorders>
                  <w:noWrap w:val="0"/>
                  <w:vAlign w:val="center"/>
                </w:tcPr>
                <w:p w14:paraId="41439973">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803" w:type="pct"/>
                  <w:tcBorders>
                    <w:tl2br w:val="nil"/>
                    <w:tr2bl w:val="nil"/>
                  </w:tcBorders>
                  <w:noWrap w:val="0"/>
                  <w:vAlign w:val="center"/>
                </w:tcPr>
                <w:p w14:paraId="4D752E20">
                  <w:pPr>
                    <w:adjustRightInd w:val="0"/>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80</w:t>
                  </w:r>
                </w:p>
              </w:tc>
              <w:tc>
                <w:tcPr>
                  <w:tcW w:w="697" w:type="pct"/>
                  <w:vMerge w:val="continue"/>
                  <w:tcBorders>
                    <w:tl2br w:val="nil"/>
                    <w:tr2bl w:val="nil"/>
                  </w:tcBorders>
                  <w:noWrap w:val="0"/>
                  <w:vAlign w:val="center"/>
                </w:tcPr>
                <w:p w14:paraId="35C5075B">
                  <w:pPr>
                    <w:adjustRightInd w:val="0"/>
                    <w:snapToGrid w:val="0"/>
                    <w:jc w:val="center"/>
                    <w:rPr>
                      <w:rFonts w:hint="eastAsia" w:ascii="Times New Roman" w:hAnsi="Times New Roman" w:eastAsia="仿宋" w:cs="Times New Roman"/>
                      <w:color w:val="auto"/>
                      <w:sz w:val="21"/>
                      <w:szCs w:val="21"/>
                      <w:lang w:val="en-US" w:eastAsia="zh-CN"/>
                    </w:rPr>
                  </w:pPr>
                </w:p>
              </w:tc>
              <w:tc>
                <w:tcPr>
                  <w:tcW w:w="452" w:type="pct"/>
                  <w:vMerge w:val="continue"/>
                  <w:tcBorders>
                    <w:tl2br w:val="nil"/>
                    <w:tr2bl w:val="nil"/>
                  </w:tcBorders>
                  <w:noWrap w:val="0"/>
                  <w:vAlign w:val="center"/>
                </w:tcPr>
                <w:p w14:paraId="5A8E19FD">
                  <w:pPr>
                    <w:adjustRightInd w:val="0"/>
                    <w:snapToGrid w:val="0"/>
                    <w:jc w:val="center"/>
                    <w:rPr>
                      <w:rFonts w:hint="eastAsia" w:ascii="Times New Roman" w:hAnsi="Times New Roman" w:eastAsia="仿宋" w:cs="Times New Roman"/>
                      <w:color w:val="auto"/>
                      <w:sz w:val="21"/>
                      <w:szCs w:val="21"/>
                      <w:lang w:val="en-US" w:eastAsia="zh-CN"/>
                    </w:rPr>
                  </w:pPr>
                </w:p>
              </w:tc>
            </w:tr>
          </w:tbl>
          <w:p w14:paraId="7BF1F6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lang w:val="en-US" w:eastAsia="zh-CN"/>
              </w:rPr>
              <w:t>注：以生产车间</w:t>
            </w:r>
            <w:r>
              <w:rPr>
                <w:rFonts w:hint="eastAsia" w:ascii="Times New Roman" w:hAnsi="Times New Roman" w:cs="Times New Roman"/>
                <w:b/>
                <w:bCs/>
                <w:color w:val="auto"/>
                <w:lang w:val="en-US" w:eastAsia="zh-CN"/>
              </w:rPr>
              <w:t>西南</w:t>
            </w:r>
            <w:r>
              <w:rPr>
                <w:rFonts w:hint="default" w:ascii="Times New Roman" w:hAnsi="Times New Roman" w:cs="Times New Roman"/>
                <w:b/>
                <w:bCs/>
                <w:color w:val="auto"/>
                <w:lang w:val="en-US" w:eastAsia="zh-CN"/>
              </w:rPr>
              <w:t>角</w:t>
            </w:r>
            <w:r>
              <w:rPr>
                <w:rFonts w:hint="eastAsia" w:cs="Times New Roman"/>
                <w:b/>
                <w:bCs/>
                <w:color w:val="auto"/>
                <w:sz w:val="21"/>
                <w:szCs w:val="21"/>
                <w:lang w:val="en-US" w:eastAsia="zh-CN"/>
              </w:rPr>
              <w:t>为坐标原点（0,0,0）。</w:t>
            </w:r>
          </w:p>
          <w:p w14:paraId="79EC3F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
                <w:bCs/>
                <w:color w:val="auto"/>
                <w:lang w:val="en-US" w:eastAsia="zh-CN"/>
              </w:rPr>
            </w:pPr>
          </w:p>
          <w:p w14:paraId="761825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rPr>
            </w:pPr>
          </w:p>
        </w:tc>
      </w:tr>
    </w:tbl>
    <w:p w14:paraId="2426DD72">
      <w:pPr>
        <w:pStyle w:val="8"/>
        <w:jc w:val="center"/>
        <w:rPr>
          <w:rFonts w:hint="default" w:ascii="Times New Roman" w:hAnsi="Times New Roman" w:cs="Times New Roman"/>
          <w:bCs/>
          <w:color w:val="auto"/>
          <w:sz w:val="24"/>
          <w:szCs w:val="24"/>
        </w:rPr>
        <w:sectPr>
          <w:pgSz w:w="16838" w:h="11905" w:orient="landscape"/>
          <w:pgMar w:top="1088" w:right="1191" w:bottom="1400" w:left="1417"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8942"/>
      </w:tblGrid>
      <w:tr w14:paraId="1057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4" w:hRule="atLeast"/>
          <w:jc w:val="center"/>
        </w:trPr>
        <w:tc>
          <w:tcPr>
            <w:tcW w:w="691" w:type="dxa"/>
            <w:noWrap w:val="0"/>
            <w:vAlign w:val="center"/>
          </w:tcPr>
          <w:p w14:paraId="5D6A4473">
            <w:pPr>
              <w:pStyle w:val="13"/>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val="0"/>
                <w:bCs/>
                <w:color w:val="auto"/>
                <w:sz w:val="21"/>
                <w:szCs w:val="21"/>
              </w:rPr>
              <w:t>运营期环境影响和保护措施</w:t>
            </w:r>
          </w:p>
        </w:tc>
        <w:tc>
          <w:tcPr>
            <w:tcW w:w="8942" w:type="dxa"/>
            <w:noWrap w:val="0"/>
            <w:vAlign w:val="top"/>
          </w:tcPr>
          <w:p w14:paraId="12F116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（1）污染防治措施</w:t>
            </w:r>
          </w:p>
          <w:p w14:paraId="6E92D5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①控制设备噪声，在工艺设计上尽量选用低噪声设备，从声源上降低设备本身噪声，提高机械装配精度，减少机械振动和摩擦产生的噪声，防止共振。</w:t>
            </w:r>
          </w:p>
          <w:p w14:paraId="59BA21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②合理布局，在项目布置时，将噪声源较集中的设备布置在厂区车间的中央，</w:t>
            </w:r>
            <w:r>
              <w:rPr>
                <w:rFonts w:hint="eastAsia" w:cs="Times New Roman"/>
                <w:color w:val="auto"/>
                <w:lang w:val="en-US" w:eastAsia="zh-CN"/>
              </w:rPr>
              <w:t>其他噪声源</w:t>
            </w:r>
            <w:r>
              <w:rPr>
                <w:rFonts w:hint="default" w:ascii="Times New Roman" w:hAnsi="Times New Roman" w:cs="Times New Roman"/>
                <w:color w:val="auto"/>
                <w:lang w:val="en-US" w:eastAsia="zh-CN"/>
              </w:rPr>
              <w:t>亦尽可能远离厂界，充分利用建筑物、构建物来阻挡声波的传播，以减轻对外界环境的影响。</w:t>
            </w:r>
          </w:p>
          <w:p w14:paraId="2100FC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③采取噪声防治措施，主要噪声设备采取隔声、减震等降噪措施，如安装减震垫，同时车间合理设置隔断；平时加强机械的维护，杜绝因设备不正常运转时发出的噪声。</w:t>
            </w:r>
          </w:p>
          <w:p w14:paraId="05E6ED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④加强管理，加强员工操作管理，尽可能减少操作撞击、汽车鸣笛等偶发噪声。</w:t>
            </w:r>
          </w:p>
          <w:p w14:paraId="0E1EBB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（2）达标情况分析</w:t>
            </w:r>
          </w:p>
          <w:p w14:paraId="1929B0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本项目噪声源主要</w:t>
            </w:r>
            <w:r>
              <w:rPr>
                <w:rFonts w:hint="eastAsia" w:cs="Times New Roman"/>
                <w:color w:val="auto"/>
                <w:lang w:val="en-US" w:eastAsia="zh-CN"/>
              </w:rPr>
              <w:t>来自</w:t>
            </w:r>
            <w:r>
              <w:rPr>
                <w:rFonts w:hint="default" w:ascii="Times New Roman" w:hAnsi="Times New Roman" w:cs="Times New Roman"/>
                <w:color w:val="auto"/>
                <w:lang w:val="en-US" w:eastAsia="zh-CN"/>
              </w:rPr>
              <w:t>机械设备运行时产生的机械噪声，源强约为75～9</w:t>
            </w:r>
            <w:r>
              <w:rPr>
                <w:rFonts w:hint="eastAsia" w:cs="Times New Roman"/>
                <w:color w:val="auto"/>
                <w:lang w:val="en-US" w:eastAsia="zh-CN"/>
              </w:rPr>
              <w:t>0</w:t>
            </w:r>
            <w:r>
              <w:rPr>
                <w:rFonts w:hint="default" w:ascii="Times New Roman" w:hAnsi="Times New Roman" w:cs="Times New Roman"/>
                <w:color w:val="auto"/>
                <w:lang w:val="en-US" w:eastAsia="zh-CN"/>
              </w:rPr>
              <w:t>dB(A)，拟采取</w:t>
            </w:r>
            <w:r>
              <w:rPr>
                <w:rFonts w:hint="eastAsia" w:cs="Times New Roman"/>
                <w:color w:val="auto"/>
                <w:lang w:val="en-US" w:eastAsia="zh-CN"/>
              </w:rPr>
              <w:t>减震</w:t>
            </w:r>
            <w:r>
              <w:rPr>
                <w:rFonts w:hint="default" w:ascii="Times New Roman" w:hAnsi="Times New Roman" w:cs="Times New Roman"/>
                <w:color w:val="auto"/>
                <w:lang w:val="en-US" w:eastAsia="zh-CN"/>
              </w:rPr>
              <w:t>、隔声等降噪措施。根据环保部颁发的《环境影响评价技术导则 声环境》（HJ2.4-2021）中噪声预测模式进行预测（公式如下）</w:t>
            </w:r>
          </w:p>
          <w:p w14:paraId="45E3AC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①室外声源</w:t>
            </w:r>
          </w:p>
          <w:p w14:paraId="11C138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在不能取得声源倍频带声功率级或倍频带声压级，只能获得A声功率级或某点的A声级时，可按下式作近似计算：</w:t>
            </w:r>
          </w:p>
          <w:p w14:paraId="5ABD02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object>
                <v:shape id="_x0000_i1029" o:spt="75" type="#_x0000_t75" style="height:18pt;width:102pt;" o:ole="t" filled="f" o:preferrelative="t" stroked="f" coordsize="21600,21600">
                  <v:path/>
                  <v:fill on="f" focussize="0,0"/>
                  <v:stroke on="f"/>
                  <v:imagedata r:id="rId25" o:title=""/>
                  <o:lock v:ext="edit" grouping="f" rotation="f" text="f" aspectratio="t"/>
                  <w10:wrap type="none"/>
                  <w10:anchorlock/>
                </v:shape>
                <o:OLEObject Type="Embed" ProgID="Equation.DSMT4" ShapeID="_x0000_i1029" DrawAspect="Content" ObjectID="_1468075729" r:id="rId24">
                  <o:LockedField>false</o:LockedField>
                </o:OLEObject>
              </w:object>
            </w:r>
          </w:p>
          <w:p w14:paraId="1CE9A2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object>
                <v:shape id="_x0000_i1030" o:spt="75" type="#_x0000_t75" style="height:19pt;width:157pt;" o:ole="t" filled="f" o:preferrelative="t" stroked="f" coordsize="21600,21600">
                  <v:path/>
                  <v:fill on="f" focussize="0,0"/>
                  <v:stroke on="f"/>
                  <v:imagedata r:id="rId27" o:title=""/>
                  <o:lock v:ext="edit" grouping="f" rotation="f" text="f" aspectratio="t"/>
                  <w10:wrap type="none"/>
                  <w10:anchorlock/>
                </v:shape>
                <o:OLEObject Type="Embed" ProgID="Equation.DSMT4" ShapeID="_x0000_i1030" DrawAspect="Content" ObjectID="_1468075730" r:id="rId26">
                  <o:LockedField>false</o:LockedField>
                </o:OLEObject>
              </w:object>
            </w:r>
          </w:p>
          <w:p w14:paraId="15DC2C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室外线源可分为若干线的分区，而每个线的分区可用处于中心位置的点声源表示。</w:t>
            </w:r>
          </w:p>
          <w:p w14:paraId="285CD9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②室内点声源</w:t>
            </w:r>
          </w:p>
          <w:p w14:paraId="30E28D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室内声源采用等效室外声源声功率级法进行计算。先计算出某个室内靠近围护结构处产生的倍频带声压级：</w:t>
            </w:r>
          </w:p>
          <w:p w14:paraId="5FCDEA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en-US" w:eastAsia="zh-CN"/>
              </w:rPr>
              <w:object>
                <v:shape id="_x0000_i1031" o:spt="75" type="#_x0000_t75" style="height:34pt;width:137pt;" o:ole="t" filled="f" o:preferrelative="t" stroked="f" coordsize="21600,21600">
                  <v:path/>
                  <v:fill on="f" focussize="0,0"/>
                  <v:stroke on="f"/>
                  <v:imagedata r:id="rId29" o:title=""/>
                  <o:lock v:ext="edit" grouping="f" rotation="f" text="f" aspectratio="t"/>
                  <w10:wrap type="none"/>
                  <w10:anchorlock/>
                </v:shape>
                <o:OLEObject Type="Embed" ProgID="Equation.DSMT4" ShapeID="_x0000_i1031" DrawAspect="Content" ObjectID="_1468075731" r:id="rId28">
                  <o:LockedField>false</o:LockedField>
                </o:OLEObject>
              </w:object>
            </w:r>
          </w:p>
          <w:p w14:paraId="06DDD1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然后计算出所有室内声源在围护结构处产生的i倍频带叠加声压级：</w:t>
            </w:r>
          </w:p>
          <w:p w14:paraId="5AFF25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object>
                <v:shape id="_x0000_i1032" o:spt="75" type="#_x0000_t75" style="height:38pt;width:135pt;" o:ole="t" filled="f" o:preferrelative="t" stroked="f" coordsize="21600,21600">
                  <v:path/>
                  <v:fill on="f" focussize="0,0"/>
                  <v:stroke on="f"/>
                  <v:imagedata r:id="rId31" o:title=""/>
                  <o:lock v:ext="edit" grouping="f" rotation="f" text="f" aspectratio="t"/>
                  <w10:wrap type="none"/>
                  <w10:anchorlock/>
                </v:shape>
                <o:OLEObject Type="Embed" ProgID="Equation.DSMT4" ShapeID="_x0000_i1032" DrawAspect="Content" ObjectID="_1468075732" r:id="rId30">
                  <o:LockedField>false</o:LockedField>
                </o:OLEObject>
              </w:object>
            </w:r>
          </w:p>
          <w:p w14:paraId="75CC1E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在室内近似为扩散声场时，按下式计算出靠近室外围护结构处的声压级：</w:t>
            </w:r>
          </w:p>
          <w:p w14:paraId="3ED064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object>
                <v:shape id="_x0000_i1033" o:spt="75" type="#_x0000_t75" style="height:20pt;width:139.95pt;" o:ole="t" filled="f" o:preferrelative="t" stroked="f" coordsize="21600,21600">
                  <v:path/>
                  <v:fill on="f" focussize="0,0"/>
                  <v:stroke on="f"/>
                  <v:imagedata r:id="rId33" o:title=""/>
                  <o:lock v:ext="edit" grouping="f" rotation="f" text="f" aspectratio="t"/>
                  <w10:wrap type="none"/>
                  <w10:anchorlock/>
                </v:shape>
                <o:OLEObject Type="Embed" ProgID="Equation.DSMT4" ShapeID="_x0000_i1033" DrawAspect="Content" ObjectID="_1468075733" r:id="rId32">
                  <o:LockedField>false</o:LockedField>
                </o:OLEObject>
              </w:object>
            </w:r>
          </w:p>
          <w:p w14:paraId="6F194B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将室外声源的声压级和透过面积换算成等效的室外声源，计算出中心位置位于透声面积处的等效声源的倍频带声功率级</w:t>
            </w:r>
            <w:r>
              <w:rPr>
                <w:rFonts w:hint="default" w:ascii="Times New Roman" w:hAnsi="Times New Roman" w:cs="Times New Roman"/>
                <w:color w:val="auto"/>
                <w:lang w:val="en-US" w:eastAsia="zh-CN"/>
              </w:rPr>
              <w:softHyphen/>
            </w:r>
            <w:r>
              <w:rPr>
                <w:rFonts w:hint="default" w:ascii="Times New Roman" w:hAnsi="Times New Roman" w:cs="Times New Roman"/>
                <w:color w:val="auto"/>
                <w:lang w:val="en-US" w:eastAsia="zh-CN"/>
              </w:rPr>
              <w:softHyphen/>
            </w:r>
            <w:r>
              <w:rPr>
                <w:rFonts w:hint="default" w:ascii="Times New Roman" w:hAnsi="Times New Roman" w:cs="Times New Roman"/>
                <w:color w:val="auto"/>
                <w:lang w:val="en-US" w:eastAsia="zh-CN"/>
              </w:rPr>
              <w:t>：</w:t>
            </w:r>
          </w:p>
          <w:p w14:paraId="1893CB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object>
                <v:shape id="_x0000_i1034" o:spt="75" type="#_x0000_t75" style="height:20pt;width:103.95pt;" o:ole="t" filled="f" o:preferrelative="t" stroked="f" coordsize="21600,21600">
                  <v:path/>
                  <v:fill on="f" focussize="0,0"/>
                  <v:stroke on="f"/>
                  <v:imagedata r:id="rId35" o:title=""/>
                  <o:lock v:ext="edit" grouping="f" rotation="f" text="f" aspectratio="t"/>
                  <w10:wrap type="none"/>
                  <w10:anchorlock/>
                </v:shape>
                <o:OLEObject Type="Embed" ProgID="Equation.DSMT4" ShapeID="_x0000_i1034" DrawAspect="Content" ObjectID="_1468075734" r:id="rId34">
                  <o:LockedField>false</o:LockedField>
                </o:OLEObject>
              </w:object>
            </w:r>
          </w:p>
          <w:p w14:paraId="2F0017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然后按室外声源预测方法计算预测点处的A声级。</w:t>
            </w:r>
          </w:p>
          <w:p w14:paraId="5BAA356D">
            <w:pPr>
              <w:pStyle w:val="25"/>
              <w:keepNext w:val="0"/>
              <w:keepLines w:val="0"/>
              <w:suppressLineNumbers w:val="0"/>
              <w:spacing w:before="0" w:beforeAutospacing="0" w:after="0" w:afterAutospacing="0"/>
              <w:ind w:left="0" w:right="0"/>
              <w:rPr>
                <w:rFonts w:hint="default"/>
                <w:color w:val="auto"/>
                <w:lang w:val="en-US" w:eastAsia="zh-CN"/>
              </w:rPr>
            </w:pPr>
          </w:p>
          <w:p w14:paraId="734627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③噪声贡献值计算</w:t>
            </w:r>
          </w:p>
          <w:p w14:paraId="763435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设第i个室外声源在预测点产生的A声级为LAi，在T时间内该声源工作时间为ti；第j个等效室外声源在预测点产生的A声级为LAj，在T时间内该声源工作时间为tj，则拟建工程声源对预测点产生的贡献值为：</w:t>
            </w:r>
          </w:p>
          <w:p w14:paraId="06E0D1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object>
                <v:shape id="_x0000_i1035" o:spt="75" type="#_x0000_t75" style="height:40pt;width:206pt;" o:ole="t" filled="f" o:preferrelative="t" stroked="f" coordsize="21600,21600">
                  <v:path/>
                  <v:fill on="f" focussize="0,0"/>
                  <v:stroke on="f"/>
                  <v:imagedata r:id="rId37" o:title=""/>
                  <o:lock v:ext="edit" grouping="f" rotation="f" text="f" aspectratio="t"/>
                  <w10:wrap type="none"/>
                  <w10:anchorlock/>
                </v:shape>
                <o:OLEObject Type="Embed" ProgID="Equation.DSMT4" ShapeID="_x0000_i1035" DrawAspect="Content" ObjectID="_1468075735" r:id="rId36">
                  <o:LockedField>false</o:LockedField>
                </o:OLEObject>
              </w:object>
            </w:r>
          </w:p>
          <w:p w14:paraId="559173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④预测值计算</w:t>
            </w:r>
          </w:p>
          <w:p w14:paraId="02C515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预测点的预测等效声级为：</w:t>
            </w:r>
          </w:p>
          <w:p w14:paraId="0ABE83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object>
                <v:shape id="_x0000_i1036" o:spt="75" type="#_x0000_t75" style="height:24pt;width:139pt;" o:ole="t" filled="f" o:preferrelative="t" stroked="f" coordsize="21600,21600">
                  <v:path/>
                  <v:fill on="f" focussize="0,0"/>
                  <v:stroke on="f"/>
                  <v:imagedata r:id="rId39" o:title=""/>
                  <o:lock v:ext="edit" grouping="f" rotation="f" text="f" aspectratio="t"/>
                  <w10:wrap type="none"/>
                  <w10:anchorlock/>
                </v:shape>
                <o:OLEObject Type="Embed" ProgID="Equation.DSMT4" ShapeID="_x0000_i1036" DrawAspect="Content" ObjectID="_1468075736" r:id="rId38">
                  <o:LockedField>false</o:LockedField>
                </o:OLEObject>
              </w:object>
            </w:r>
          </w:p>
          <w:p w14:paraId="716F98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上式中各符号的意义和单位见HJ2.4-2021。</w:t>
            </w:r>
          </w:p>
          <w:p w14:paraId="016EBC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经合理布局、</w:t>
            </w:r>
            <w:r>
              <w:rPr>
                <w:rFonts w:hint="eastAsia" w:cs="Times New Roman"/>
                <w:color w:val="auto"/>
                <w:lang w:val="en-US" w:eastAsia="zh-CN"/>
              </w:rPr>
              <w:t>减震</w:t>
            </w:r>
            <w:r>
              <w:rPr>
                <w:rFonts w:hint="default" w:ascii="Times New Roman" w:hAnsi="Times New Roman" w:cs="Times New Roman"/>
                <w:color w:val="auto"/>
                <w:lang w:val="en-US" w:eastAsia="zh-CN"/>
              </w:rPr>
              <w:t xml:space="preserve">消音、厂房隔声、距离衰减后，项目各厂界噪声情况见下表： </w:t>
            </w:r>
          </w:p>
          <w:p w14:paraId="558C77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w:t>
            </w:r>
            <w:r>
              <w:rPr>
                <w:rFonts w:hint="eastAsia" w:cs="Times New Roman"/>
                <w:b/>
                <w:color w:val="auto"/>
                <w:kern w:val="0"/>
                <w:sz w:val="21"/>
                <w:szCs w:val="21"/>
                <w:lang w:val="en-US" w:eastAsia="zh-CN"/>
              </w:rPr>
              <w:t>22</w:t>
            </w:r>
            <w:r>
              <w:rPr>
                <w:rFonts w:hint="default" w:ascii="Times New Roman" w:hAnsi="Times New Roman" w:eastAsia="宋体" w:cs="Times New Roman"/>
                <w:b/>
                <w:color w:val="auto"/>
                <w:kern w:val="0"/>
                <w:sz w:val="21"/>
                <w:szCs w:val="21"/>
              </w:rPr>
              <w:t xml:space="preserve">  噪声对厂界的影响</w:t>
            </w:r>
          </w:p>
          <w:tbl>
            <w:tblPr>
              <w:tblStyle w:val="27"/>
              <w:tblW w:w="0" w:type="auto"/>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2582"/>
              <w:gridCol w:w="2060"/>
              <w:gridCol w:w="2293"/>
            </w:tblGrid>
            <w:tr w14:paraId="09EB936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3" w:type="dxa"/>
                  <w:vMerge w:val="restart"/>
                  <w:noWrap w:val="0"/>
                  <w:vAlign w:val="center"/>
                </w:tcPr>
                <w:p w14:paraId="5BD505D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预测点</w:t>
                  </w:r>
                </w:p>
              </w:tc>
              <w:tc>
                <w:tcPr>
                  <w:tcW w:w="2582" w:type="dxa"/>
                  <w:vMerge w:val="restart"/>
                  <w:noWrap w:val="0"/>
                  <w:vAlign w:val="center"/>
                </w:tcPr>
                <w:p w14:paraId="013D631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贡献值dB(A)</w:t>
                  </w:r>
                </w:p>
              </w:tc>
              <w:tc>
                <w:tcPr>
                  <w:tcW w:w="2060" w:type="dxa"/>
                  <w:noWrap w:val="0"/>
                  <w:vAlign w:val="center"/>
                </w:tcPr>
                <w:p w14:paraId="0A4F7B2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噪声标准</w:t>
                  </w:r>
                  <w:r>
                    <w:rPr>
                      <w:rFonts w:hint="default" w:ascii="Times New Roman" w:hAnsi="Times New Roman" w:eastAsia="仿宋" w:cs="Times New Roman"/>
                      <w:color w:val="auto"/>
                      <w:szCs w:val="21"/>
                    </w:rPr>
                    <w:t>dB(A)</w:t>
                  </w:r>
                </w:p>
              </w:tc>
              <w:tc>
                <w:tcPr>
                  <w:tcW w:w="2293" w:type="dxa"/>
                  <w:vMerge w:val="restart"/>
                  <w:noWrap w:val="0"/>
                  <w:vAlign w:val="center"/>
                </w:tcPr>
                <w:p w14:paraId="10CBCA6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超标量d</w:t>
                  </w:r>
                  <w:r>
                    <w:rPr>
                      <w:rFonts w:hint="eastAsia" w:ascii="Times New Roman" w:hAnsi="Times New Roman" w:eastAsia="仿宋" w:cs="Times New Roman"/>
                      <w:color w:val="auto"/>
                      <w:szCs w:val="21"/>
                      <w:lang w:val="en-US" w:eastAsia="zh-CN"/>
                    </w:rPr>
                    <w:t>B</w:t>
                  </w:r>
                  <w:r>
                    <w:rPr>
                      <w:rFonts w:hint="default" w:ascii="Times New Roman" w:hAnsi="Times New Roman" w:eastAsia="仿宋" w:cs="Times New Roman"/>
                      <w:color w:val="auto"/>
                      <w:szCs w:val="21"/>
                    </w:rPr>
                    <w:t>(A)</w:t>
                  </w:r>
                </w:p>
              </w:tc>
            </w:tr>
            <w:tr w14:paraId="5DCF667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3" w:type="dxa"/>
                  <w:vMerge w:val="continue"/>
                  <w:noWrap w:val="0"/>
                  <w:vAlign w:val="center"/>
                </w:tcPr>
                <w:p w14:paraId="101EF6CD">
                  <w:pPr>
                    <w:keepNext w:val="0"/>
                    <w:keepLines w:val="0"/>
                    <w:suppressLineNumbers w:val="0"/>
                    <w:adjustRightInd w:val="0"/>
                    <w:snapToGrid w:val="0"/>
                    <w:spacing w:before="0" w:beforeAutospacing="0" w:after="0" w:afterAutospacing="0" w:line="240" w:lineRule="auto"/>
                    <w:ind w:left="0" w:right="0"/>
                    <w:jc w:val="center"/>
                    <w:rPr>
                      <w:rFonts w:hint="default" w:cs="Times New Roman"/>
                      <w:color w:val="auto"/>
                    </w:rPr>
                  </w:pPr>
                </w:p>
              </w:tc>
              <w:tc>
                <w:tcPr>
                  <w:tcW w:w="2582" w:type="dxa"/>
                  <w:vMerge w:val="continue"/>
                  <w:noWrap w:val="0"/>
                  <w:vAlign w:val="center"/>
                </w:tcPr>
                <w:p w14:paraId="4038A6E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仿宋" w:cs="Times New Roman"/>
                      <w:color w:val="auto"/>
                      <w:kern w:val="2"/>
                      <w:sz w:val="21"/>
                      <w:szCs w:val="21"/>
                      <w:lang w:val="en-US" w:eastAsia="zh-CN" w:bidi="ar-SA"/>
                    </w:rPr>
                  </w:pPr>
                </w:p>
              </w:tc>
              <w:tc>
                <w:tcPr>
                  <w:tcW w:w="2060" w:type="dxa"/>
                  <w:noWrap w:val="0"/>
                  <w:vAlign w:val="center"/>
                </w:tcPr>
                <w:p w14:paraId="2F89176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昼间</w:t>
                  </w:r>
                </w:p>
              </w:tc>
              <w:tc>
                <w:tcPr>
                  <w:tcW w:w="2293" w:type="dxa"/>
                  <w:vMerge w:val="continue"/>
                  <w:noWrap w:val="0"/>
                  <w:vAlign w:val="center"/>
                </w:tcPr>
                <w:p w14:paraId="58E6CC8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p>
              </w:tc>
            </w:tr>
            <w:tr w14:paraId="7FC646B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3" w:type="dxa"/>
                  <w:noWrap w:val="0"/>
                  <w:vAlign w:val="center"/>
                </w:tcPr>
                <w:p w14:paraId="59B23C2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东</w:t>
                  </w:r>
                  <w:r>
                    <w:rPr>
                      <w:rFonts w:hint="eastAsia" w:ascii="Times New Roman" w:hAnsi="Times New Roman" w:eastAsia="仿宋" w:cs="Times New Roman"/>
                      <w:color w:val="auto"/>
                      <w:szCs w:val="21"/>
                      <w:lang w:val="en-US" w:eastAsia="zh-CN"/>
                    </w:rPr>
                    <w:t>厂界</w:t>
                  </w:r>
                </w:p>
              </w:tc>
              <w:tc>
                <w:tcPr>
                  <w:tcW w:w="2582" w:type="dxa"/>
                  <w:noWrap w:val="0"/>
                  <w:vAlign w:val="center"/>
                </w:tcPr>
                <w:p w14:paraId="7776D9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34.1</w:t>
                  </w:r>
                </w:p>
              </w:tc>
              <w:tc>
                <w:tcPr>
                  <w:tcW w:w="2060" w:type="dxa"/>
                  <w:noWrap w:val="0"/>
                  <w:vAlign w:val="center"/>
                </w:tcPr>
                <w:p w14:paraId="7F2E45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w:t>
                  </w:r>
                </w:p>
              </w:tc>
              <w:tc>
                <w:tcPr>
                  <w:tcW w:w="2293" w:type="dxa"/>
                  <w:noWrap w:val="0"/>
                  <w:vAlign w:val="center"/>
                </w:tcPr>
                <w:p w14:paraId="30DF7CA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0</w:t>
                  </w:r>
                </w:p>
              </w:tc>
            </w:tr>
            <w:tr w14:paraId="4C3F1DB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3" w:type="dxa"/>
                  <w:noWrap w:val="0"/>
                  <w:vAlign w:val="center"/>
                </w:tcPr>
                <w:p w14:paraId="76503ECD">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南</w:t>
                  </w:r>
                  <w:r>
                    <w:rPr>
                      <w:rFonts w:hint="eastAsia" w:ascii="Times New Roman" w:hAnsi="Times New Roman" w:eastAsia="仿宋" w:cs="Times New Roman"/>
                      <w:color w:val="auto"/>
                      <w:szCs w:val="21"/>
                      <w:lang w:val="en-US" w:eastAsia="zh-CN"/>
                    </w:rPr>
                    <w:t>厂界</w:t>
                  </w:r>
                </w:p>
              </w:tc>
              <w:tc>
                <w:tcPr>
                  <w:tcW w:w="2582" w:type="dxa"/>
                  <w:noWrap w:val="0"/>
                  <w:vAlign w:val="center"/>
                </w:tcPr>
                <w:p w14:paraId="6A9838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18.3</w:t>
                  </w:r>
                </w:p>
              </w:tc>
              <w:tc>
                <w:tcPr>
                  <w:tcW w:w="2060" w:type="dxa"/>
                  <w:noWrap w:val="0"/>
                  <w:vAlign w:val="center"/>
                </w:tcPr>
                <w:p w14:paraId="72D20B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w:t>
                  </w:r>
                </w:p>
              </w:tc>
              <w:tc>
                <w:tcPr>
                  <w:tcW w:w="2293" w:type="dxa"/>
                  <w:noWrap w:val="0"/>
                  <w:vAlign w:val="center"/>
                </w:tcPr>
                <w:p w14:paraId="6E740B5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0</w:t>
                  </w:r>
                </w:p>
              </w:tc>
            </w:tr>
            <w:tr w14:paraId="63F355A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3" w:type="dxa"/>
                  <w:noWrap w:val="0"/>
                  <w:vAlign w:val="center"/>
                </w:tcPr>
                <w:p w14:paraId="11D3F8F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西</w:t>
                  </w:r>
                  <w:r>
                    <w:rPr>
                      <w:rFonts w:hint="eastAsia" w:ascii="Times New Roman" w:hAnsi="Times New Roman" w:eastAsia="仿宋" w:cs="Times New Roman"/>
                      <w:color w:val="auto"/>
                      <w:szCs w:val="21"/>
                      <w:lang w:val="en-US" w:eastAsia="zh-CN"/>
                    </w:rPr>
                    <w:t>厂界</w:t>
                  </w:r>
                </w:p>
              </w:tc>
              <w:tc>
                <w:tcPr>
                  <w:tcW w:w="2582" w:type="dxa"/>
                  <w:noWrap w:val="0"/>
                  <w:vAlign w:val="center"/>
                </w:tcPr>
                <w:p w14:paraId="28AAB7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17.9</w:t>
                  </w:r>
                </w:p>
              </w:tc>
              <w:tc>
                <w:tcPr>
                  <w:tcW w:w="2060" w:type="dxa"/>
                  <w:noWrap w:val="0"/>
                  <w:vAlign w:val="center"/>
                </w:tcPr>
                <w:p w14:paraId="132191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w:t>
                  </w:r>
                </w:p>
              </w:tc>
              <w:tc>
                <w:tcPr>
                  <w:tcW w:w="2293" w:type="dxa"/>
                  <w:noWrap w:val="0"/>
                  <w:vAlign w:val="center"/>
                </w:tcPr>
                <w:p w14:paraId="515286B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0</w:t>
                  </w:r>
                </w:p>
              </w:tc>
            </w:tr>
            <w:tr w14:paraId="53251F8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3" w:type="dxa"/>
                  <w:noWrap w:val="0"/>
                  <w:vAlign w:val="center"/>
                </w:tcPr>
                <w:p w14:paraId="44AB69D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北</w:t>
                  </w:r>
                  <w:r>
                    <w:rPr>
                      <w:rFonts w:hint="eastAsia" w:ascii="Times New Roman" w:hAnsi="Times New Roman" w:eastAsia="仿宋" w:cs="Times New Roman"/>
                      <w:color w:val="auto"/>
                      <w:szCs w:val="21"/>
                      <w:lang w:val="en-US" w:eastAsia="zh-CN"/>
                    </w:rPr>
                    <w:t>厂界</w:t>
                  </w:r>
                </w:p>
              </w:tc>
              <w:tc>
                <w:tcPr>
                  <w:tcW w:w="2582" w:type="dxa"/>
                  <w:noWrap w:val="0"/>
                  <w:vAlign w:val="center"/>
                </w:tcPr>
                <w:p w14:paraId="57501F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48.8</w:t>
                  </w:r>
                </w:p>
              </w:tc>
              <w:tc>
                <w:tcPr>
                  <w:tcW w:w="2060" w:type="dxa"/>
                  <w:noWrap w:val="0"/>
                  <w:vAlign w:val="center"/>
                </w:tcPr>
                <w:p w14:paraId="4D8810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w:t>
                  </w:r>
                </w:p>
              </w:tc>
              <w:tc>
                <w:tcPr>
                  <w:tcW w:w="2293" w:type="dxa"/>
                  <w:noWrap w:val="0"/>
                  <w:vAlign w:val="center"/>
                </w:tcPr>
                <w:p w14:paraId="2C10378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0</w:t>
                  </w:r>
                </w:p>
              </w:tc>
            </w:tr>
          </w:tbl>
          <w:p w14:paraId="3D6474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由上表可知，</w:t>
            </w:r>
            <w:r>
              <w:rPr>
                <w:rFonts w:hint="default" w:ascii="Times New Roman" w:hAnsi="Times New Roman" w:eastAsia="宋体" w:cs="Times New Roman"/>
                <w:b w:val="0"/>
                <w:bCs w:val="0"/>
                <w:color w:val="auto"/>
                <w:lang w:val="en-US" w:eastAsia="zh-CN"/>
              </w:rPr>
              <w:t>本项目</w:t>
            </w:r>
            <w:r>
              <w:rPr>
                <w:rFonts w:hint="eastAsia" w:cs="Times New Roman"/>
                <w:b w:val="0"/>
                <w:bCs w:val="0"/>
                <w:color w:val="auto"/>
                <w:lang w:val="en-US" w:eastAsia="zh-CN"/>
              </w:rPr>
              <w:t>噪声对东、南、西、北各厂界贡献值</w:t>
            </w:r>
            <w:r>
              <w:rPr>
                <w:rFonts w:hint="default" w:ascii="Times New Roman" w:hAnsi="Times New Roman" w:eastAsia="宋体" w:cs="Times New Roman"/>
                <w:b w:val="0"/>
                <w:bCs w:val="0"/>
                <w:color w:val="auto"/>
                <w:lang w:val="en-US" w:eastAsia="zh-CN"/>
              </w:rPr>
              <w:t>符合《工业企业厂界环境噪声排放标准》中</w:t>
            </w:r>
            <w:r>
              <w:rPr>
                <w:rFonts w:hint="eastAsia" w:cs="Times New Roman"/>
                <w:b w:val="0"/>
                <w:bCs w:val="0"/>
                <w:color w:val="auto"/>
                <w:lang w:val="en-US" w:eastAsia="zh-CN"/>
              </w:rPr>
              <w:t>2</w:t>
            </w:r>
            <w:r>
              <w:rPr>
                <w:rFonts w:hint="default" w:ascii="Times New Roman" w:hAnsi="Times New Roman" w:eastAsia="宋体" w:cs="Times New Roman"/>
                <w:b w:val="0"/>
                <w:bCs w:val="0"/>
                <w:color w:val="auto"/>
                <w:lang w:val="en-US" w:eastAsia="zh-CN"/>
              </w:rPr>
              <w:t>类标准。</w:t>
            </w:r>
          </w:p>
          <w:p w14:paraId="5160DD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（3）监测要求</w:t>
            </w:r>
          </w:p>
          <w:p w14:paraId="505363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根据《排污单位自行监测技术指南 总则》（HJ 819-2017）</w:t>
            </w:r>
            <w:r>
              <w:rPr>
                <w:rFonts w:hint="eastAsia" w:cs="Times New Roman"/>
                <w:b w:val="0"/>
                <w:bCs w:val="0"/>
                <w:color w:val="auto"/>
                <w:lang w:val="en-US" w:eastAsia="zh-CN"/>
              </w:rPr>
              <w:t>等</w:t>
            </w:r>
            <w:r>
              <w:rPr>
                <w:rFonts w:hint="default" w:ascii="Times New Roman" w:hAnsi="Times New Roman" w:eastAsia="宋体" w:cs="Times New Roman"/>
                <w:b w:val="0"/>
                <w:bCs w:val="0"/>
                <w:color w:val="auto"/>
                <w:lang w:val="en-US" w:eastAsia="zh-CN"/>
              </w:rPr>
              <w:t>要求，定期委托有资质环境监测机构对厂界噪声进行监测，具体见下表：</w:t>
            </w:r>
          </w:p>
          <w:p w14:paraId="5A1A76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w:t>
            </w:r>
            <w:r>
              <w:rPr>
                <w:rFonts w:hint="eastAsia" w:cs="Times New Roman"/>
                <w:b/>
                <w:color w:val="auto"/>
                <w:kern w:val="0"/>
                <w:sz w:val="21"/>
                <w:szCs w:val="21"/>
                <w:lang w:val="en-US" w:eastAsia="zh-CN"/>
              </w:rPr>
              <w:t>23</w:t>
            </w:r>
            <w:r>
              <w:rPr>
                <w:rFonts w:hint="default" w:ascii="Times New Roman" w:hAnsi="Times New Roman" w:eastAsia="宋体" w:cs="Times New Roman"/>
                <w:b/>
                <w:color w:val="auto"/>
                <w:kern w:val="0"/>
                <w:sz w:val="21"/>
                <w:szCs w:val="21"/>
              </w:rPr>
              <w:t xml:space="preserve"> </w:t>
            </w:r>
            <w:r>
              <w:rPr>
                <w:rFonts w:hint="eastAsia" w:eastAsia="宋体" w:cs="Times New Roman"/>
                <w:b/>
                <w:color w:val="auto"/>
                <w:kern w:val="0"/>
                <w:sz w:val="21"/>
                <w:szCs w:val="21"/>
                <w:lang w:val="en-US" w:eastAsia="zh-CN"/>
              </w:rPr>
              <w:t xml:space="preserve"> </w:t>
            </w:r>
            <w:r>
              <w:rPr>
                <w:rFonts w:hint="default" w:ascii="Times New Roman" w:hAnsi="Times New Roman" w:eastAsia="宋体" w:cs="Times New Roman"/>
                <w:b/>
                <w:color w:val="auto"/>
                <w:kern w:val="0"/>
                <w:sz w:val="21"/>
                <w:szCs w:val="21"/>
              </w:rPr>
              <w:t>噪声污染源监测计划</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51"/>
              <w:gridCol w:w="1297"/>
              <w:gridCol w:w="1703"/>
              <w:gridCol w:w="1374"/>
              <w:gridCol w:w="3493"/>
            </w:tblGrid>
            <w:tr w14:paraId="4EED97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7" w:hRule="atLeast"/>
              </w:trPr>
              <w:tc>
                <w:tcPr>
                  <w:tcW w:w="851" w:type="dxa"/>
                  <w:noWrap w:val="0"/>
                  <w:vAlign w:val="center"/>
                </w:tcPr>
                <w:p w14:paraId="24B9EB0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类别</w:t>
                  </w:r>
                </w:p>
              </w:tc>
              <w:tc>
                <w:tcPr>
                  <w:tcW w:w="1297" w:type="dxa"/>
                  <w:noWrap w:val="0"/>
                  <w:vAlign w:val="center"/>
                </w:tcPr>
                <w:p w14:paraId="4106D0C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监测点位</w:t>
                  </w:r>
                </w:p>
              </w:tc>
              <w:tc>
                <w:tcPr>
                  <w:tcW w:w="1703" w:type="dxa"/>
                  <w:noWrap w:val="0"/>
                  <w:vAlign w:val="center"/>
                </w:tcPr>
                <w:p w14:paraId="462EDB6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监测项目</w:t>
                  </w:r>
                </w:p>
              </w:tc>
              <w:tc>
                <w:tcPr>
                  <w:tcW w:w="1374" w:type="dxa"/>
                  <w:noWrap w:val="0"/>
                  <w:vAlign w:val="center"/>
                </w:tcPr>
                <w:p w14:paraId="2954ED3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监测频次</w:t>
                  </w:r>
                </w:p>
              </w:tc>
              <w:tc>
                <w:tcPr>
                  <w:tcW w:w="3493" w:type="dxa"/>
                  <w:noWrap w:val="0"/>
                  <w:vAlign w:val="center"/>
                </w:tcPr>
                <w:p w14:paraId="61F6343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执行排放标准</w:t>
                  </w:r>
                </w:p>
              </w:tc>
            </w:tr>
            <w:tr w14:paraId="0196A1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50" w:hRule="atLeast"/>
              </w:trPr>
              <w:tc>
                <w:tcPr>
                  <w:tcW w:w="851" w:type="dxa"/>
                  <w:noWrap w:val="0"/>
                  <w:vAlign w:val="center"/>
                </w:tcPr>
                <w:p w14:paraId="5DBEBD3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噪声</w:t>
                  </w:r>
                </w:p>
              </w:tc>
              <w:tc>
                <w:tcPr>
                  <w:tcW w:w="1297" w:type="dxa"/>
                  <w:noWrap w:val="0"/>
                  <w:vAlign w:val="center"/>
                </w:tcPr>
                <w:p w14:paraId="6480C12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eastAsia" w:eastAsia="仿宋" w:cs="Times New Roman"/>
                      <w:color w:val="auto"/>
                      <w:szCs w:val="21"/>
                      <w:lang w:val="en-US" w:eastAsia="zh-CN"/>
                    </w:rPr>
                    <w:t>东、南、西、北各</w:t>
                  </w:r>
                  <w:r>
                    <w:rPr>
                      <w:rFonts w:hint="default" w:ascii="Times New Roman" w:hAnsi="Times New Roman" w:eastAsia="仿宋" w:cs="Times New Roman"/>
                      <w:color w:val="auto"/>
                      <w:szCs w:val="21"/>
                    </w:rPr>
                    <w:t>厂界四周外1米处</w:t>
                  </w:r>
                </w:p>
              </w:tc>
              <w:tc>
                <w:tcPr>
                  <w:tcW w:w="1703" w:type="dxa"/>
                  <w:noWrap w:val="0"/>
                  <w:vAlign w:val="center"/>
                </w:tcPr>
                <w:p w14:paraId="366A5EE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等效连续A声级</w:t>
                  </w:r>
                </w:p>
              </w:tc>
              <w:tc>
                <w:tcPr>
                  <w:tcW w:w="1374" w:type="dxa"/>
                  <w:noWrap w:val="0"/>
                  <w:vAlign w:val="center"/>
                </w:tcPr>
                <w:p w14:paraId="0679AD1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1次/季度</w:t>
                  </w:r>
                </w:p>
              </w:tc>
              <w:tc>
                <w:tcPr>
                  <w:tcW w:w="3493" w:type="dxa"/>
                  <w:noWrap w:val="0"/>
                  <w:vAlign w:val="center"/>
                </w:tcPr>
                <w:p w14:paraId="7160AD4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《工业企业厂界环境噪声排放标准》（GB12348-2008）</w:t>
                  </w:r>
                  <w:r>
                    <w:rPr>
                      <w:rFonts w:hint="eastAsia" w:eastAsia="仿宋" w:cs="Times New Roman"/>
                      <w:color w:val="auto"/>
                      <w:szCs w:val="21"/>
                      <w:lang w:val="en-US" w:eastAsia="zh-CN"/>
                    </w:rPr>
                    <w:t>2</w:t>
                  </w:r>
                  <w:r>
                    <w:rPr>
                      <w:rFonts w:hint="default" w:ascii="Times New Roman" w:hAnsi="Times New Roman" w:eastAsia="仿宋" w:cs="Times New Roman"/>
                      <w:color w:val="auto"/>
                      <w:szCs w:val="21"/>
                    </w:rPr>
                    <w:t>类标准限值</w:t>
                  </w:r>
                </w:p>
              </w:tc>
            </w:tr>
          </w:tbl>
          <w:p w14:paraId="56A2C8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4、固体废物</w:t>
            </w:r>
          </w:p>
          <w:p w14:paraId="2EB4D0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（1）污染物产生情况</w:t>
            </w:r>
          </w:p>
          <w:p w14:paraId="48F51C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①固体废物属性判定：</w:t>
            </w:r>
          </w:p>
          <w:p w14:paraId="7282CF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根据《固体废物鉴别标准 通则》（GB34330-2017）的规定，对本项目产生的固体废物属性进行判定，判定依据及结果见下表：</w:t>
            </w:r>
          </w:p>
          <w:p w14:paraId="367286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w:t>
            </w:r>
            <w:r>
              <w:rPr>
                <w:rFonts w:hint="eastAsia" w:cs="Times New Roman"/>
                <w:b/>
                <w:color w:val="auto"/>
                <w:kern w:val="0"/>
                <w:sz w:val="21"/>
                <w:szCs w:val="21"/>
                <w:lang w:val="en-US" w:eastAsia="zh-CN"/>
              </w:rPr>
              <w:t>24</w:t>
            </w:r>
            <w:r>
              <w:rPr>
                <w:rFonts w:hint="default" w:ascii="Times New Roman" w:hAnsi="Times New Roman" w:eastAsia="宋体" w:cs="Times New Roman"/>
                <w:b/>
                <w:color w:val="auto"/>
                <w:kern w:val="0"/>
                <w:sz w:val="21"/>
                <w:szCs w:val="21"/>
              </w:rPr>
              <w:t xml:space="preserve">  本项目副产物产生情况汇总</w:t>
            </w:r>
          </w:p>
          <w:tbl>
            <w:tblPr>
              <w:tblStyle w:val="27"/>
              <w:tblW w:w="5026"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461"/>
              <w:gridCol w:w="1507"/>
              <w:gridCol w:w="1376"/>
              <w:gridCol w:w="641"/>
              <w:gridCol w:w="1160"/>
              <w:gridCol w:w="1077"/>
              <w:gridCol w:w="2550"/>
            </w:tblGrid>
            <w:tr w14:paraId="574141D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2" w:type="pct"/>
                  <w:noWrap w:val="0"/>
                  <w:vAlign w:val="center"/>
                </w:tcPr>
                <w:p w14:paraId="3F1CD03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序号</w:t>
                  </w:r>
                </w:p>
              </w:tc>
              <w:tc>
                <w:tcPr>
                  <w:tcW w:w="858" w:type="pct"/>
                  <w:noWrap w:val="0"/>
                  <w:vAlign w:val="center"/>
                </w:tcPr>
                <w:p w14:paraId="232D6EC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副产物名称</w:t>
                  </w:r>
                </w:p>
              </w:tc>
              <w:tc>
                <w:tcPr>
                  <w:tcW w:w="784" w:type="pct"/>
                  <w:noWrap w:val="0"/>
                  <w:vAlign w:val="center"/>
                </w:tcPr>
                <w:p w14:paraId="0E360A0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产生工序</w:t>
                  </w:r>
                </w:p>
              </w:tc>
              <w:tc>
                <w:tcPr>
                  <w:tcW w:w="365" w:type="pct"/>
                  <w:noWrap w:val="0"/>
                  <w:vAlign w:val="center"/>
                </w:tcPr>
                <w:p w14:paraId="2195BF4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形态</w:t>
                  </w:r>
                </w:p>
              </w:tc>
              <w:tc>
                <w:tcPr>
                  <w:tcW w:w="661" w:type="pct"/>
                  <w:noWrap w:val="0"/>
                  <w:vAlign w:val="center"/>
                </w:tcPr>
                <w:p w14:paraId="5FE7413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主要成分</w:t>
                  </w:r>
                </w:p>
              </w:tc>
              <w:tc>
                <w:tcPr>
                  <w:tcW w:w="613" w:type="pct"/>
                  <w:noWrap w:val="0"/>
                  <w:vAlign w:val="center"/>
                </w:tcPr>
                <w:p w14:paraId="17F79B9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预测产生量（t/a）</w:t>
                  </w:r>
                </w:p>
              </w:tc>
              <w:tc>
                <w:tcPr>
                  <w:tcW w:w="1453" w:type="pct"/>
                  <w:noWrap w:val="0"/>
                  <w:vAlign w:val="center"/>
                </w:tcPr>
                <w:p w14:paraId="3FFABF0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种类判断</w:t>
                  </w:r>
                </w:p>
              </w:tc>
            </w:tr>
            <w:tr w14:paraId="7058053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2" w:type="pct"/>
                  <w:noWrap w:val="0"/>
                  <w:vAlign w:val="center"/>
                </w:tcPr>
                <w:p w14:paraId="4C34F63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w:t>
                  </w:r>
                </w:p>
              </w:tc>
              <w:tc>
                <w:tcPr>
                  <w:tcW w:w="858" w:type="pct"/>
                  <w:noWrap w:val="0"/>
                  <w:vAlign w:val="center"/>
                </w:tcPr>
                <w:p w14:paraId="0D42597F">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金属边角料</w:t>
                  </w:r>
                </w:p>
              </w:tc>
              <w:tc>
                <w:tcPr>
                  <w:tcW w:w="784" w:type="pct"/>
                  <w:noWrap w:val="0"/>
                  <w:vAlign w:val="center"/>
                </w:tcPr>
                <w:p w14:paraId="7903DEE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下料、机加工、拉毛</w:t>
                  </w:r>
                </w:p>
              </w:tc>
              <w:tc>
                <w:tcPr>
                  <w:tcW w:w="365" w:type="pct"/>
                  <w:noWrap w:val="0"/>
                  <w:vAlign w:val="center"/>
                </w:tcPr>
                <w:p w14:paraId="1F9A9CAC">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固</w:t>
                  </w:r>
                </w:p>
              </w:tc>
              <w:tc>
                <w:tcPr>
                  <w:tcW w:w="661" w:type="pct"/>
                  <w:noWrap w:val="0"/>
                  <w:vAlign w:val="center"/>
                </w:tcPr>
                <w:p w14:paraId="05544851">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金属</w:t>
                  </w:r>
                </w:p>
              </w:tc>
              <w:tc>
                <w:tcPr>
                  <w:tcW w:w="613" w:type="pct"/>
                  <w:noWrap w:val="0"/>
                  <w:vAlign w:val="center"/>
                </w:tcPr>
                <w:p w14:paraId="2D8683C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2</w:t>
                  </w:r>
                </w:p>
              </w:tc>
              <w:tc>
                <w:tcPr>
                  <w:tcW w:w="1453" w:type="pct"/>
                  <w:noWrap w:val="0"/>
                  <w:vAlign w:val="center"/>
                </w:tcPr>
                <w:p w14:paraId="4699C97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生产过程中产生的副产物</w:t>
                  </w:r>
                </w:p>
              </w:tc>
            </w:tr>
            <w:tr w14:paraId="4E9C98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2" w:type="pct"/>
                  <w:noWrap w:val="0"/>
                  <w:vAlign w:val="center"/>
                </w:tcPr>
                <w:p w14:paraId="5E50BD8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2</w:t>
                  </w:r>
                </w:p>
              </w:tc>
              <w:tc>
                <w:tcPr>
                  <w:tcW w:w="858" w:type="pct"/>
                  <w:noWrap w:val="0"/>
                  <w:vAlign w:val="center"/>
                </w:tcPr>
                <w:p w14:paraId="706F4BB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废砂纸</w:t>
                  </w:r>
                </w:p>
              </w:tc>
              <w:tc>
                <w:tcPr>
                  <w:tcW w:w="784" w:type="pct"/>
                  <w:noWrap w:val="0"/>
                  <w:vAlign w:val="center"/>
                </w:tcPr>
                <w:p w14:paraId="675E37A2">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拉毛</w:t>
                  </w:r>
                </w:p>
              </w:tc>
              <w:tc>
                <w:tcPr>
                  <w:tcW w:w="365" w:type="pct"/>
                  <w:noWrap w:val="0"/>
                  <w:vAlign w:val="center"/>
                </w:tcPr>
                <w:p w14:paraId="59B69B27">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661" w:type="pct"/>
                  <w:noWrap w:val="0"/>
                  <w:vAlign w:val="center"/>
                </w:tcPr>
                <w:p w14:paraId="66F17EE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砂纸</w:t>
                  </w:r>
                </w:p>
              </w:tc>
              <w:tc>
                <w:tcPr>
                  <w:tcW w:w="613" w:type="pct"/>
                  <w:noWrap w:val="0"/>
                  <w:vAlign w:val="center"/>
                </w:tcPr>
                <w:p w14:paraId="2EEB9AF7">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0.01</w:t>
                  </w:r>
                </w:p>
              </w:tc>
              <w:tc>
                <w:tcPr>
                  <w:tcW w:w="1453" w:type="pct"/>
                  <w:noWrap w:val="0"/>
                  <w:vAlign w:val="center"/>
                </w:tcPr>
                <w:p w14:paraId="2166CEF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生产过程中产生的副产物</w:t>
                  </w:r>
                </w:p>
              </w:tc>
            </w:tr>
            <w:tr w14:paraId="73FB4A6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2" w:type="pct"/>
                  <w:shd w:val="clear" w:color="auto" w:fill="auto"/>
                  <w:noWrap w:val="0"/>
                  <w:vAlign w:val="center"/>
                </w:tcPr>
                <w:p w14:paraId="7817015B">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3</w:t>
                  </w:r>
                </w:p>
              </w:tc>
              <w:tc>
                <w:tcPr>
                  <w:tcW w:w="858" w:type="pct"/>
                  <w:noWrap w:val="0"/>
                  <w:vAlign w:val="center"/>
                </w:tcPr>
                <w:p w14:paraId="1AE01A92">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橡胶边角料</w:t>
                  </w:r>
                </w:p>
              </w:tc>
              <w:tc>
                <w:tcPr>
                  <w:tcW w:w="784" w:type="pct"/>
                  <w:noWrap w:val="0"/>
                  <w:vAlign w:val="center"/>
                </w:tcPr>
                <w:p w14:paraId="0E0C1B1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磨圆</w:t>
                  </w:r>
                </w:p>
              </w:tc>
              <w:tc>
                <w:tcPr>
                  <w:tcW w:w="365" w:type="pct"/>
                  <w:noWrap w:val="0"/>
                  <w:vAlign w:val="center"/>
                </w:tcPr>
                <w:p w14:paraId="3442C9CE">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固</w:t>
                  </w:r>
                </w:p>
              </w:tc>
              <w:tc>
                <w:tcPr>
                  <w:tcW w:w="661" w:type="pct"/>
                  <w:noWrap w:val="0"/>
                  <w:vAlign w:val="center"/>
                </w:tcPr>
                <w:p w14:paraId="02F6738D">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橡胶</w:t>
                  </w:r>
                </w:p>
              </w:tc>
              <w:tc>
                <w:tcPr>
                  <w:tcW w:w="613" w:type="pct"/>
                  <w:noWrap w:val="0"/>
                  <w:vAlign w:val="center"/>
                </w:tcPr>
                <w:p w14:paraId="1C55A509">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0.5</w:t>
                  </w:r>
                </w:p>
              </w:tc>
              <w:tc>
                <w:tcPr>
                  <w:tcW w:w="1453" w:type="pct"/>
                  <w:shd w:val="clear" w:color="auto" w:fill="auto"/>
                  <w:noWrap w:val="0"/>
                  <w:vAlign w:val="center"/>
                </w:tcPr>
                <w:p w14:paraId="6D0C8C83">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生产过程中产生的副产物</w:t>
                  </w:r>
                </w:p>
              </w:tc>
            </w:tr>
            <w:tr w14:paraId="603EE7C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2" w:type="pct"/>
                  <w:shd w:val="clear" w:color="auto" w:fill="auto"/>
                  <w:noWrap w:val="0"/>
                  <w:vAlign w:val="center"/>
                </w:tcPr>
                <w:p w14:paraId="7BA0518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4</w:t>
                  </w:r>
                </w:p>
              </w:tc>
              <w:tc>
                <w:tcPr>
                  <w:tcW w:w="858" w:type="pct"/>
                  <w:noWrap w:val="0"/>
                  <w:vAlign w:val="center"/>
                </w:tcPr>
                <w:p w14:paraId="717E510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收集粉尘</w:t>
                  </w:r>
                </w:p>
              </w:tc>
              <w:tc>
                <w:tcPr>
                  <w:tcW w:w="784" w:type="pct"/>
                  <w:noWrap w:val="0"/>
                  <w:vAlign w:val="center"/>
                </w:tcPr>
                <w:p w14:paraId="65F2613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废气处理</w:t>
                  </w:r>
                </w:p>
              </w:tc>
              <w:tc>
                <w:tcPr>
                  <w:tcW w:w="365" w:type="pct"/>
                  <w:noWrap w:val="0"/>
                  <w:vAlign w:val="center"/>
                </w:tcPr>
                <w:p w14:paraId="4FD3DE20">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661" w:type="pct"/>
                  <w:noWrap w:val="0"/>
                  <w:vAlign w:val="center"/>
                </w:tcPr>
                <w:p w14:paraId="4352E68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金属、橡胶</w:t>
                  </w:r>
                </w:p>
              </w:tc>
              <w:tc>
                <w:tcPr>
                  <w:tcW w:w="613" w:type="pct"/>
                  <w:noWrap w:val="0"/>
                  <w:vAlign w:val="center"/>
                </w:tcPr>
                <w:p w14:paraId="4F6315B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3.1</w:t>
                  </w:r>
                </w:p>
              </w:tc>
              <w:tc>
                <w:tcPr>
                  <w:tcW w:w="1453" w:type="pct"/>
                  <w:noWrap w:val="0"/>
                  <w:vAlign w:val="center"/>
                </w:tcPr>
                <w:p w14:paraId="3C591A2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环境治理和污染控制过程中产生的物质</w:t>
                  </w:r>
                </w:p>
              </w:tc>
            </w:tr>
            <w:tr w14:paraId="48C35BF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2" w:type="pct"/>
                  <w:shd w:val="clear" w:color="auto" w:fill="auto"/>
                  <w:noWrap w:val="0"/>
                  <w:vAlign w:val="center"/>
                </w:tcPr>
                <w:p w14:paraId="00F7249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5</w:t>
                  </w:r>
                </w:p>
              </w:tc>
              <w:tc>
                <w:tcPr>
                  <w:tcW w:w="858" w:type="pct"/>
                  <w:noWrap w:val="0"/>
                  <w:vAlign w:val="center"/>
                </w:tcPr>
                <w:p w14:paraId="0283AA79">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废布袋</w:t>
                  </w:r>
                </w:p>
              </w:tc>
              <w:tc>
                <w:tcPr>
                  <w:tcW w:w="784" w:type="pct"/>
                  <w:noWrap w:val="0"/>
                  <w:vAlign w:val="center"/>
                </w:tcPr>
                <w:p w14:paraId="65520175">
                  <w:pPr>
                    <w:keepNext w:val="0"/>
                    <w:keepLines w:val="0"/>
                    <w:suppressLineNumbers w:val="0"/>
                    <w:spacing w:before="0" w:beforeAutospacing="0" w:after="0" w:afterAutospacing="0" w:line="240" w:lineRule="auto"/>
                    <w:ind w:left="0" w:right="0"/>
                    <w:jc w:val="center"/>
                    <w:rPr>
                      <w:rFonts w:hint="eastAsia"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设备维护</w:t>
                  </w:r>
                </w:p>
              </w:tc>
              <w:tc>
                <w:tcPr>
                  <w:tcW w:w="365" w:type="pct"/>
                  <w:noWrap w:val="0"/>
                  <w:vAlign w:val="center"/>
                </w:tcPr>
                <w:p w14:paraId="64781AEF">
                  <w:pPr>
                    <w:keepNext w:val="0"/>
                    <w:keepLines w:val="0"/>
                    <w:suppressLineNumbers w:val="0"/>
                    <w:spacing w:before="0" w:beforeAutospacing="0" w:after="0" w:afterAutospacing="0" w:line="240" w:lineRule="auto"/>
                    <w:ind w:left="0" w:right="0"/>
                    <w:jc w:val="center"/>
                    <w:rPr>
                      <w:rFonts w:hint="eastAsia" w:eastAsia="仿宋" w:cs="Times New Roman"/>
                      <w:color w:val="auto"/>
                      <w:kern w:val="0"/>
                      <w:szCs w:val="21"/>
                      <w:lang w:val="en-US" w:eastAsia="zh-CN"/>
                    </w:rPr>
                  </w:pPr>
                  <w:r>
                    <w:rPr>
                      <w:rFonts w:hint="eastAsia" w:eastAsia="仿宋" w:cs="Times New Roman"/>
                      <w:color w:val="auto"/>
                      <w:kern w:val="0"/>
                      <w:szCs w:val="21"/>
                      <w:lang w:val="en-US" w:eastAsia="zh-CN"/>
                    </w:rPr>
                    <w:t>固</w:t>
                  </w:r>
                </w:p>
              </w:tc>
              <w:tc>
                <w:tcPr>
                  <w:tcW w:w="661" w:type="pct"/>
                  <w:noWrap w:val="0"/>
                  <w:vAlign w:val="center"/>
                </w:tcPr>
                <w:p w14:paraId="6346DF32">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布</w:t>
                  </w:r>
                </w:p>
              </w:tc>
              <w:tc>
                <w:tcPr>
                  <w:tcW w:w="613" w:type="pct"/>
                  <w:noWrap w:val="0"/>
                  <w:vAlign w:val="center"/>
                </w:tcPr>
                <w:p w14:paraId="7F40D2AE">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0.1</w:t>
                  </w:r>
                </w:p>
              </w:tc>
              <w:tc>
                <w:tcPr>
                  <w:tcW w:w="1453" w:type="pct"/>
                  <w:shd w:val="clear" w:color="auto" w:fill="auto"/>
                  <w:noWrap w:val="0"/>
                  <w:vAlign w:val="center"/>
                </w:tcPr>
                <w:p w14:paraId="24FED54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丧失原有使用价值的物质</w:t>
                  </w:r>
                </w:p>
              </w:tc>
            </w:tr>
            <w:tr w14:paraId="3627B9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2" w:type="pct"/>
                  <w:shd w:val="clear" w:color="auto" w:fill="auto"/>
                  <w:noWrap w:val="0"/>
                  <w:vAlign w:val="center"/>
                </w:tcPr>
                <w:p w14:paraId="2CC49AC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6</w:t>
                  </w:r>
                </w:p>
              </w:tc>
              <w:tc>
                <w:tcPr>
                  <w:tcW w:w="858" w:type="pct"/>
                  <w:noWrap w:val="0"/>
                  <w:vAlign w:val="center"/>
                </w:tcPr>
                <w:p w14:paraId="52F294E0">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废包装材料</w:t>
                  </w:r>
                </w:p>
              </w:tc>
              <w:tc>
                <w:tcPr>
                  <w:tcW w:w="784" w:type="pct"/>
                  <w:noWrap w:val="0"/>
                  <w:vAlign w:val="center"/>
                </w:tcPr>
                <w:p w14:paraId="2ED7948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原料包装</w:t>
                  </w:r>
                </w:p>
              </w:tc>
              <w:tc>
                <w:tcPr>
                  <w:tcW w:w="365" w:type="pct"/>
                  <w:noWrap w:val="0"/>
                  <w:vAlign w:val="center"/>
                </w:tcPr>
                <w:p w14:paraId="66A6A48E">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固</w:t>
                  </w:r>
                </w:p>
              </w:tc>
              <w:tc>
                <w:tcPr>
                  <w:tcW w:w="661" w:type="pct"/>
                  <w:noWrap w:val="0"/>
                  <w:vAlign w:val="center"/>
                </w:tcPr>
                <w:p w14:paraId="18120315">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织物、纸</w:t>
                  </w:r>
                </w:p>
              </w:tc>
              <w:tc>
                <w:tcPr>
                  <w:tcW w:w="613" w:type="pct"/>
                  <w:noWrap w:val="0"/>
                  <w:vAlign w:val="center"/>
                </w:tcPr>
                <w:p w14:paraId="249CCADC">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0.05</w:t>
                  </w:r>
                </w:p>
              </w:tc>
              <w:tc>
                <w:tcPr>
                  <w:tcW w:w="1453" w:type="pct"/>
                  <w:noWrap w:val="0"/>
                  <w:vAlign w:val="center"/>
                </w:tcPr>
                <w:p w14:paraId="1B08103C">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生产过程中产生的副产物</w:t>
                  </w:r>
                </w:p>
              </w:tc>
            </w:tr>
            <w:tr w14:paraId="52DC95B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2" w:type="pct"/>
                  <w:shd w:val="clear" w:color="auto" w:fill="auto"/>
                  <w:noWrap w:val="0"/>
                  <w:vAlign w:val="center"/>
                </w:tcPr>
                <w:p w14:paraId="0ED06ED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7</w:t>
                  </w:r>
                </w:p>
              </w:tc>
              <w:tc>
                <w:tcPr>
                  <w:tcW w:w="858" w:type="pct"/>
                  <w:noWrap w:val="0"/>
                  <w:vAlign w:val="center"/>
                </w:tcPr>
                <w:p w14:paraId="43825559">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废切削液</w:t>
                  </w:r>
                </w:p>
              </w:tc>
              <w:tc>
                <w:tcPr>
                  <w:tcW w:w="784" w:type="pct"/>
                  <w:shd w:val="clear" w:color="auto" w:fill="auto"/>
                  <w:noWrap w:val="0"/>
                  <w:vAlign w:val="center"/>
                </w:tcPr>
                <w:p w14:paraId="76EEFAC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设备维护</w:t>
                  </w:r>
                </w:p>
              </w:tc>
              <w:tc>
                <w:tcPr>
                  <w:tcW w:w="365" w:type="pct"/>
                  <w:shd w:val="clear" w:color="auto" w:fill="auto"/>
                  <w:noWrap w:val="0"/>
                  <w:vAlign w:val="center"/>
                </w:tcPr>
                <w:p w14:paraId="6F631CC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液</w:t>
                  </w:r>
                </w:p>
              </w:tc>
              <w:tc>
                <w:tcPr>
                  <w:tcW w:w="661" w:type="pct"/>
                  <w:shd w:val="clear" w:color="auto" w:fill="auto"/>
                  <w:noWrap w:val="0"/>
                  <w:vAlign w:val="center"/>
                </w:tcPr>
                <w:p w14:paraId="1B41D83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bCs/>
                      <w:color w:val="auto"/>
                      <w:kern w:val="0"/>
                      <w:sz w:val="21"/>
                      <w:szCs w:val="21"/>
                      <w:lang w:val="en-US" w:eastAsia="zh-CN" w:bidi="ar-SA"/>
                    </w:rPr>
                  </w:pPr>
                  <w:r>
                    <w:rPr>
                      <w:rFonts w:hint="default" w:eastAsia="仿宋" w:cs="Times New Roman"/>
                      <w:bCs/>
                      <w:color w:val="auto"/>
                      <w:kern w:val="0"/>
                      <w:sz w:val="21"/>
                      <w:szCs w:val="21"/>
                      <w:lang w:val="en-US" w:eastAsia="zh-CN" w:bidi="ar-SA"/>
                    </w:rPr>
                    <w:t>烃水混合物</w:t>
                  </w:r>
                </w:p>
              </w:tc>
              <w:tc>
                <w:tcPr>
                  <w:tcW w:w="613" w:type="pct"/>
                  <w:noWrap w:val="0"/>
                  <w:vAlign w:val="center"/>
                </w:tcPr>
                <w:p w14:paraId="38278F57">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0.1</w:t>
                  </w:r>
                </w:p>
              </w:tc>
              <w:tc>
                <w:tcPr>
                  <w:tcW w:w="1453" w:type="pct"/>
                  <w:shd w:val="clear" w:color="auto" w:fill="auto"/>
                  <w:noWrap w:val="0"/>
                  <w:vAlign w:val="center"/>
                </w:tcPr>
                <w:p w14:paraId="768F8AE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丧失原有使用价值的物质</w:t>
                  </w:r>
                </w:p>
              </w:tc>
            </w:tr>
            <w:tr w14:paraId="579C541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2" w:type="pct"/>
                  <w:shd w:val="clear" w:color="auto" w:fill="auto"/>
                  <w:noWrap w:val="0"/>
                  <w:vAlign w:val="center"/>
                </w:tcPr>
                <w:p w14:paraId="710FF15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8</w:t>
                  </w:r>
                </w:p>
              </w:tc>
              <w:tc>
                <w:tcPr>
                  <w:tcW w:w="858" w:type="pct"/>
                  <w:noWrap w:val="0"/>
                  <w:vAlign w:val="center"/>
                </w:tcPr>
                <w:p w14:paraId="5B99000E">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含胶劳保用品</w:t>
                  </w:r>
                </w:p>
              </w:tc>
              <w:tc>
                <w:tcPr>
                  <w:tcW w:w="784" w:type="pct"/>
                  <w:noWrap w:val="0"/>
                  <w:vAlign w:val="center"/>
                </w:tcPr>
                <w:p w14:paraId="4E4B4C4E">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涂胶</w:t>
                  </w:r>
                </w:p>
              </w:tc>
              <w:tc>
                <w:tcPr>
                  <w:tcW w:w="365" w:type="pct"/>
                  <w:noWrap w:val="0"/>
                  <w:vAlign w:val="center"/>
                </w:tcPr>
                <w:p w14:paraId="752A5E4F">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661" w:type="pct"/>
                  <w:noWrap w:val="0"/>
                  <w:vAlign w:val="center"/>
                </w:tcPr>
                <w:p w14:paraId="617A9341">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胶粘剂</w:t>
                  </w:r>
                </w:p>
              </w:tc>
              <w:tc>
                <w:tcPr>
                  <w:tcW w:w="613" w:type="pct"/>
                  <w:noWrap w:val="0"/>
                  <w:vAlign w:val="center"/>
                </w:tcPr>
                <w:p w14:paraId="5082BAD7">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0.05</w:t>
                  </w:r>
                </w:p>
              </w:tc>
              <w:tc>
                <w:tcPr>
                  <w:tcW w:w="1453" w:type="pct"/>
                  <w:noWrap w:val="0"/>
                  <w:vAlign w:val="center"/>
                </w:tcPr>
                <w:p w14:paraId="5D23FDEF">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丧失原有使用价值的物质</w:t>
                  </w:r>
                </w:p>
              </w:tc>
            </w:tr>
            <w:tr w14:paraId="67E4CA8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2" w:type="pct"/>
                  <w:shd w:val="clear" w:color="auto" w:fill="auto"/>
                  <w:noWrap w:val="0"/>
                  <w:vAlign w:val="center"/>
                </w:tcPr>
                <w:p w14:paraId="0E114E9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9</w:t>
                  </w:r>
                </w:p>
              </w:tc>
              <w:tc>
                <w:tcPr>
                  <w:tcW w:w="858" w:type="pct"/>
                  <w:noWrap w:val="0"/>
                  <w:vAlign w:val="center"/>
                </w:tcPr>
                <w:p w14:paraId="38D4A9C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喷淋废液</w:t>
                  </w:r>
                </w:p>
              </w:tc>
              <w:tc>
                <w:tcPr>
                  <w:tcW w:w="784" w:type="pct"/>
                  <w:noWrap w:val="0"/>
                  <w:vAlign w:val="center"/>
                </w:tcPr>
                <w:p w14:paraId="0571812E">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设备维护</w:t>
                  </w:r>
                </w:p>
              </w:tc>
              <w:tc>
                <w:tcPr>
                  <w:tcW w:w="365" w:type="pct"/>
                  <w:noWrap w:val="0"/>
                  <w:vAlign w:val="center"/>
                </w:tcPr>
                <w:p w14:paraId="7517B908">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液</w:t>
                  </w:r>
                </w:p>
              </w:tc>
              <w:tc>
                <w:tcPr>
                  <w:tcW w:w="661" w:type="pct"/>
                  <w:noWrap w:val="0"/>
                  <w:vAlign w:val="center"/>
                </w:tcPr>
                <w:p w14:paraId="0860726B">
                  <w:pPr>
                    <w:keepNext w:val="0"/>
                    <w:keepLines w:val="0"/>
                    <w:suppressLineNumbers w:val="0"/>
                    <w:spacing w:before="0" w:beforeAutospacing="0" w:after="0" w:afterAutospacing="0" w:line="240" w:lineRule="auto"/>
                    <w:ind w:left="0" w:right="0"/>
                    <w:jc w:val="center"/>
                    <w:rPr>
                      <w:rFonts w:hint="default" w:eastAsia="仿宋" w:cs="Times New Roman"/>
                      <w:bCs/>
                      <w:color w:val="auto"/>
                      <w:kern w:val="0"/>
                      <w:sz w:val="21"/>
                      <w:szCs w:val="21"/>
                      <w:lang w:val="en-US" w:eastAsia="zh-CN" w:bidi="ar-SA"/>
                    </w:rPr>
                  </w:pPr>
                  <w:r>
                    <w:rPr>
                      <w:rFonts w:hint="default" w:eastAsia="仿宋" w:cs="Times New Roman"/>
                      <w:bCs/>
                      <w:color w:val="auto"/>
                      <w:kern w:val="0"/>
                      <w:sz w:val="21"/>
                      <w:szCs w:val="21"/>
                      <w:lang w:val="en-US" w:eastAsia="zh-CN" w:bidi="ar-SA"/>
                    </w:rPr>
                    <w:t>烃水混合物</w:t>
                  </w:r>
                </w:p>
              </w:tc>
              <w:tc>
                <w:tcPr>
                  <w:tcW w:w="613" w:type="pct"/>
                  <w:noWrap w:val="0"/>
                  <w:vAlign w:val="center"/>
                </w:tcPr>
                <w:p w14:paraId="5C761986">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1</w:t>
                  </w:r>
                </w:p>
              </w:tc>
              <w:tc>
                <w:tcPr>
                  <w:tcW w:w="1453" w:type="pct"/>
                  <w:noWrap w:val="0"/>
                  <w:vAlign w:val="center"/>
                </w:tcPr>
                <w:p w14:paraId="7EA8094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丧失原有使用价值的物质</w:t>
                  </w:r>
                </w:p>
              </w:tc>
            </w:tr>
            <w:tr w14:paraId="722065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2" w:type="pct"/>
                  <w:shd w:val="clear" w:color="auto" w:fill="auto"/>
                  <w:noWrap w:val="0"/>
                  <w:vAlign w:val="center"/>
                </w:tcPr>
                <w:p w14:paraId="06E6D13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10</w:t>
                  </w:r>
                </w:p>
              </w:tc>
              <w:tc>
                <w:tcPr>
                  <w:tcW w:w="858" w:type="pct"/>
                  <w:noWrap w:val="0"/>
                  <w:vAlign w:val="center"/>
                </w:tcPr>
                <w:p w14:paraId="7687BE0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废活性炭</w:t>
                  </w:r>
                </w:p>
              </w:tc>
              <w:tc>
                <w:tcPr>
                  <w:tcW w:w="784" w:type="pct"/>
                  <w:noWrap w:val="0"/>
                  <w:vAlign w:val="center"/>
                </w:tcPr>
                <w:p w14:paraId="0F703EE0">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废气处理</w:t>
                  </w:r>
                </w:p>
              </w:tc>
              <w:tc>
                <w:tcPr>
                  <w:tcW w:w="365" w:type="pct"/>
                  <w:noWrap w:val="0"/>
                  <w:vAlign w:val="center"/>
                </w:tcPr>
                <w:p w14:paraId="37777143">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固</w:t>
                  </w:r>
                </w:p>
              </w:tc>
              <w:tc>
                <w:tcPr>
                  <w:tcW w:w="661" w:type="pct"/>
                  <w:noWrap w:val="0"/>
                  <w:vAlign w:val="center"/>
                </w:tcPr>
                <w:p w14:paraId="24C9F67B">
                  <w:pPr>
                    <w:keepNext w:val="0"/>
                    <w:keepLines w:val="0"/>
                    <w:suppressLineNumbers w:val="0"/>
                    <w:spacing w:before="0" w:beforeAutospacing="0" w:after="0" w:afterAutospacing="0" w:line="240" w:lineRule="auto"/>
                    <w:ind w:left="0" w:right="0"/>
                    <w:jc w:val="center"/>
                    <w:rPr>
                      <w:rFonts w:hint="default" w:eastAsia="仿宋" w:cs="Times New Roman"/>
                      <w:bCs/>
                      <w:color w:val="auto"/>
                      <w:kern w:val="0"/>
                      <w:sz w:val="21"/>
                      <w:szCs w:val="21"/>
                      <w:lang w:val="en-US" w:eastAsia="zh-CN" w:bidi="ar-SA"/>
                    </w:rPr>
                  </w:pPr>
                  <w:r>
                    <w:rPr>
                      <w:rFonts w:hint="eastAsia" w:eastAsia="仿宋" w:cs="Times New Roman"/>
                      <w:bCs/>
                      <w:color w:val="auto"/>
                      <w:kern w:val="0"/>
                      <w:sz w:val="21"/>
                      <w:szCs w:val="21"/>
                      <w:lang w:val="en-US" w:eastAsia="zh-CN" w:bidi="ar-SA"/>
                    </w:rPr>
                    <w:t>有机废气、活性炭</w:t>
                  </w:r>
                </w:p>
              </w:tc>
              <w:tc>
                <w:tcPr>
                  <w:tcW w:w="613" w:type="pct"/>
                  <w:noWrap w:val="0"/>
                  <w:vAlign w:val="center"/>
                </w:tcPr>
                <w:p w14:paraId="1D3F2A6F">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6.1</w:t>
                  </w:r>
                </w:p>
              </w:tc>
              <w:tc>
                <w:tcPr>
                  <w:tcW w:w="1453" w:type="pct"/>
                  <w:noWrap w:val="0"/>
                  <w:vAlign w:val="center"/>
                </w:tcPr>
                <w:p w14:paraId="281829E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环境治理和污染控制过程中产生的物质</w:t>
                  </w:r>
                </w:p>
              </w:tc>
            </w:tr>
            <w:tr w14:paraId="0713CB4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2" w:type="pct"/>
                  <w:shd w:val="clear" w:color="auto" w:fill="auto"/>
                  <w:noWrap w:val="0"/>
                  <w:vAlign w:val="center"/>
                </w:tcPr>
                <w:p w14:paraId="2D0933E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11</w:t>
                  </w:r>
                </w:p>
              </w:tc>
              <w:tc>
                <w:tcPr>
                  <w:tcW w:w="858" w:type="pct"/>
                  <w:noWrap w:val="0"/>
                  <w:vAlign w:val="center"/>
                </w:tcPr>
                <w:p w14:paraId="749872B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废包装桶</w:t>
                  </w:r>
                </w:p>
              </w:tc>
              <w:tc>
                <w:tcPr>
                  <w:tcW w:w="784" w:type="pct"/>
                  <w:noWrap w:val="0"/>
                  <w:vAlign w:val="center"/>
                </w:tcPr>
                <w:p w14:paraId="71D4C63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原料包装</w:t>
                  </w:r>
                </w:p>
              </w:tc>
              <w:tc>
                <w:tcPr>
                  <w:tcW w:w="365" w:type="pct"/>
                  <w:noWrap w:val="0"/>
                  <w:vAlign w:val="center"/>
                </w:tcPr>
                <w:p w14:paraId="47E7B96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661" w:type="pct"/>
                  <w:noWrap w:val="0"/>
                  <w:vAlign w:val="center"/>
                </w:tcPr>
                <w:p w14:paraId="60D943F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0"/>
                      <w:sz w:val="21"/>
                      <w:szCs w:val="21"/>
                      <w:lang w:val="en-US" w:eastAsia="zh-CN" w:bidi="ar-SA"/>
                    </w:rPr>
                  </w:pPr>
                  <w:r>
                    <w:rPr>
                      <w:rFonts w:hint="eastAsia" w:eastAsia="仿宋" w:cs="Times New Roman"/>
                      <w:bCs/>
                      <w:color w:val="auto"/>
                      <w:kern w:val="0"/>
                      <w:sz w:val="21"/>
                      <w:szCs w:val="21"/>
                      <w:lang w:val="en-US" w:eastAsia="zh-CN" w:bidi="ar-SA"/>
                    </w:rPr>
                    <w:t>胶粘剂</w:t>
                  </w:r>
                </w:p>
              </w:tc>
              <w:tc>
                <w:tcPr>
                  <w:tcW w:w="613" w:type="pct"/>
                  <w:noWrap w:val="0"/>
                  <w:vAlign w:val="center"/>
                </w:tcPr>
                <w:p w14:paraId="27B760A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0.062</w:t>
                  </w:r>
                </w:p>
              </w:tc>
              <w:tc>
                <w:tcPr>
                  <w:tcW w:w="1453" w:type="pct"/>
                  <w:noWrap w:val="0"/>
                  <w:vAlign w:val="center"/>
                </w:tcPr>
                <w:p w14:paraId="398E2C3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丧失原有使用价值的物质</w:t>
                  </w:r>
                </w:p>
              </w:tc>
            </w:tr>
            <w:tr w14:paraId="0A555D4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2" w:type="pct"/>
                  <w:noWrap w:val="0"/>
                  <w:vAlign w:val="center"/>
                </w:tcPr>
                <w:p w14:paraId="15FDC10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12</w:t>
                  </w:r>
                </w:p>
              </w:tc>
              <w:tc>
                <w:tcPr>
                  <w:tcW w:w="858" w:type="pct"/>
                  <w:noWrap w:val="0"/>
                  <w:vAlign w:val="center"/>
                </w:tcPr>
                <w:p w14:paraId="0315104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生活垃圾</w:t>
                  </w:r>
                </w:p>
              </w:tc>
              <w:tc>
                <w:tcPr>
                  <w:tcW w:w="784" w:type="pct"/>
                  <w:noWrap w:val="0"/>
                  <w:vAlign w:val="center"/>
                </w:tcPr>
                <w:p w14:paraId="425FF83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办公生活</w:t>
                  </w:r>
                </w:p>
              </w:tc>
              <w:tc>
                <w:tcPr>
                  <w:tcW w:w="365" w:type="pct"/>
                  <w:noWrap w:val="0"/>
                  <w:vAlign w:val="center"/>
                </w:tcPr>
                <w:p w14:paraId="665B7F9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661" w:type="pct"/>
                  <w:noWrap w:val="0"/>
                  <w:vAlign w:val="center"/>
                </w:tcPr>
                <w:p w14:paraId="61E4A93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0"/>
                      <w:sz w:val="21"/>
                      <w:szCs w:val="21"/>
                      <w:lang w:val="en-US" w:eastAsia="zh-CN" w:bidi="ar-SA"/>
                    </w:rPr>
                  </w:pPr>
                  <w:r>
                    <w:rPr>
                      <w:rFonts w:hint="eastAsia" w:eastAsia="仿宋" w:cs="Times New Roman"/>
                      <w:bCs/>
                      <w:color w:val="auto"/>
                      <w:kern w:val="0"/>
                      <w:sz w:val="21"/>
                      <w:szCs w:val="21"/>
                      <w:lang w:val="en-US" w:eastAsia="zh-CN" w:bidi="ar-SA"/>
                    </w:rPr>
                    <w:t>垃圾</w:t>
                  </w:r>
                </w:p>
              </w:tc>
              <w:tc>
                <w:tcPr>
                  <w:tcW w:w="613" w:type="pct"/>
                  <w:noWrap w:val="0"/>
                  <w:vAlign w:val="center"/>
                </w:tcPr>
                <w:p w14:paraId="01DB28F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4.5</w:t>
                  </w:r>
                </w:p>
              </w:tc>
              <w:tc>
                <w:tcPr>
                  <w:tcW w:w="1453" w:type="pct"/>
                  <w:noWrap w:val="0"/>
                  <w:vAlign w:val="center"/>
                </w:tcPr>
                <w:p w14:paraId="5DCEDC5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丧失原有使用价值的物质</w:t>
                  </w:r>
                </w:p>
              </w:tc>
            </w:tr>
          </w:tbl>
          <w:p w14:paraId="61AB4F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②项目固体废物产生情况汇总：</w:t>
            </w:r>
          </w:p>
          <w:p w14:paraId="1EF106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根据</w:t>
            </w:r>
            <w:r>
              <w:rPr>
                <w:rFonts w:hint="eastAsia" w:cs="Times New Roman"/>
                <w:b w:val="0"/>
                <w:bCs w:val="0"/>
                <w:color w:val="auto"/>
                <w:lang w:val="en-US" w:eastAsia="zh-CN"/>
              </w:rPr>
              <w:t>《国家危险废物名录》（2025年版）</w:t>
            </w:r>
            <w:r>
              <w:rPr>
                <w:rFonts w:hint="default" w:ascii="Times New Roman" w:hAnsi="Times New Roman" w:eastAsia="宋体" w:cs="Times New Roman"/>
                <w:b w:val="0"/>
                <w:bCs w:val="0"/>
                <w:color w:val="auto"/>
                <w:lang w:val="en-US" w:eastAsia="zh-CN"/>
              </w:rPr>
              <w:t>、《危险废物鉴别标准 通则》（GB5085.7-2019），对本项目产生的固废危险性进行鉴别。</w:t>
            </w:r>
          </w:p>
          <w:p w14:paraId="0069B1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一般固废：</w:t>
            </w:r>
          </w:p>
          <w:p w14:paraId="604132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cs="Times New Roman"/>
                <w:b w:val="0"/>
                <w:bCs w:val="0"/>
                <w:color w:val="auto"/>
                <w:lang w:val="en-US" w:eastAsia="zh-CN"/>
              </w:rPr>
            </w:pPr>
            <w:r>
              <w:rPr>
                <w:rFonts w:hint="eastAsia" w:cs="Times New Roman"/>
                <w:b w:val="0"/>
                <w:bCs w:val="0"/>
                <w:color w:val="auto"/>
                <w:lang w:val="en-US" w:eastAsia="zh-CN"/>
              </w:rPr>
              <w:t>金属边角料：钢管下料、机加工、拉毛过程产生边角料，根据建设单位提供资料，金属边角料产生量约为2t/a。</w:t>
            </w:r>
          </w:p>
          <w:p w14:paraId="60396A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cs="Times New Roman"/>
                <w:b w:val="0"/>
                <w:bCs w:val="0"/>
                <w:color w:val="auto"/>
                <w:lang w:val="en-US" w:eastAsia="zh-CN"/>
              </w:rPr>
            </w:pPr>
            <w:r>
              <w:rPr>
                <w:rFonts w:hint="eastAsia" w:cs="Times New Roman"/>
                <w:b w:val="0"/>
                <w:bCs w:val="0"/>
                <w:color w:val="auto"/>
                <w:lang w:val="en-US" w:eastAsia="zh-CN"/>
              </w:rPr>
              <w:t>废砂纸：本项目拉毛工段产生砂纸，根据建设单位提供资料，废砂纸约为0.01t/a。</w:t>
            </w:r>
          </w:p>
          <w:p w14:paraId="49C36F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cs="Times New Roman"/>
                <w:b w:val="0"/>
                <w:bCs w:val="0"/>
                <w:color w:val="auto"/>
                <w:lang w:val="en-US" w:eastAsia="zh-CN"/>
              </w:rPr>
            </w:pPr>
            <w:r>
              <w:rPr>
                <w:rFonts w:hint="eastAsia" w:cs="Times New Roman"/>
                <w:b w:val="0"/>
                <w:bCs w:val="0"/>
                <w:color w:val="auto"/>
                <w:lang w:val="en-US" w:eastAsia="zh-CN"/>
              </w:rPr>
              <w:t>橡胶边角料：胶辊磨圆过程产生边角料，根据建设单位提供资料，橡胶边角料产生量约为0.5t/a。</w:t>
            </w:r>
          </w:p>
          <w:p w14:paraId="317147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cs="Times New Roman"/>
                <w:b w:val="0"/>
                <w:bCs w:val="0"/>
                <w:color w:val="auto"/>
                <w:lang w:val="en-US" w:eastAsia="zh-CN"/>
              </w:rPr>
            </w:pPr>
            <w:r>
              <w:rPr>
                <w:rFonts w:hint="eastAsia" w:cs="Times New Roman"/>
                <w:b w:val="0"/>
                <w:bCs w:val="0"/>
                <w:color w:val="auto"/>
                <w:lang w:val="en-US" w:eastAsia="zh-CN"/>
              </w:rPr>
              <w:t>收集粉尘：本项目在磨圆过程中产生的粉尘经袋式除尘装置处理后有组织排放，废气捕集率90%，去除率90%；密炼过程产生的粉尘经脉冲除尘+水喷淋装置处理后有组织排放，废气捕集率95%，去除率99.5%，经计算产生量约为1.3t/a。</w:t>
            </w:r>
          </w:p>
          <w:p w14:paraId="64B0BD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废布袋：本项目除尘装置所用布袋每年更换一次，根据布袋数量折算，废布袋产生量约0.1t/a。</w:t>
            </w:r>
          </w:p>
          <w:p w14:paraId="79B023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废包装材料：本项目部分原料包装为盒装或袋装，</w:t>
            </w:r>
            <w:r>
              <w:rPr>
                <w:rFonts w:hint="default" w:ascii="Times New Roman" w:hAnsi="Times New Roman" w:eastAsia="宋体" w:cs="Times New Roman"/>
                <w:b w:val="0"/>
                <w:bCs w:val="0"/>
                <w:color w:val="auto"/>
                <w:lang w:val="en-US" w:eastAsia="zh-CN"/>
              </w:rPr>
              <w:t>用尽后</w:t>
            </w:r>
            <w:r>
              <w:rPr>
                <w:rFonts w:hint="eastAsia" w:cs="Times New Roman"/>
                <w:b w:val="0"/>
                <w:bCs w:val="0"/>
                <w:color w:val="auto"/>
                <w:lang w:val="en-US" w:eastAsia="zh-CN"/>
              </w:rPr>
              <w:t>会</w:t>
            </w:r>
            <w:r>
              <w:rPr>
                <w:rFonts w:hint="default" w:ascii="Times New Roman" w:hAnsi="Times New Roman" w:eastAsia="宋体" w:cs="Times New Roman"/>
                <w:b w:val="0"/>
                <w:bCs w:val="0"/>
                <w:color w:val="auto"/>
                <w:lang w:val="en-US" w:eastAsia="zh-CN"/>
              </w:rPr>
              <w:t>产生废包装</w:t>
            </w:r>
            <w:r>
              <w:rPr>
                <w:rFonts w:hint="eastAsia" w:ascii="Times New Roman" w:hAnsi="Times New Roman" w:eastAsia="宋体" w:cs="Times New Roman"/>
                <w:b w:val="0"/>
                <w:bCs w:val="0"/>
                <w:color w:val="auto"/>
                <w:lang w:val="en-US" w:eastAsia="zh-CN"/>
              </w:rPr>
              <w:t>材料</w:t>
            </w:r>
            <w:r>
              <w:rPr>
                <w:rFonts w:hint="default" w:ascii="Times New Roman" w:hAnsi="Times New Roman" w:eastAsia="宋体" w:cs="Times New Roman"/>
                <w:b w:val="0"/>
                <w:bCs w:val="0"/>
                <w:color w:val="auto"/>
                <w:lang w:val="en-US" w:eastAsia="zh-CN"/>
              </w:rPr>
              <w:t>，根据建设</w:t>
            </w:r>
            <w:r>
              <w:rPr>
                <w:rFonts w:hint="eastAsia" w:ascii="Times New Roman" w:hAnsi="Times New Roman" w:cs="Times New Roman"/>
                <w:b w:val="0"/>
                <w:bCs w:val="0"/>
                <w:color w:val="auto"/>
                <w:lang w:val="en-US" w:eastAsia="zh-CN"/>
              </w:rPr>
              <w:t>单位提供资料，产生量约为0.05t/a。</w:t>
            </w:r>
          </w:p>
          <w:p w14:paraId="346CB1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cs="Times New Roman"/>
                <w:b/>
                <w:bCs/>
                <w:color w:val="auto"/>
                <w:lang w:val="en-US" w:eastAsia="zh-CN"/>
              </w:rPr>
            </w:pPr>
            <w:r>
              <w:rPr>
                <w:rFonts w:hint="eastAsia" w:cs="Times New Roman"/>
                <w:b/>
                <w:bCs/>
                <w:color w:val="auto"/>
                <w:lang w:val="en-US" w:eastAsia="zh-CN"/>
              </w:rPr>
              <w:t>危险废物：</w:t>
            </w:r>
          </w:p>
          <w:p w14:paraId="2246292F">
            <w:pPr>
              <w:pStyle w:val="13"/>
              <w:keepNext w:val="0"/>
              <w:keepLines w:val="0"/>
              <w:numPr>
                <w:ilvl w:val="0"/>
                <w:numId w:val="0"/>
              </w:numPr>
              <w:suppressLineNumbers w:val="0"/>
              <w:spacing w:before="0" w:beforeAutospacing="0" w:after="0" w:afterAutospacing="0" w:line="360" w:lineRule="auto"/>
              <w:ind w:left="0" w:right="0" w:firstLine="420" w:firstLineChars="200"/>
              <w:rPr>
                <w:rFonts w:hint="default" w:cs="Times New Roman"/>
                <w:b w:val="0"/>
                <w:bCs w:val="0"/>
                <w:color w:val="auto"/>
                <w:lang w:val="en-US" w:eastAsia="zh-CN"/>
              </w:rPr>
            </w:pPr>
            <w:r>
              <w:rPr>
                <w:rFonts w:hint="eastAsia" w:cs="Times New Roman"/>
                <w:b w:val="0"/>
                <w:bCs w:val="0"/>
                <w:color w:val="auto"/>
                <w:lang w:val="en-US" w:eastAsia="zh-CN"/>
              </w:rPr>
              <w:t>废切削液：本项目下料、机加工过程使用切削液进行润滑和冷却，切削液循环使用，定期补充、更换，根据建设单位提供资料，废切削液产生量约为0.1t/a。经查《国家危险废物名录》（2025年版），废切削液属于危险废物，废物类别</w:t>
            </w:r>
            <w:r>
              <w:rPr>
                <w:rFonts w:hint="default" w:cs="Times New Roman"/>
                <w:b w:val="0"/>
                <w:bCs w:val="0"/>
                <w:color w:val="auto"/>
                <w:lang w:val="en-US" w:eastAsia="zh-CN"/>
              </w:rPr>
              <w:t>HW</w:t>
            </w:r>
            <w:r>
              <w:rPr>
                <w:rFonts w:hint="eastAsia" w:cs="Times New Roman"/>
                <w:b w:val="0"/>
                <w:bCs w:val="0"/>
                <w:color w:val="auto"/>
                <w:lang w:val="en-US" w:eastAsia="zh-CN"/>
              </w:rPr>
              <w:t>0</w:t>
            </w:r>
            <w:r>
              <w:rPr>
                <w:rFonts w:hint="default" w:cs="Times New Roman"/>
                <w:b w:val="0"/>
                <w:bCs w:val="0"/>
                <w:color w:val="auto"/>
                <w:lang w:val="en-US" w:eastAsia="zh-CN"/>
              </w:rPr>
              <w:t>9，废物代码900-0</w:t>
            </w:r>
            <w:r>
              <w:rPr>
                <w:rFonts w:hint="eastAsia" w:cs="Times New Roman"/>
                <w:b w:val="0"/>
                <w:bCs w:val="0"/>
                <w:color w:val="auto"/>
                <w:lang w:val="en-US" w:eastAsia="zh-CN"/>
              </w:rPr>
              <w:t>06</w:t>
            </w:r>
            <w:r>
              <w:rPr>
                <w:rFonts w:hint="default" w:cs="Times New Roman"/>
                <w:b w:val="0"/>
                <w:bCs w:val="0"/>
                <w:color w:val="auto"/>
                <w:lang w:val="en-US" w:eastAsia="zh-CN"/>
              </w:rPr>
              <w:t>-</w:t>
            </w:r>
            <w:r>
              <w:rPr>
                <w:rFonts w:hint="eastAsia" w:cs="Times New Roman"/>
                <w:b w:val="0"/>
                <w:bCs w:val="0"/>
                <w:color w:val="auto"/>
                <w:lang w:val="en-US" w:eastAsia="zh-CN"/>
              </w:rPr>
              <w:t>09。</w:t>
            </w:r>
          </w:p>
          <w:p w14:paraId="450926A5">
            <w:pPr>
              <w:pStyle w:val="13"/>
              <w:keepNext w:val="0"/>
              <w:keepLines w:val="0"/>
              <w:numPr>
                <w:ilvl w:val="0"/>
                <w:numId w:val="0"/>
              </w:numPr>
              <w:suppressLineNumbers w:val="0"/>
              <w:spacing w:before="0" w:beforeAutospacing="0" w:after="0" w:afterAutospacing="0" w:line="360" w:lineRule="auto"/>
              <w:ind w:left="0" w:right="0" w:firstLine="420" w:firstLineChars="200"/>
              <w:rPr>
                <w:rFonts w:hint="default" w:cs="Times New Roman"/>
                <w:b w:val="0"/>
                <w:bCs w:val="0"/>
                <w:color w:val="auto"/>
                <w:lang w:val="en-US" w:eastAsia="zh-CN"/>
              </w:rPr>
            </w:pPr>
            <w:r>
              <w:rPr>
                <w:rFonts w:hint="eastAsia" w:cs="Times New Roman"/>
                <w:b w:val="0"/>
                <w:bCs w:val="0"/>
                <w:color w:val="auto"/>
                <w:lang w:val="en-US" w:eastAsia="zh-CN"/>
              </w:rPr>
              <w:t>含胶劳保用品：本项目涂胶过程中会产生沾染胶粘剂的废手套等劳保用品，根据建设单位提供资料，含胶劳保用品产生量约为0.05t/a。</w:t>
            </w:r>
            <w:r>
              <w:rPr>
                <w:rFonts w:hint="default" w:ascii="Times New Roman" w:hAnsi="Times New Roman" w:eastAsia="宋体" w:cs="Times New Roman"/>
                <w:b w:val="0"/>
                <w:bCs w:val="0"/>
                <w:color w:val="auto"/>
                <w:lang w:val="en-US" w:eastAsia="zh-CN"/>
              </w:rPr>
              <w:t>经查</w:t>
            </w:r>
            <w:r>
              <w:rPr>
                <w:rFonts w:hint="eastAsia" w:cs="Times New Roman"/>
                <w:b w:val="0"/>
                <w:bCs w:val="0"/>
                <w:color w:val="auto"/>
                <w:lang w:val="en-US" w:eastAsia="zh-CN"/>
              </w:rPr>
              <w:t>《国家危险废物名录》（2025年版）</w:t>
            </w:r>
            <w:r>
              <w:rPr>
                <w:rFonts w:hint="default" w:ascii="Times New Roman" w:hAnsi="Times New Roman" w:eastAsia="宋体" w:cs="Times New Roman"/>
                <w:b w:val="0"/>
                <w:bCs w:val="0"/>
                <w:color w:val="auto"/>
                <w:lang w:val="en-US" w:eastAsia="zh-CN"/>
              </w:rPr>
              <w:t>，</w:t>
            </w:r>
            <w:r>
              <w:rPr>
                <w:rFonts w:hint="eastAsia" w:cs="Times New Roman"/>
                <w:b w:val="0"/>
                <w:bCs w:val="0"/>
                <w:color w:val="auto"/>
                <w:lang w:val="en-US" w:eastAsia="zh-CN"/>
              </w:rPr>
              <w:t>含胶劳保用品</w:t>
            </w:r>
            <w:r>
              <w:rPr>
                <w:rFonts w:hint="default" w:ascii="Times New Roman" w:hAnsi="Times New Roman" w:eastAsia="宋体" w:cs="Times New Roman"/>
                <w:b w:val="0"/>
                <w:bCs w:val="0"/>
                <w:color w:val="auto"/>
                <w:lang w:val="en-US" w:eastAsia="zh-CN"/>
              </w:rPr>
              <w:t>属于危险废物，废物类别HW</w:t>
            </w:r>
            <w:r>
              <w:rPr>
                <w:rFonts w:hint="eastAsia" w:cs="Times New Roman"/>
                <w:b w:val="0"/>
                <w:bCs w:val="0"/>
                <w:color w:val="auto"/>
                <w:lang w:val="en-US" w:eastAsia="zh-CN"/>
              </w:rPr>
              <w:t>49</w:t>
            </w:r>
            <w:r>
              <w:rPr>
                <w:rFonts w:hint="default" w:ascii="Times New Roman" w:hAnsi="Times New Roman" w:eastAsia="宋体" w:cs="Times New Roman"/>
                <w:b w:val="0"/>
                <w:bCs w:val="0"/>
                <w:color w:val="auto"/>
                <w:lang w:val="en-US" w:eastAsia="zh-CN"/>
              </w:rPr>
              <w:t>，废物代码900-0</w:t>
            </w:r>
            <w:r>
              <w:rPr>
                <w:rFonts w:hint="eastAsia" w:cs="Times New Roman"/>
                <w:b w:val="0"/>
                <w:bCs w:val="0"/>
                <w:color w:val="auto"/>
                <w:lang w:val="en-US" w:eastAsia="zh-CN"/>
              </w:rPr>
              <w:t>41-49</w:t>
            </w:r>
            <w:r>
              <w:rPr>
                <w:rFonts w:hint="default" w:ascii="Times New Roman" w:hAnsi="Times New Roman" w:eastAsia="宋体" w:cs="Times New Roman"/>
                <w:b w:val="0"/>
                <w:bCs w:val="0"/>
                <w:color w:val="auto"/>
                <w:lang w:val="en-US" w:eastAsia="zh-CN"/>
              </w:rPr>
              <w:t>。</w:t>
            </w:r>
          </w:p>
          <w:p w14:paraId="6DCF7F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cs="Times New Roman"/>
                <w:b w:val="0"/>
                <w:bCs w:val="0"/>
                <w:color w:val="auto"/>
                <w:lang w:val="en-US" w:eastAsia="zh-CN"/>
              </w:rPr>
            </w:pPr>
            <w:r>
              <w:rPr>
                <w:rFonts w:hint="eastAsia" w:ascii="Times New Roman" w:hAnsi="Times New Roman" w:eastAsia="宋体" w:cs="Times New Roman"/>
                <w:b w:val="0"/>
                <w:bCs w:val="0"/>
                <w:color w:val="auto"/>
                <w:kern w:val="2"/>
                <w:sz w:val="21"/>
                <w:szCs w:val="24"/>
                <w:lang w:val="en-US" w:eastAsia="zh-CN" w:bidi="ar-SA"/>
              </w:rPr>
              <w:t>喷淋废液：本项目设置</w:t>
            </w:r>
            <w:r>
              <w:rPr>
                <w:rFonts w:hint="eastAsia" w:cs="Times New Roman"/>
                <w:b w:val="0"/>
                <w:bCs w:val="0"/>
                <w:color w:val="auto"/>
                <w:kern w:val="2"/>
                <w:sz w:val="21"/>
                <w:szCs w:val="24"/>
                <w:lang w:val="en-US" w:eastAsia="zh-CN" w:bidi="ar-SA"/>
              </w:rPr>
              <w:t>1</w:t>
            </w:r>
            <w:r>
              <w:rPr>
                <w:rFonts w:hint="eastAsia" w:ascii="Times New Roman" w:hAnsi="Times New Roman" w:eastAsia="宋体" w:cs="Times New Roman"/>
                <w:b w:val="0"/>
                <w:bCs w:val="0"/>
                <w:color w:val="auto"/>
                <w:kern w:val="2"/>
                <w:sz w:val="21"/>
                <w:szCs w:val="24"/>
                <w:lang w:val="en-US" w:eastAsia="zh-CN" w:bidi="ar-SA"/>
              </w:rPr>
              <w:t>座有效容积为0.5m</w:t>
            </w:r>
            <w:r>
              <w:rPr>
                <w:rFonts w:hint="eastAsia" w:ascii="Times New Roman" w:hAnsi="Times New Roman" w:eastAsia="宋体" w:cs="Times New Roman"/>
                <w:b w:val="0"/>
                <w:bCs w:val="0"/>
                <w:color w:val="auto"/>
                <w:kern w:val="2"/>
                <w:sz w:val="21"/>
                <w:szCs w:val="24"/>
                <w:vertAlign w:val="superscript"/>
                <w:lang w:val="en-US" w:eastAsia="zh-CN" w:bidi="ar-SA"/>
              </w:rPr>
              <w:t>3</w:t>
            </w:r>
            <w:r>
              <w:rPr>
                <w:rFonts w:hint="eastAsia" w:ascii="Times New Roman" w:hAnsi="Times New Roman" w:eastAsia="宋体" w:cs="Times New Roman"/>
                <w:b w:val="0"/>
                <w:bCs w:val="0"/>
                <w:color w:val="auto"/>
                <w:kern w:val="2"/>
                <w:sz w:val="21"/>
                <w:szCs w:val="24"/>
                <w:vertAlign w:val="baseline"/>
                <w:lang w:val="en-US" w:eastAsia="zh-CN" w:bidi="ar-SA"/>
              </w:rPr>
              <w:t>的</w:t>
            </w:r>
            <w:r>
              <w:rPr>
                <w:rFonts w:hint="eastAsia" w:cs="Times New Roman"/>
                <w:b w:val="0"/>
                <w:bCs w:val="0"/>
                <w:color w:val="auto"/>
                <w:kern w:val="2"/>
                <w:sz w:val="21"/>
                <w:szCs w:val="24"/>
                <w:lang w:val="en-US" w:eastAsia="zh-CN" w:bidi="ar-SA"/>
              </w:rPr>
              <w:t>喷淋</w:t>
            </w:r>
            <w:r>
              <w:rPr>
                <w:rFonts w:hint="eastAsia" w:ascii="Times New Roman" w:hAnsi="Times New Roman" w:eastAsia="宋体" w:cs="Times New Roman"/>
                <w:b w:val="0"/>
                <w:bCs w:val="0"/>
                <w:color w:val="auto"/>
                <w:kern w:val="2"/>
                <w:sz w:val="21"/>
                <w:szCs w:val="24"/>
                <w:lang w:val="en-US" w:eastAsia="zh-CN" w:bidi="ar-SA"/>
              </w:rPr>
              <w:t>塔，喷淋</w:t>
            </w:r>
            <w:r>
              <w:rPr>
                <w:rFonts w:hint="eastAsia" w:cs="Times New Roman"/>
                <w:b w:val="0"/>
                <w:bCs w:val="0"/>
                <w:color w:val="auto"/>
                <w:kern w:val="2"/>
                <w:sz w:val="21"/>
                <w:szCs w:val="24"/>
                <w:lang w:val="en-US" w:eastAsia="zh-CN" w:bidi="ar-SA"/>
              </w:rPr>
              <w:t>用水</w:t>
            </w:r>
            <w:r>
              <w:rPr>
                <w:rFonts w:hint="eastAsia" w:ascii="Times New Roman" w:hAnsi="Times New Roman" w:eastAsia="宋体" w:cs="Times New Roman"/>
                <w:b w:val="0"/>
                <w:bCs w:val="0"/>
                <w:color w:val="auto"/>
                <w:kern w:val="2"/>
                <w:sz w:val="21"/>
                <w:szCs w:val="24"/>
                <w:lang w:val="en-US" w:eastAsia="zh-CN" w:bidi="ar-SA"/>
              </w:rPr>
              <w:t>定期更换，更换周期为</w:t>
            </w:r>
            <w:r>
              <w:rPr>
                <w:rFonts w:hint="eastAsia" w:cs="Times New Roman"/>
                <w:b w:val="0"/>
                <w:bCs w:val="0"/>
                <w:color w:val="auto"/>
                <w:kern w:val="2"/>
                <w:sz w:val="21"/>
                <w:szCs w:val="24"/>
                <w:lang w:val="en-US" w:eastAsia="zh-CN" w:bidi="ar-SA"/>
              </w:rPr>
              <w:t>每半年一</w:t>
            </w:r>
            <w:r>
              <w:rPr>
                <w:rFonts w:hint="eastAsia" w:ascii="Times New Roman" w:hAnsi="Times New Roman" w:eastAsia="宋体" w:cs="Times New Roman"/>
                <w:b w:val="0"/>
                <w:bCs w:val="0"/>
                <w:color w:val="auto"/>
                <w:kern w:val="2"/>
                <w:sz w:val="21"/>
                <w:szCs w:val="24"/>
                <w:lang w:val="en-US" w:eastAsia="zh-CN" w:bidi="ar-SA"/>
              </w:rPr>
              <w:t>次</w:t>
            </w:r>
            <w:r>
              <w:rPr>
                <w:rFonts w:hint="eastAsia" w:cs="Times New Roman"/>
                <w:b w:val="0"/>
                <w:bCs w:val="0"/>
                <w:color w:val="auto"/>
                <w:kern w:val="2"/>
                <w:sz w:val="21"/>
                <w:szCs w:val="24"/>
                <w:lang w:val="en-US" w:eastAsia="zh-CN" w:bidi="ar-SA"/>
              </w:rPr>
              <w:t>，故喷淋废液产生量共计1t/a。</w:t>
            </w:r>
            <w:r>
              <w:rPr>
                <w:rFonts w:hint="eastAsia" w:cs="Times New Roman"/>
                <w:b w:val="0"/>
                <w:bCs w:val="0"/>
                <w:color w:val="auto"/>
                <w:lang w:val="en-US" w:eastAsia="zh-CN"/>
              </w:rPr>
              <w:t>经查《国家危险废物名录》（2025年版），</w:t>
            </w:r>
            <w:r>
              <w:rPr>
                <w:rFonts w:hint="eastAsia" w:ascii="Times New Roman" w:hAnsi="Times New Roman" w:eastAsia="宋体" w:cs="Times New Roman"/>
                <w:b w:val="0"/>
                <w:bCs w:val="0"/>
                <w:color w:val="auto"/>
                <w:kern w:val="2"/>
                <w:sz w:val="21"/>
                <w:szCs w:val="24"/>
                <w:lang w:val="en-US" w:eastAsia="zh-CN" w:bidi="ar-SA"/>
              </w:rPr>
              <w:t>喷淋废液</w:t>
            </w:r>
            <w:r>
              <w:rPr>
                <w:rFonts w:hint="eastAsia" w:cs="Times New Roman"/>
                <w:b w:val="0"/>
                <w:bCs w:val="0"/>
                <w:color w:val="auto"/>
                <w:lang w:val="en-US" w:eastAsia="zh-CN"/>
              </w:rPr>
              <w:t>属于危险废物，废物类别</w:t>
            </w:r>
            <w:r>
              <w:rPr>
                <w:rFonts w:hint="default" w:cs="Times New Roman"/>
                <w:b w:val="0"/>
                <w:bCs w:val="0"/>
                <w:color w:val="auto"/>
                <w:lang w:val="en-US" w:eastAsia="zh-CN"/>
              </w:rPr>
              <w:t>HW</w:t>
            </w:r>
            <w:r>
              <w:rPr>
                <w:rFonts w:hint="eastAsia" w:cs="Times New Roman"/>
                <w:b w:val="0"/>
                <w:bCs w:val="0"/>
                <w:color w:val="auto"/>
                <w:lang w:val="en-US" w:eastAsia="zh-CN"/>
              </w:rPr>
              <w:t>0</w:t>
            </w:r>
            <w:r>
              <w:rPr>
                <w:rFonts w:hint="default" w:cs="Times New Roman"/>
                <w:b w:val="0"/>
                <w:bCs w:val="0"/>
                <w:color w:val="auto"/>
                <w:lang w:val="en-US" w:eastAsia="zh-CN"/>
              </w:rPr>
              <w:t>9，废物代码900-0</w:t>
            </w:r>
            <w:r>
              <w:rPr>
                <w:rFonts w:hint="eastAsia" w:cs="Times New Roman"/>
                <w:b w:val="0"/>
                <w:bCs w:val="0"/>
                <w:color w:val="auto"/>
                <w:lang w:val="en-US" w:eastAsia="zh-CN"/>
              </w:rPr>
              <w:t>07</w:t>
            </w:r>
            <w:r>
              <w:rPr>
                <w:rFonts w:hint="default" w:cs="Times New Roman"/>
                <w:b w:val="0"/>
                <w:bCs w:val="0"/>
                <w:color w:val="auto"/>
                <w:lang w:val="en-US" w:eastAsia="zh-CN"/>
              </w:rPr>
              <w:t>-</w:t>
            </w:r>
            <w:r>
              <w:rPr>
                <w:rFonts w:hint="eastAsia" w:cs="Times New Roman"/>
                <w:b w:val="0"/>
                <w:bCs w:val="0"/>
                <w:color w:val="auto"/>
                <w:lang w:val="en-US" w:eastAsia="zh-CN"/>
              </w:rPr>
              <w:t>09。</w:t>
            </w:r>
          </w:p>
          <w:p w14:paraId="1181ED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废活性炭：本项目设置一套“两级活性炭吸附”处理涂胶废气、炼胶废气及硫化废气，根据</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表4-1</w:t>
            </w:r>
            <w:r>
              <w:rPr>
                <w:rFonts w:hint="eastAsia" w:ascii="Times New Roman" w:hAnsi="Times New Roman" w:eastAsia="宋体" w:cs="Times New Roman"/>
                <w:b w:val="0"/>
                <w:bCs w:val="0"/>
                <w:color w:val="auto"/>
                <w:lang w:val="en-US" w:eastAsia="zh-CN"/>
              </w:rPr>
              <w:t>、4-2</w:t>
            </w:r>
            <w:r>
              <w:rPr>
                <w:rFonts w:hint="default" w:ascii="Times New Roman" w:hAnsi="Times New Roman" w:eastAsia="宋体" w:cs="Times New Roman"/>
                <w:b w:val="0"/>
                <w:bCs w:val="0"/>
                <w:color w:val="auto"/>
                <w:lang w:val="en-US" w:eastAsia="zh-CN"/>
              </w:rPr>
              <w:t xml:space="preserve">  本项目有组织废气产排情况</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可知，本项目活性炭吸附装置</w:t>
            </w:r>
            <w:r>
              <w:rPr>
                <w:rFonts w:hint="eastAsia" w:ascii="Times New Roman" w:hAnsi="Times New Roman" w:eastAsia="宋体" w:cs="Times New Roman"/>
                <w:b w:val="0"/>
                <w:bCs w:val="0"/>
                <w:color w:val="auto"/>
                <w:lang w:val="en-US" w:eastAsia="zh-CN"/>
              </w:rPr>
              <w:t>（TA002）</w:t>
            </w:r>
            <w:r>
              <w:rPr>
                <w:rFonts w:hint="default" w:ascii="Times New Roman" w:hAnsi="Times New Roman" w:eastAsia="宋体" w:cs="Times New Roman"/>
                <w:b w:val="0"/>
                <w:bCs w:val="0"/>
                <w:color w:val="auto"/>
                <w:lang w:val="en-US" w:eastAsia="zh-CN"/>
              </w:rPr>
              <w:t>吸附有机废气</w:t>
            </w:r>
            <w:r>
              <w:rPr>
                <w:rFonts w:hint="eastAsia" w:cs="Times New Roman"/>
                <w:b w:val="0"/>
                <w:bCs w:val="0"/>
                <w:color w:val="auto"/>
                <w:lang w:val="en-US" w:eastAsia="zh-CN"/>
              </w:rPr>
              <w:t>约0.52</w:t>
            </w:r>
            <w:r>
              <w:rPr>
                <w:rFonts w:hint="default" w:ascii="Times New Roman" w:hAnsi="Times New Roman" w:eastAsia="宋体" w:cs="Times New Roman"/>
                <w:b w:val="0"/>
                <w:bCs w:val="0"/>
                <w:color w:val="auto"/>
                <w:lang w:val="en-US" w:eastAsia="zh-CN"/>
              </w:rPr>
              <w:t>t/a</w:t>
            </w:r>
            <w:r>
              <w:rPr>
                <w:rFonts w:hint="eastAsia" w:ascii="Times New Roman" w:hAnsi="Times New Roman" w:eastAsia="宋体" w:cs="Times New Roman"/>
                <w:b w:val="0"/>
                <w:bCs w:val="0"/>
                <w:color w:val="auto"/>
                <w:lang w:val="en-US" w:eastAsia="zh-CN"/>
              </w:rPr>
              <w:t>，</w:t>
            </w:r>
            <w:r>
              <w:rPr>
                <w:rFonts w:hint="eastAsia" w:cs="Times New Roman"/>
                <w:b w:val="0"/>
                <w:bCs w:val="0"/>
                <w:color w:val="auto"/>
                <w:lang w:val="en-US" w:eastAsia="zh-CN"/>
              </w:rPr>
              <w:t>TA002</w:t>
            </w:r>
            <w:r>
              <w:rPr>
                <w:rFonts w:hint="eastAsia" w:ascii="Times New Roman" w:hAnsi="Times New Roman" w:eastAsia="宋体" w:cs="Times New Roman"/>
                <w:b w:val="0"/>
                <w:bCs w:val="0"/>
                <w:color w:val="auto"/>
                <w:lang w:val="en-US" w:eastAsia="zh-CN"/>
              </w:rPr>
              <w:t>装置活性炭更换周期以</w:t>
            </w:r>
            <w:r>
              <w:rPr>
                <w:rFonts w:hint="eastAsia" w:cs="Times New Roman"/>
                <w:b w:val="0"/>
                <w:bCs w:val="0"/>
                <w:color w:val="auto"/>
                <w:lang w:val="en-US" w:eastAsia="zh-CN"/>
              </w:rPr>
              <w:t>99</w:t>
            </w:r>
            <w:r>
              <w:rPr>
                <w:rFonts w:hint="eastAsia" w:ascii="Times New Roman" w:hAnsi="Times New Roman" w:eastAsia="宋体" w:cs="Times New Roman"/>
                <w:b w:val="0"/>
                <w:bCs w:val="0"/>
                <w:color w:val="auto"/>
                <w:lang w:val="en-US" w:eastAsia="zh-CN"/>
              </w:rPr>
              <w:t>天一次计（即一年更换</w:t>
            </w:r>
            <w:r>
              <w:rPr>
                <w:rFonts w:hint="eastAsia" w:cs="Times New Roman"/>
                <w:b w:val="0"/>
                <w:bCs w:val="0"/>
                <w:color w:val="auto"/>
                <w:lang w:val="en-US" w:eastAsia="zh-CN"/>
              </w:rPr>
              <w:t>4</w:t>
            </w:r>
            <w:r>
              <w:rPr>
                <w:rFonts w:hint="eastAsia" w:ascii="Times New Roman" w:hAnsi="Times New Roman" w:eastAsia="宋体" w:cs="Times New Roman"/>
                <w:b w:val="0"/>
                <w:bCs w:val="0"/>
                <w:color w:val="auto"/>
                <w:lang w:val="en-US" w:eastAsia="zh-CN"/>
              </w:rPr>
              <w:t>次），单次装填量约0.864t，故废活性炭产生量约为</w:t>
            </w:r>
            <w:r>
              <w:rPr>
                <w:rFonts w:hint="eastAsia" w:cs="Times New Roman"/>
                <w:b w:val="0"/>
                <w:bCs w:val="0"/>
                <w:color w:val="auto"/>
                <w:lang w:val="en-US" w:eastAsia="zh-CN"/>
              </w:rPr>
              <w:t>4</w:t>
            </w:r>
            <w:r>
              <w:rPr>
                <w:rFonts w:hint="eastAsia" w:ascii="Times New Roman" w:hAnsi="Times New Roman" w:eastAsia="宋体" w:cs="Times New Roman"/>
                <w:b w:val="0"/>
                <w:bCs w:val="0"/>
                <w:color w:val="auto"/>
                <w:lang w:val="en-US" w:eastAsia="zh-CN"/>
              </w:rPr>
              <w:t>t/a</w:t>
            </w:r>
            <w:r>
              <w:rPr>
                <w:rFonts w:hint="eastAsia" w:cs="Times New Roman"/>
                <w:b w:val="0"/>
                <w:bCs w:val="0"/>
                <w:color w:val="auto"/>
                <w:lang w:val="en-US" w:eastAsia="zh-CN"/>
              </w:rPr>
              <w:t>。经查《国家危险废物名录》（2025年版），废活性炭属于危险废物，废物类别HW49，废物代码900-039-49。</w:t>
            </w:r>
          </w:p>
          <w:p w14:paraId="5DD9701D">
            <w:pPr>
              <w:pStyle w:val="13"/>
              <w:keepNext w:val="0"/>
              <w:keepLines w:val="0"/>
              <w:numPr>
                <w:ilvl w:val="0"/>
                <w:numId w:val="0"/>
              </w:numPr>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废包装桶：</w:t>
            </w:r>
            <w:r>
              <w:rPr>
                <w:rFonts w:hint="eastAsia" w:ascii="Times New Roman" w:hAnsi="Times New Roman" w:eastAsia="宋体" w:cs="Times New Roman"/>
                <w:b w:val="0"/>
                <w:bCs w:val="0"/>
                <w:color w:val="auto"/>
                <w:lang w:val="en-US" w:eastAsia="zh-CN"/>
              </w:rPr>
              <w:t>本项目</w:t>
            </w:r>
            <w:r>
              <w:rPr>
                <w:rFonts w:hint="eastAsia" w:cs="Times New Roman"/>
                <w:b w:val="0"/>
                <w:bCs w:val="0"/>
                <w:color w:val="auto"/>
                <w:lang w:val="en-US" w:eastAsia="zh-CN"/>
              </w:rPr>
              <w:t>液态物料</w:t>
            </w:r>
            <w:r>
              <w:rPr>
                <w:rFonts w:hint="default" w:ascii="Times New Roman" w:hAnsi="Times New Roman" w:eastAsia="宋体" w:cs="Times New Roman"/>
                <w:b w:val="0"/>
                <w:bCs w:val="0"/>
                <w:color w:val="auto"/>
                <w:lang w:val="en-US" w:eastAsia="zh-CN"/>
              </w:rPr>
              <w:t>用尽后</w:t>
            </w:r>
            <w:r>
              <w:rPr>
                <w:rFonts w:hint="eastAsia" w:cs="Times New Roman"/>
                <w:b w:val="0"/>
                <w:bCs w:val="0"/>
                <w:color w:val="auto"/>
                <w:lang w:val="en-US" w:eastAsia="zh-CN"/>
              </w:rPr>
              <w:t>会</w:t>
            </w:r>
            <w:r>
              <w:rPr>
                <w:rFonts w:hint="default" w:ascii="Times New Roman" w:hAnsi="Times New Roman" w:eastAsia="宋体" w:cs="Times New Roman"/>
                <w:b w:val="0"/>
                <w:bCs w:val="0"/>
                <w:color w:val="auto"/>
                <w:lang w:val="en-US" w:eastAsia="zh-CN"/>
              </w:rPr>
              <w:t>产生废包装桶，根据建设</w:t>
            </w:r>
            <w:r>
              <w:rPr>
                <w:rFonts w:hint="eastAsia" w:ascii="Times New Roman" w:hAnsi="Times New Roman" w:cs="Times New Roman"/>
                <w:b w:val="0"/>
                <w:bCs w:val="0"/>
                <w:color w:val="auto"/>
                <w:lang w:val="en-US" w:eastAsia="zh-CN"/>
              </w:rPr>
              <w:t>单位提供资料，</w:t>
            </w:r>
            <w:r>
              <w:rPr>
                <w:rFonts w:hint="eastAsia" w:cs="Times New Roman"/>
                <w:b w:val="0"/>
                <w:bCs w:val="0"/>
                <w:color w:val="auto"/>
                <w:lang w:val="en-US" w:eastAsia="zh-CN"/>
              </w:rPr>
              <w:t>胶粘剂使用25kg包装桶，空桶约0.5kg/只；切削液使用200kg包装桶，空桶约20kg/只。根据“表2-4  本项目主要原辅材料消耗状况”可知，则</w:t>
            </w:r>
            <w:r>
              <w:rPr>
                <w:rFonts w:hint="default" w:ascii="Times New Roman" w:hAnsi="Times New Roman" w:eastAsia="宋体" w:cs="Times New Roman"/>
                <w:b w:val="0"/>
                <w:bCs w:val="0"/>
                <w:color w:val="auto"/>
                <w:lang w:val="en-US" w:eastAsia="zh-CN"/>
              </w:rPr>
              <w:t>废包装桶的产生量约为</w:t>
            </w:r>
            <w:r>
              <w:rPr>
                <w:rFonts w:hint="eastAsia" w:cs="Times New Roman"/>
                <w:b w:val="0"/>
                <w:bCs w:val="0"/>
                <w:color w:val="auto"/>
                <w:lang w:val="en-US" w:eastAsia="zh-CN"/>
              </w:rPr>
              <w:t>0.062</w:t>
            </w:r>
            <w:r>
              <w:rPr>
                <w:rFonts w:hint="default" w:ascii="Times New Roman" w:hAnsi="Times New Roman" w:eastAsia="宋体" w:cs="Times New Roman"/>
                <w:b w:val="0"/>
                <w:bCs w:val="0"/>
                <w:color w:val="auto"/>
                <w:lang w:val="en-US" w:eastAsia="zh-CN"/>
              </w:rPr>
              <w:t>t/a。</w:t>
            </w:r>
            <w:r>
              <w:rPr>
                <w:rFonts w:hint="eastAsia" w:cs="Times New Roman"/>
                <w:b w:val="0"/>
                <w:bCs w:val="0"/>
                <w:color w:val="auto"/>
                <w:lang w:val="en-US" w:eastAsia="zh-CN"/>
              </w:rPr>
              <w:t>经查《国家危险废物名录》（2025年版）</w:t>
            </w:r>
            <w:r>
              <w:rPr>
                <w:rFonts w:hint="default" w:ascii="Times New Roman" w:hAnsi="Times New Roman" w:eastAsia="宋体" w:cs="Times New Roman"/>
                <w:b w:val="0"/>
                <w:bCs w:val="0"/>
                <w:color w:val="auto"/>
                <w:lang w:val="en-US" w:eastAsia="zh-CN"/>
              </w:rPr>
              <w:t>，废包装桶为危险废物，废物类别HW49，废物代码900-041-49</w:t>
            </w:r>
            <w:r>
              <w:rPr>
                <w:rFonts w:hint="eastAsia" w:ascii="Times New Roman" w:hAnsi="Times New Roman" w:eastAsia="宋体" w:cs="Times New Roman"/>
                <w:b w:val="0"/>
                <w:bCs w:val="0"/>
                <w:color w:val="auto"/>
                <w:lang w:val="en-US" w:eastAsia="zh-CN"/>
              </w:rPr>
              <w:t>。</w:t>
            </w:r>
          </w:p>
          <w:p w14:paraId="137D95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生活垃圾</w:t>
            </w:r>
          </w:p>
          <w:p w14:paraId="7E5108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生活垃圾：本项目劳动定员</w:t>
            </w:r>
            <w:r>
              <w:rPr>
                <w:rFonts w:hint="eastAsia" w:cs="Times New Roman"/>
                <w:b w:val="0"/>
                <w:bCs w:val="0"/>
                <w:color w:val="auto"/>
                <w:lang w:val="en-US" w:eastAsia="zh-CN"/>
              </w:rPr>
              <w:t>30</w:t>
            </w:r>
            <w:r>
              <w:rPr>
                <w:rFonts w:hint="default" w:ascii="Times New Roman" w:hAnsi="Times New Roman" w:eastAsia="宋体" w:cs="Times New Roman"/>
                <w:b w:val="0"/>
                <w:bCs w:val="0"/>
                <w:color w:val="auto"/>
                <w:lang w:val="en-US" w:eastAsia="zh-CN"/>
              </w:rPr>
              <w:t>人，人均生活垃圾产生量以</w:t>
            </w:r>
            <w:r>
              <w:rPr>
                <w:rFonts w:hint="eastAsia" w:ascii="Times New Roman" w:hAnsi="Times New Roman" w:eastAsia="宋体" w:cs="Times New Roman"/>
                <w:b w:val="0"/>
                <w:bCs w:val="0"/>
                <w:color w:val="auto"/>
                <w:lang w:val="en-US" w:eastAsia="zh-CN"/>
              </w:rPr>
              <w:t>0.5</w:t>
            </w:r>
            <w:r>
              <w:rPr>
                <w:rFonts w:hint="default" w:ascii="Times New Roman" w:hAnsi="Times New Roman" w:eastAsia="宋体" w:cs="Times New Roman"/>
                <w:b w:val="0"/>
                <w:bCs w:val="0"/>
                <w:color w:val="auto"/>
                <w:lang w:val="en-US" w:eastAsia="zh-CN"/>
              </w:rPr>
              <w:t>kg/d计，年工作300天，则生活垃圾的产生总量为</w:t>
            </w:r>
            <w:r>
              <w:rPr>
                <w:rFonts w:hint="eastAsia" w:cs="Times New Roman"/>
                <w:b w:val="0"/>
                <w:bCs w:val="0"/>
                <w:color w:val="auto"/>
                <w:lang w:val="en-US" w:eastAsia="zh-CN"/>
              </w:rPr>
              <w:t>4.5t</w:t>
            </w:r>
            <w:r>
              <w:rPr>
                <w:rFonts w:hint="default" w:ascii="Times New Roman" w:hAnsi="Times New Roman" w:eastAsia="宋体" w:cs="Times New Roman"/>
                <w:b w:val="0"/>
                <w:bCs w:val="0"/>
                <w:color w:val="auto"/>
                <w:lang w:val="en-US" w:eastAsia="zh-CN"/>
              </w:rPr>
              <w:t>/a。</w:t>
            </w:r>
          </w:p>
          <w:p w14:paraId="6D39D27A">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683E2683">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690D8B2B">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09D86FCB">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5E54D402">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4375A5B5">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00D90688">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7331D658">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05633800">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2D6A3F60">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04E7A4E4">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1A5642B6">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183B5A0C">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14A550DF">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3A886BE6">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62751F87">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2F227720">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510D22A8">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3D74C38B">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020DF858">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5B4E32EA">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0DCAD948">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4550085E">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192499B7">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517C4A78">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346B34E7">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3AA6CF1B">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0D06CD2F">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12E66977">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5E522D3C">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7B9572D7">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640B1512">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36EA4213">
            <w:pPr>
              <w:pStyle w:val="2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lang w:val="en-US" w:eastAsia="zh-CN"/>
              </w:rPr>
            </w:pPr>
          </w:p>
          <w:p w14:paraId="6DBD1C66">
            <w:pPr>
              <w:keepNext w:val="0"/>
              <w:keepLines w:val="0"/>
              <w:suppressLineNumbers w:val="0"/>
              <w:spacing w:before="0" w:beforeAutospacing="0" w:after="0" w:afterAutospacing="0"/>
              <w:ind w:left="0" w:right="0"/>
              <w:rPr>
                <w:rFonts w:hint="default" w:cs="Times New Roman"/>
                <w:color w:val="auto"/>
              </w:rPr>
            </w:pPr>
          </w:p>
        </w:tc>
      </w:tr>
    </w:tbl>
    <w:p w14:paraId="79CB72F3">
      <w:pPr>
        <w:pStyle w:val="8"/>
        <w:rPr>
          <w:rFonts w:hint="default" w:ascii="Times New Roman" w:hAnsi="Times New Roman" w:cs="Times New Roman"/>
          <w:color w:val="auto"/>
        </w:rPr>
        <w:sectPr>
          <w:pgSz w:w="11905" w:h="16838"/>
          <w:pgMar w:top="1191" w:right="1400" w:bottom="1417" w:left="1088"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7"/>
        <w:tblW w:w="0" w:type="auto"/>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822"/>
      </w:tblGrid>
      <w:tr w14:paraId="76A9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5" w:hRule="atLeast"/>
        </w:trPr>
        <w:tc>
          <w:tcPr>
            <w:tcW w:w="690" w:type="dxa"/>
            <w:noWrap w:val="0"/>
            <w:vAlign w:val="center"/>
          </w:tcPr>
          <w:p w14:paraId="1A023D2A">
            <w:pPr>
              <w:pStyle w:val="22"/>
              <w:keepNext w:val="0"/>
              <w:keepLines w:val="0"/>
              <w:suppressLineNumbers w:val="0"/>
              <w:spacing w:line="240" w:lineRule="auto"/>
              <w:ind w:left="0" w:right="0"/>
              <w:jc w:val="center"/>
              <w:outlineLvl w:val="0"/>
              <w:rPr>
                <w:rFonts w:hint="default" w:ascii="Times New Roman" w:hAnsi="Times New Roman" w:eastAsia="黑体" w:cs="Times New Roman"/>
                <w:b/>
                <w:snapToGrid w:val="0"/>
                <w:color w:val="auto"/>
                <w:sz w:val="30"/>
                <w:szCs w:val="30"/>
              </w:rPr>
            </w:pPr>
            <w:bookmarkStart w:id="11" w:name="_Toc28691"/>
            <w:bookmarkStart w:id="12" w:name="_Toc27892"/>
            <w:r>
              <w:rPr>
                <w:rFonts w:hint="default" w:ascii="Times New Roman" w:hAnsi="Times New Roman" w:cs="Times New Roman"/>
                <w:b w:val="0"/>
                <w:bCs/>
                <w:color w:val="auto"/>
                <w:sz w:val="21"/>
                <w:szCs w:val="21"/>
              </w:rPr>
              <w:t>运营期环境影响和保护措施</w:t>
            </w:r>
            <w:bookmarkEnd w:id="11"/>
            <w:bookmarkEnd w:id="12"/>
          </w:p>
        </w:tc>
        <w:tc>
          <w:tcPr>
            <w:tcW w:w="13822" w:type="dxa"/>
            <w:noWrap w:val="0"/>
            <w:vAlign w:val="top"/>
          </w:tcPr>
          <w:p w14:paraId="11B845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本项目固废产生情况见表4-</w:t>
            </w:r>
            <w:r>
              <w:rPr>
                <w:rFonts w:hint="eastAsia" w:cs="Times New Roman"/>
                <w:b w:val="0"/>
                <w:bCs w:val="0"/>
                <w:color w:val="auto"/>
                <w:lang w:val="en-US" w:eastAsia="zh-CN"/>
              </w:rPr>
              <w:t>25</w:t>
            </w:r>
            <w:r>
              <w:rPr>
                <w:rFonts w:hint="default" w:ascii="Times New Roman" w:hAnsi="Times New Roman" w:eastAsia="宋体" w:cs="Times New Roman"/>
                <w:b w:val="0"/>
                <w:bCs w:val="0"/>
                <w:color w:val="auto"/>
                <w:lang w:val="en-US" w:eastAsia="zh-CN"/>
              </w:rPr>
              <w:t>。</w:t>
            </w:r>
          </w:p>
          <w:p w14:paraId="0CC931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w:t>
            </w:r>
            <w:r>
              <w:rPr>
                <w:rFonts w:hint="eastAsia" w:cs="Times New Roman"/>
                <w:b/>
                <w:color w:val="auto"/>
                <w:kern w:val="0"/>
                <w:sz w:val="21"/>
                <w:szCs w:val="21"/>
                <w:lang w:val="en-US" w:eastAsia="zh-CN"/>
              </w:rPr>
              <w:t>25</w:t>
            </w:r>
            <w:r>
              <w:rPr>
                <w:rFonts w:hint="default" w:ascii="Times New Roman" w:hAnsi="Times New Roman" w:eastAsia="宋体" w:cs="Times New Roman"/>
                <w:b/>
                <w:color w:val="auto"/>
                <w:kern w:val="0"/>
                <w:sz w:val="21"/>
                <w:szCs w:val="21"/>
              </w:rPr>
              <w:t xml:space="preserve">  本项目固废产生情况汇总</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74"/>
              <w:gridCol w:w="1549"/>
              <w:gridCol w:w="1077"/>
              <w:gridCol w:w="1485"/>
              <w:gridCol w:w="789"/>
              <w:gridCol w:w="1982"/>
              <w:gridCol w:w="1209"/>
              <w:gridCol w:w="1541"/>
              <w:gridCol w:w="1525"/>
              <w:gridCol w:w="1767"/>
            </w:tblGrid>
            <w:tr w14:paraId="60E734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3" w:hRule="atLeast"/>
                <w:jc w:val="center"/>
              </w:trPr>
              <w:tc>
                <w:tcPr>
                  <w:tcW w:w="247" w:type="pct"/>
                  <w:noWrap w:val="0"/>
                  <w:vAlign w:val="center"/>
                </w:tcPr>
                <w:p w14:paraId="3225E03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序号</w:t>
                  </w:r>
                </w:p>
              </w:tc>
              <w:tc>
                <w:tcPr>
                  <w:tcW w:w="569" w:type="pct"/>
                  <w:noWrap w:val="0"/>
                  <w:vAlign w:val="center"/>
                </w:tcPr>
                <w:p w14:paraId="256F761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固废名称</w:t>
                  </w:r>
                </w:p>
              </w:tc>
              <w:tc>
                <w:tcPr>
                  <w:tcW w:w="396" w:type="pct"/>
                  <w:noWrap w:val="0"/>
                  <w:vAlign w:val="center"/>
                </w:tcPr>
                <w:p w14:paraId="503DD86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属性</w:t>
                  </w:r>
                </w:p>
              </w:tc>
              <w:tc>
                <w:tcPr>
                  <w:tcW w:w="546" w:type="pct"/>
                  <w:noWrap w:val="0"/>
                  <w:vAlign w:val="center"/>
                </w:tcPr>
                <w:p w14:paraId="09484DF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生产工序</w:t>
                  </w:r>
                </w:p>
              </w:tc>
              <w:tc>
                <w:tcPr>
                  <w:tcW w:w="290" w:type="pct"/>
                  <w:noWrap w:val="0"/>
                  <w:vAlign w:val="center"/>
                </w:tcPr>
                <w:p w14:paraId="03943C5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形态</w:t>
                  </w:r>
                </w:p>
              </w:tc>
              <w:tc>
                <w:tcPr>
                  <w:tcW w:w="728" w:type="pct"/>
                  <w:noWrap w:val="0"/>
                  <w:vAlign w:val="center"/>
                </w:tcPr>
                <w:p w14:paraId="6C41821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主要成分</w:t>
                  </w:r>
                </w:p>
              </w:tc>
              <w:tc>
                <w:tcPr>
                  <w:tcW w:w="444" w:type="pct"/>
                  <w:noWrap w:val="0"/>
                  <w:vAlign w:val="center"/>
                </w:tcPr>
                <w:p w14:paraId="75A3F04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鉴别方法</w:t>
                  </w:r>
                </w:p>
              </w:tc>
              <w:tc>
                <w:tcPr>
                  <w:tcW w:w="566" w:type="pct"/>
                  <w:noWrap w:val="0"/>
                  <w:vAlign w:val="center"/>
                </w:tcPr>
                <w:p w14:paraId="741265B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废物类别</w:t>
                  </w:r>
                </w:p>
              </w:tc>
              <w:tc>
                <w:tcPr>
                  <w:tcW w:w="560" w:type="pct"/>
                  <w:noWrap w:val="0"/>
                  <w:vAlign w:val="center"/>
                </w:tcPr>
                <w:p w14:paraId="1BFD3F7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废物代码</w:t>
                  </w:r>
                </w:p>
              </w:tc>
              <w:tc>
                <w:tcPr>
                  <w:tcW w:w="649" w:type="pct"/>
                  <w:noWrap w:val="0"/>
                  <w:vAlign w:val="center"/>
                </w:tcPr>
                <w:p w14:paraId="55DFA37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估算产生量（t/a）</w:t>
                  </w:r>
                </w:p>
              </w:tc>
            </w:tr>
            <w:tr w14:paraId="5A49A3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3" w:hRule="atLeast"/>
                <w:jc w:val="center"/>
              </w:trPr>
              <w:tc>
                <w:tcPr>
                  <w:tcW w:w="247" w:type="pct"/>
                  <w:noWrap w:val="0"/>
                  <w:vAlign w:val="center"/>
                </w:tcPr>
                <w:p w14:paraId="704AFB1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w:t>
                  </w:r>
                </w:p>
              </w:tc>
              <w:tc>
                <w:tcPr>
                  <w:tcW w:w="569" w:type="pct"/>
                  <w:noWrap w:val="0"/>
                  <w:vAlign w:val="center"/>
                </w:tcPr>
                <w:p w14:paraId="7854D5C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金属边角料</w:t>
                  </w:r>
                </w:p>
              </w:tc>
              <w:tc>
                <w:tcPr>
                  <w:tcW w:w="396" w:type="pct"/>
                  <w:vMerge w:val="restart"/>
                  <w:noWrap w:val="0"/>
                  <w:vAlign w:val="center"/>
                </w:tcPr>
                <w:p w14:paraId="059D6F8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一般固废</w:t>
                  </w:r>
                </w:p>
              </w:tc>
              <w:tc>
                <w:tcPr>
                  <w:tcW w:w="546" w:type="pct"/>
                  <w:noWrap w:val="0"/>
                  <w:vAlign w:val="center"/>
                </w:tcPr>
                <w:p w14:paraId="78D2CC8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下料、机加工、拉毛</w:t>
                  </w:r>
                </w:p>
              </w:tc>
              <w:tc>
                <w:tcPr>
                  <w:tcW w:w="290" w:type="pct"/>
                  <w:noWrap w:val="0"/>
                  <w:vAlign w:val="center"/>
                </w:tcPr>
                <w:p w14:paraId="310AE61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728" w:type="pct"/>
                  <w:noWrap w:val="0"/>
                  <w:vAlign w:val="center"/>
                </w:tcPr>
                <w:p w14:paraId="66675DB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金属</w:t>
                  </w:r>
                </w:p>
              </w:tc>
              <w:tc>
                <w:tcPr>
                  <w:tcW w:w="444" w:type="pct"/>
                  <w:vMerge w:val="restart"/>
                  <w:noWrap w:val="0"/>
                  <w:vAlign w:val="center"/>
                </w:tcPr>
                <w:p w14:paraId="09837FD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lang w:eastAsia="zh-CN"/>
                    </w:rPr>
                    <w:t>《固体废物分类与代码目录》、</w:t>
                  </w:r>
                  <w:r>
                    <w:rPr>
                      <w:rFonts w:hint="eastAsia" w:ascii="Times New Roman" w:hAnsi="Times New Roman" w:eastAsia="仿宋" w:cs="Times New Roman"/>
                      <w:color w:val="auto"/>
                      <w:kern w:val="0"/>
                      <w:szCs w:val="21"/>
                      <w:lang w:val="en-US" w:eastAsia="zh-CN"/>
                    </w:rPr>
                    <w:t>《国家危险废物名录》（2025年版）</w:t>
                  </w:r>
                </w:p>
              </w:tc>
              <w:tc>
                <w:tcPr>
                  <w:tcW w:w="566" w:type="pct"/>
                  <w:noWrap w:val="0"/>
                  <w:vAlign w:val="center"/>
                </w:tcPr>
                <w:p w14:paraId="0E8B2E2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SW17</w:t>
                  </w:r>
                </w:p>
              </w:tc>
              <w:tc>
                <w:tcPr>
                  <w:tcW w:w="560" w:type="pct"/>
                  <w:noWrap w:val="0"/>
                  <w:vAlign w:val="center"/>
                </w:tcPr>
                <w:p w14:paraId="76694BB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900-001-S17</w:t>
                  </w:r>
                </w:p>
              </w:tc>
              <w:tc>
                <w:tcPr>
                  <w:tcW w:w="649" w:type="pct"/>
                  <w:noWrap w:val="0"/>
                  <w:vAlign w:val="center"/>
                </w:tcPr>
                <w:p w14:paraId="42555CF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2</w:t>
                  </w:r>
                </w:p>
              </w:tc>
            </w:tr>
            <w:tr w14:paraId="477345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3" w:hRule="atLeast"/>
                <w:jc w:val="center"/>
              </w:trPr>
              <w:tc>
                <w:tcPr>
                  <w:tcW w:w="247" w:type="pct"/>
                  <w:noWrap w:val="0"/>
                  <w:vAlign w:val="center"/>
                </w:tcPr>
                <w:p w14:paraId="5D1D53B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2</w:t>
                  </w:r>
                </w:p>
              </w:tc>
              <w:tc>
                <w:tcPr>
                  <w:tcW w:w="569" w:type="pct"/>
                  <w:noWrap w:val="0"/>
                  <w:vAlign w:val="center"/>
                </w:tcPr>
                <w:p w14:paraId="4252E89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废砂纸</w:t>
                  </w:r>
                </w:p>
              </w:tc>
              <w:tc>
                <w:tcPr>
                  <w:tcW w:w="396" w:type="pct"/>
                  <w:vMerge w:val="continue"/>
                  <w:noWrap w:val="0"/>
                  <w:vAlign w:val="center"/>
                </w:tcPr>
                <w:p w14:paraId="38120DC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46" w:type="pct"/>
                  <w:noWrap w:val="0"/>
                  <w:vAlign w:val="center"/>
                </w:tcPr>
                <w:p w14:paraId="4ACB533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拉毛</w:t>
                  </w:r>
                </w:p>
              </w:tc>
              <w:tc>
                <w:tcPr>
                  <w:tcW w:w="290" w:type="pct"/>
                  <w:noWrap w:val="0"/>
                  <w:vAlign w:val="center"/>
                </w:tcPr>
                <w:p w14:paraId="7B92205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728" w:type="pct"/>
                  <w:noWrap w:val="0"/>
                  <w:vAlign w:val="center"/>
                </w:tcPr>
                <w:p w14:paraId="5C7B335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砂纸</w:t>
                  </w:r>
                </w:p>
              </w:tc>
              <w:tc>
                <w:tcPr>
                  <w:tcW w:w="444" w:type="pct"/>
                  <w:vMerge w:val="continue"/>
                  <w:noWrap w:val="0"/>
                  <w:vAlign w:val="center"/>
                </w:tcPr>
                <w:p w14:paraId="37ADE72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66" w:type="pct"/>
                  <w:noWrap w:val="0"/>
                  <w:vAlign w:val="center"/>
                </w:tcPr>
                <w:p w14:paraId="525722C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SW59</w:t>
                  </w:r>
                </w:p>
              </w:tc>
              <w:tc>
                <w:tcPr>
                  <w:tcW w:w="560" w:type="pct"/>
                  <w:noWrap w:val="0"/>
                  <w:vAlign w:val="center"/>
                </w:tcPr>
                <w:p w14:paraId="5D50DA6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900-099-S59</w:t>
                  </w:r>
                </w:p>
              </w:tc>
              <w:tc>
                <w:tcPr>
                  <w:tcW w:w="649" w:type="pct"/>
                  <w:noWrap w:val="0"/>
                  <w:vAlign w:val="center"/>
                </w:tcPr>
                <w:p w14:paraId="7E19525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0.01</w:t>
                  </w:r>
                </w:p>
              </w:tc>
            </w:tr>
            <w:tr w14:paraId="1B90B4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3" w:hRule="atLeast"/>
                <w:jc w:val="center"/>
              </w:trPr>
              <w:tc>
                <w:tcPr>
                  <w:tcW w:w="247" w:type="pct"/>
                  <w:shd w:val="clear" w:color="auto" w:fill="auto"/>
                  <w:noWrap w:val="0"/>
                  <w:vAlign w:val="center"/>
                </w:tcPr>
                <w:p w14:paraId="460B3C3D">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3</w:t>
                  </w:r>
                </w:p>
              </w:tc>
              <w:tc>
                <w:tcPr>
                  <w:tcW w:w="569" w:type="pct"/>
                  <w:noWrap w:val="0"/>
                  <w:vAlign w:val="center"/>
                </w:tcPr>
                <w:p w14:paraId="77C1798B">
                  <w:pPr>
                    <w:keepNext w:val="0"/>
                    <w:keepLines w:val="0"/>
                    <w:suppressLineNumbers w:val="0"/>
                    <w:spacing w:before="0" w:beforeAutospacing="0" w:after="0" w:afterAutospacing="0" w:line="240" w:lineRule="auto"/>
                    <w:ind w:left="0" w:right="0"/>
                    <w:jc w:val="center"/>
                    <w:rPr>
                      <w:rFonts w:hint="eastAsia" w:eastAsia="仿宋" w:cs="Times New Roman"/>
                      <w:color w:val="auto"/>
                      <w:kern w:val="0"/>
                      <w:szCs w:val="21"/>
                      <w:lang w:val="en-US" w:eastAsia="zh-CN"/>
                    </w:rPr>
                  </w:pPr>
                  <w:r>
                    <w:rPr>
                      <w:rFonts w:hint="eastAsia" w:eastAsia="仿宋" w:cs="Times New Roman"/>
                      <w:color w:val="auto"/>
                      <w:kern w:val="0"/>
                      <w:szCs w:val="21"/>
                      <w:lang w:val="en-US" w:eastAsia="zh-CN"/>
                    </w:rPr>
                    <w:t>橡胶边角料</w:t>
                  </w:r>
                </w:p>
              </w:tc>
              <w:tc>
                <w:tcPr>
                  <w:tcW w:w="396" w:type="pct"/>
                  <w:vMerge w:val="continue"/>
                  <w:noWrap w:val="0"/>
                  <w:vAlign w:val="center"/>
                </w:tcPr>
                <w:p w14:paraId="388F3F1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46" w:type="pct"/>
                  <w:noWrap w:val="0"/>
                  <w:vAlign w:val="center"/>
                </w:tcPr>
                <w:p w14:paraId="63312B3B">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磨圆</w:t>
                  </w:r>
                </w:p>
              </w:tc>
              <w:tc>
                <w:tcPr>
                  <w:tcW w:w="290" w:type="pct"/>
                  <w:noWrap w:val="0"/>
                  <w:vAlign w:val="center"/>
                </w:tcPr>
                <w:p w14:paraId="58502284">
                  <w:pPr>
                    <w:keepNext w:val="0"/>
                    <w:keepLines w:val="0"/>
                    <w:suppressLineNumbers w:val="0"/>
                    <w:spacing w:before="0" w:beforeAutospacing="0" w:after="0" w:afterAutospacing="0" w:line="240" w:lineRule="auto"/>
                    <w:ind w:left="0" w:right="0"/>
                    <w:jc w:val="center"/>
                    <w:rPr>
                      <w:rFonts w:hint="eastAsia" w:eastAsia="仿宋" w:cs="Times New Roman"/>
                      <w:color w:val="auto"/>
                      <w:kern w:val="0"/>
                      <w:szCs w:val="21"/>
                      <w:lang w:val="en-US" w:eastAsia="zh-CN"/>
                    </w:rPr>
                  </w:pPr>
                  <w:r>
                    <w:rPr>
                      <w:rFonts w:hint="eastAsia" w:eastAsia="仿宋" w:cs="Times New Roman"/>
                      <w:color w:val="auto"/>
                      <w:kern w:val="0"/>
                      <w:szCs w:val="21"/>
                      <w:lang w:val="en-US" w:eastAsia="zh-CN"/>
                    </w:rPr>
                    <w:t>固</w:t>
                  </w:r>
                </w:p>
              </w:tc>
              <w:tc>
                <w:tcPr>
                  <w:tcW w:w="728" w:type="pct"/>
                  <w:noWrap w:val="0"/>
                  <w:vAlign w:val="center"/>
                </w:tcPr>
                <w:p w14:paraId="7432E3A7">
                  <w:pPr>
                    <w:keepNext w:val="0"/>
                    <w:keepLines w:val="0"/>
                    <w:suppressLineNumbers w:val="0"/>
                    <w:spacing w:before="0" w:beforeAutospacing="0" w:after="0" w:afterAutospacing="0" w:line="240" w:lineRule="auto"/>
                    <w:ind w:left="0" w:right="0"/>
                    <w:jc w:val="center"/>
                    <w:rPr>
                      <w:rFonts w:hint="eastAsia" w:eastAsia="仿宋" w:cs="Times New Roman"/>
                      <w:color w:val="auto"/>
                      <w:kern w:val="0"/>
                      <w:szCs w:val="21"/>
                      <w:lang w:val="en-US" w:eastAsia="zh-CN"/>
                    </w:rPr>
                  </w:pPr>
                  <w:r>
                    <w:rPr>
                      <w:rFonts w:hint="eastAsia" w:eastAsia="仿宋" w:cs="Times New Roman"/>
                      <w:color w:val="auto"/>
                      <w:kern w:val="0"/>
                      <w:szCs w:val="21"/>
                      <w:lang w:val="en-US" w:eastAsia="zh-CN"/>
                    </w:rPr>
                    <w:t>橡胶</w:t>
                  </w:r>
                </w:p>
              </w:tc>
              <w:tc>
                <w:tcPr>
                  <w:tcW w:w="444" w:type="pct"/>
                  <w:vMerge w:val="continue"/>
                  <w:noWrap w:val="0"/>
                  <w:vAlign w:val="center"/>
                </w:tcPr>
                <w:p w14:paraId="504E479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66" w:type="pct"/>
                  <w:noWrap w:val="0"/>
                  <w:vAlign w:val="center"/>
                </w:tcPr>
                <w:p w14:paraId="445BC78B">
                  <w:pPr>
                    <w:keepNext w:val="0"/>
                    <w:keepLines w:val="0"/>
                    <w:suppressLineNumbers w:val="0"/>
                    <w:spacing w:before="0" w:beforeAutospacing="0" w:after="0" w:afterAutospacing="0" w:line="240" w:lineRule="auto"/>
                    <w:ind w:left="0" w:right="0"/>
                    <w:jc w:val="center"/>
                    <w:rPr>
                      <w:rFonts w:hint="eastAsia" w:eastAsia="仿宋" w:cs="Times New Roman"/>
                      <w:color w:val="auto"/>
                      <w:kern w:val="0"/>
                      <w:sz w:val="21"/>
                      <w:szCs w:val="21"/>
                      <w:lang w:val="en-US" w:eastAsia="zh-CN" w:bidi="ar-SA"/>
                    </w:rPr>
                  </w:pPr>
                  <w:r>
                    <w:rPr>
                      <w:rFonts w:hint="eastAsia" w:eastAsia="仿宋" w:cs="Times New Roman"/>
                      <w:color w:val="auto"/>
                      <w:kern w:val="0"/>
                      <w:szCs w:val="21"/>
                      <w:lang w:val="en-US" w:eastAsia="zh-CN"/>
                    </w:rPr>
                    <w:t>SW17</w:t>
                  </w:r>
                </w:p>
              </w:tc>
              <w:tc>
                <w:tcPr>
                  <w:tcW w:w="560" w:type="pct"/>
                  <w:noWrap w:val="0"/>
                  <w:vAlign w:val="center"/>
                </w:tcPr>
                <w:p w14:paraId="1415EFD1">
                  <w:pPr>
                    <w:keepNext w:val="0"/>
                    <w:keepLines w:val="0"/>
                    <w:suppressLineNumbers w:val="0"/>
                    <w:spacing w:before="0" w:beforeAutospacing="0" w:after="0" w:afterAutospacing="0" w:line="240" w:lineRule="auto"/>
                    <w:ind w:left="0" w:right="0"/>
                    <w:jc w:val="center"/>
                    <w:rPr>
                      <w:rFonts w:hint="eastAsia" w:eastAsia="仿宋" w:cs="Times New Roman"/>
                      <w:color w:val="auto"/>
                      <w:kern w:val="0"/>
                      <w:szCs w:val="21"/>
                      <w:lang w:val="en-US" w:eastAsia="zh-CN"/>
                    </w:rPr>
                  </w:pPr>
                  <w:r>
                    <w:rPr>
                      <w:rFonts w:hint="eastAsia" w:eastAsia="仿宋" w:cs="Times New Roman"/>
                      <w:color w:val="auto"/>
                      <w:kern w:val="0"/>
                      <w:szCs w:val="21"/>
                      <w:lang w:val="en-US" w:eastAsia="zh-CN"/>
                    </w:rPr>
                    <w:t>900-006-S17</w:t>
                  </w:r>
                </w:p>
              </w:tc>
              <w:tc>
                <w:tcPr>
                  <w:tcW w:w="649" w:type="pct"/>
                  <w:noWrap w:val="0"/>
                  <w:vAlign w:val="center"/>
                </w:tcPr>
                <w:p w14:paraId="40670020">
                  <w:pPr>
                    <w:keepNext w:val="0"/>
                    <w:keepLines w:val="0"/>
                    <w:suppressLineNumbers w:val="0"/>
                    <w:spacing w:before="0" w:beforeAutospacing="0" w:after="0" w:afterAutospacing="0" w:line="240" w:lineRule="auto"/>
                    <w:ind w:left="0" w:right="0"/>
                    <w:jc w:val="center"/>
                    <w:rPr>
                      <w:rFonts w:hint="eastAsia" w:eastAsia="仿宋" w:cs="Times New Roman"/>
                      <w:color w:val="auto"/>
                      <w:kern w:val="0"/>
                      <w:szCs w:val="21"/>
                      <w:lang w:val="en-US" w:eastAsia="zh-CN"/>
                    </w:rPr>
                  </w:pPr>
                  <w:r>
                    <w:rPr>
                      <w:rFonts w:hint="eastAsia" w:eastAsia="仿宋" w:cs="Times New Roman"/>
                      <w:color w:val="auto"/>
                      <w:kern w:val="0"/>
                      <w:szCs w:val="21"/>
                      <w:lang w:val="en-US" w:eastAsia="zh-CN"/>
                    </w:rPr>
                    <w:t>0.5</w:t>
                  </w:r>
                </w:p>
              </w:tc>
            </w:tr>
            <w:tr w14:paraId="04507A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3" w:hRule="atLeast"/>
                <w:jc w:val="center"/>
              </w:trPr>
              <w:tc>
                <w:tcPr>
                  <w:tcW w:w="247" w:type="pct"/>
                  <w:shd w:val="clear" w:color="auto" w:fill="auto"/>
                  <w:noWrap w:val="0"/>
                  <w:vAlign w:val="center"/>
                </w:tcPr>
                <w:p w14:paraId="3B84D5F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4</w:t>
                  </w:r>
                </w:p>
              </w:tc>
              <w:tc>
                <w:tcPr>
                  <w:tcW w:w="569" w:type="pct"/>
                  <w:noWrap w:val="0"/>
                  <w:vAlign w:val="center"/>
                </w:tcPr>
                <w:p w14:paraId="53027A2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收集粉尘</w:t>
                  </w:r>
                </w:p>
              </w:tc>
              <w:tc>
                <w:tcPr>
                  <w:tcW w:w="396" w:type="pct"/>
                  <w:vMerge w:val="continue"/>
                  <w:noWrap w:val="0"/>
                  <w:vAlign w:val="center"/>
                </w:tcPr>
                <w:p w14:paraId="417B740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46" w:type="pct"/>
                  <w:noWrap w:val="0"/>
                  <w:vAlign w:val="center"/>
                </w:tcPr>
                <w:p w14:paraId="34DADF9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废气处理</w:t>
                  </w:r>
                </w:p>
              </w:tc>
              <w:tc>
                <w:tcPr>
                  <w:tcW w:w="290" w:type="pct"/>
                  <w:noWrap w:val="0"/>
                  <w:vAlign w:val="center"/>
                </w:tcPr>
                <w:p w14:paraId="7298244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728" w:type="pct"/>
                  <w:noWrap w:val="0"/>
                  <w:vAlign w:val="center"/>
                </w:tcPr>
                <w:p w14:paraId="6847A3A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金属、橡胶</w:t>
                  </w:r>
                </w:p>
              </w:tc>
              <w:tc>
                <w:tcPr>
                  <w:tcW w:w="444" w:type="pct"/>
                  <w:vMerge w:val="continue"/>
                  <w:noWrap w:val="0"/>
                  <w:vAlign w:val="center"/>
                </w:tcPr>
                <w:p w14:paraId="17214A0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66" w:type="pct"/>
                  <w:noWrap w:val="0"/>
                  <w:vAlign w:val="center"/>
                </w:tcPr>
                <w:p w14:paraId="0AB6F5D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SW59</w:t>
                  </w:r>
                </w:p>
              </w:tc>
              <w:tc>
                <w:tcPr>
                  <w:tcW w:w="560" w:type="pct"/>
                  <w:noWrap w:val="0"/>
                  <w:vAlign w:val="center"/>
                </w:tcPr>
                <w:p w14:paraId="35E8003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900-099-S59</w:t>
                  </w:r>
                </w:p>
              </w:tc>
              <w:tc>
                <w:tcPr>
                  <w:tcW w:w="649" w:type="pct"/>
                  <w:noWrap w:val="0"/>
                  <w:vAlign w:val="center"/>
                </w:tcPr>
                <w:p w14:paraId="3548148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1.3</w:t>
                  </w:r>
                </w:p>
              </w:tc>
            </w:tr>
            <w:tr w14:paraId="3C4F28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3" w:hRule="atLeast"/>
                <w:jc w:val="center"/>
              </w:trPr>
              <w:tc>
                <w:tcPr>
                  <w:tcW w:w="247" w:type="pct"/>
                  <w:shd w:val="clear" w:color="auto" w:fill="auto"/>
                  <w:noWrap w:val="0"/>
                  <w:vAlign w:val="center"/>
                </w:tcPr>
                <w:p w14:paraId="6247288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5</w:t>
                  </w:r>
                </w:p>
              </w:tc>
              <w:tc>
                <w:tcPr>
                  <w:tcW w:w="569" w:type="pct"/>
                  <w:noWrap w:val="0"/>
                  <w:vAlign w:val="center"/>
                </w:tcPr>
                <w:p w14:paraId="69806A93">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废布袋</w:t>
                  </w:r>
                </w:p>
              </w:tc>
              <w:tc>
                <w:tcPr>
                  <w:tcW w:w="396" w:type="pct"/>
                  <w:vMerge w:val="continue"/>
                  <w:noWrap w:val="0"/>
                  <w:vAlign w:val="center"/>
                </w:tcPr>
                <w:p w14:paraId="5BE7BA5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46" w:type="pct"/>
                  <w:noWrap w:val="0"/>
                  <w:vAlign w:val="center"/>
                </w:tcPr>
                <w:p w14:paraId="359FE083">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设备维护</w:t>
                  </w:r>
                </w:p>
              </w:tc>
              <w:tc>
                <w:tcPr>
                  <w:tcW w:w="290" w:type="pct"/>
                  <w:noWrap w:val="0"/>
                  <w:vAlign w:val="center"/>
                </w:tcPr>
                <w:p w14:paraId="7710BDCA">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固</w:t>
                  </w:r>
                </w:p>
              </w:tc>
              <w:tc>
                <w:tcPr>
                  <w:tcW w:w="728" w:type="pct"/>
                  <w:noWrap w:val="0"/>
                  <w:vAlign w:val="center"/>
                </w:tcPr>
                <w:p w14:paraId="4D9265E9">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布</w:t>
                  </w:r>
                </w:p>
              </w:tc>
              <w:tc>
                <w:tcPr>
                  <w:tcW w:w="444" w:type="pct"/>
                  <w:vMerge w:val="continue"/>
                  <w:noWrap w:val="0"/>
                  <w:vAlign w:val="center"/>
                </w:tcPr>
                <w:p w14:paraId="4BD3FA4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66" w:type="pct"/>
                  <w:shd w:val="clear" w:color="auto" w:fill="auto"/>
                  <w:noWrap w:val="0"/>
                  <w:vAlign w:val="center"/>
                </w:tcPr>
                <w:p w14:paraId="7E6A098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SW59</w:t>
                  </w:r>
                </w:p>
              </w:tc>
              <w:tc>
                <w:tcPr>
                  <w:tcW w:w="560" w:type="pct"/>
                  <w:shd w:val="clear" w:color="auto" w:fill="auto"/>
                  <w:noWrap w:val="0"/>
                  <w:vAlign w:val="center"/>
                </w:tcPr>
                <w:p w14:paraId="42DF508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900-099-S59</w:t>
                  </w:r>
                </w:p>
              </w:tc>
              <w:tc>
                <w:tcPr>
                  <w:tcW w:w="649" w:type="pct"/>
                  <w:noWrap w:val="0"/>
                  <w:vAlign w:val="center"/>
                </w:tcPr>
                <w:p w14:paraId="09D2AC20">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0.1</w:t>
                  </w:r>
                </w:p>
              </w:tc>
            </w:tr>
            <w:tr w14:paraId="1E2A33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3" w:hRule="atLeast"/>
                <w:jc w:val="center"/>
              </w:trPr>
              <w:tc>
                <w:tcPr>
                  <w:tcW w:w="247" w:type="pct"/>
                  <w:shd w:val="clear" w:color="auto" w:fill="auto"/>
                  <w:noWrap w:val="0"/>
                  <w:vAlign w:val="center"/>
                </w:tcPr>
                <w:p w14:paraId="4E61026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6</w:t>
                  </w:r>
                </w:p>
              </w:tc>
              <w:tc>
                <w:tcPr>
                  <w:tcW w:w="569" w:type="pct"/>
                  <w:noWrap w:val="0"/>
                  <w:vAlign w:val="center"/>
                </w:tcPr>
                <w:p w14:paraId="2686F7A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废包装材料</w:t>
                  </w:r>
                </w:p>
              </w:tc>
              <w:tc>
                <w:tcPr>
                  <w:tcW w:w="396" w:type="pct"/>
                  <w:vMerge w:val="continue"/>
                  <w:noWrap w:val="0"/>
                  <w:vAlign w:val="center"/>
                </w:tcPr>
                <w:p w14:paraId="39D2624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46" w:type="pct"/>
                  <w:noWrap w:val="0"/>
                  <w:vAlign w:val="center"/>
                </w:tcPr>
                <w:p w14:paraId="41CCD5D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原料包装</w:t>
                  </w:r>
                </w:p>
              </w:tc>
              <w:tc>
                <w:tcPr>
                  <w:tcW w:w="290" w:type="pct"/>
                  <w:noWrap w:val="0"/>
                  <w:vAlign w:val="center"/>
                </w:tcPr>
                <w:p w14:paraId="61E3525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728" w:type="pct"/>
                  <w:noWrap w:val="0"/>
                  <w:vAlign w:val="center"/>
                </w:tcPr>
                <w:p w14:paraId="43C8C85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织物、纸</w:t>
                  </w:r>
                </w:p>
              </w:tc>
              <w:tc>
                <w:tcPr>
                  <w:tcW w:w="444" w:type="pct"/>
                  <w:vMerge w:val="continue"/>
                  <w:noWrap w:val="0"/>
                  <w:vAlign w:val="center"/>
                </w:tcPr>
                <w:p w14:paraId="7965D76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66" w:type="pct"/>
                  <w:noWrap w:val="0"/>
                  <w:vAlign w:val="center"/>
                </w:tcPr>
                <w:p w14:paraId="5CD35A9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SW59</w:t>
                  </w:r>
                </w:p>
              </w:tc>
              <w:tc>
                <w:tcPr>
                  <w:tcW w:w="560" w:type="pct"/>
                  <w:noWrap w:val="0"/>
                  <w:vAlign w:val="center"/>
                </w:tcPr>
                <w:p w14:paraId="1352611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900-099-S59</w:t>
                  </w:r>
                </w:p>
              </w:tc>
              <w:tc>
                <w:tcPr>
                  <w:tcW w:w="649" w:type="pct"/>
                  <w:noWrap w:val="0"/>
                  <w:vAlign w:val="center"/>
                </w:tcPr>
                <w:p w14:paraId="0430A41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0.05</w:t>
                  </w:r>
                </w:p>
              </w:tc>
            </w:tr>
            <w:tr w14:paraId="3AC6F6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3" w:hRule="atLeast"/>
                <w:jc w:val="center"/>
              </w:trPr>
              <w:tc>
                <w:tcPr>
                  <w:tcW w:w="247" w:type="pct"/>
                  <w:shd w:val="clear" w:color="auto" w:fill="auto"/>
                  <w:noWrap w:val="0"/>
                  <w:vAlign w:val="center"/>
                </w:tcPr>
                <w:p w14:paraId="54DB151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7</w:t>
                  </w:r>
                </w:p>
              </w:tc>
              <w:tc>
                <w:tcPr>
                  <w:tcW w:w="569" w:type="pct"/>
                  <w:noWrap w:val="0"/>
                  <w:vAlign w:val="center"/>
                </w:tcPr>
                <w:p w14:paraId="1300308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废切削液</w:t>
                  </w:r>
                </w:p>
              </w:tc>
              <w:tc>
                <w:tcPr>
                  <w:tcW w:w="396" w:type="pct"/>
                  <w:vMerge w:val="restart"/>
                  <w:noWrap w:val="0"/>
                  <w:vAlign w:val="center"/>
                </w:tcPr>
                <w:p w14:paraId="6B8AC9D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危险废物</w:t>
                  </w:r>
                </w:p>
              </w:tc>
              <w:tc>
                <w:tcPr>
                  <w:tcW w:w="546" w:type="pct"/>
                  <w:noWrap w:val="0"/>
                  <w:vAlign w:val="center"/>
                </w:tcPr>
                <w:p w14:paraId="41F6F98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设备维护</w:t>
                  </w:r>
                </w:p>
              </w:tc>
              <w:tc>
                <w:tcPr>
                  <w:tcW w:w="290" w:type="pct"/>
                  <w:noWrap w:val="0"/>
                  <w:vAlign w:val="center"/>
                </w:tcPr>
                <w:p w14:paraId="64446B3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液</w:t>
                  </w:r>
                </w:p>
              </w:tc>
              <w:tc>
                <w:tcPr>
                  <w:tcW w:w="728" w:type="pct"/>
                  <w:noWrap w:val="0"/>
                  <w:vAlign w:val="center"/>
                </w:tcPr>
                <w:p w14:paraId="1BE417F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烃水混合物</w:t>
                  </w:r>
                </w:p>
              </w:tc>
              <w:tc>
                <w:tcPr>
                  <w:tcW w:w="444" w:type="pct"/>
                  <w:vMerge w:val="continue"/>
                  <w:noWrap w:val="0"/>
                  <w:vAlign w:val="center"/>
                </w:tcPr>
                <w:p w14:paraId="69D028A7">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66" w:type="pct"/>
                  <w:shd w:val="clear" w:color="auto" w:fill="auto"/>
                  <w:noWrap w:val="0"/>
                  <w:vAlign w:val="center"/>
                </w:tcPr>
                <w:p w14:paraId="04132CD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HW09</w:t>
                  </w:r>
                </w:p>
              </w:tc>
              <w:tc>
                <w:tcPr>
                  <w:tcW w:w="560" w:type="pct"/>
                  <w:shd w:val="clear" w:color="auto" w:fill="auto"/>
                  <w:noWrap w:val="0"/>
                  <w:vAlign w:val="center"/>
                </w:tcPr>
                <w:p w14:paraId="6101CF6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900-006-09</w:t>
                  </w:r>
                </w:p>
              </w:tc>
              <w:tc>
                <w:tcPr>
                  <w:tcW w:w="649" w:type="pct"/>
                  <w:shd w:val="clear" w:color="auto" w:fill="auto"/>
                  <w:noWrap w:val="0"/>
                  <w:vAlign w:val="center"/>
                </w:tcPr>
                <w:p w14:paraId="3E6621B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0.1</w:t>
                  </w:r>
                </w:p>
              </w:tc>
            </w:tr>
            <w:tr w14:paraId="27D9C7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3" w:hRule="atLeast"/>
                <w:jc w:val="center"/>
              </w:trPr>
              <w:tc>
                <w:tcPr>
                  <w:tcW w:w="247" w:type="pct"/>
                  <w:shd w:val="clear" w:color="auto" w:fill="auto"/>
                  <w:noWrap w:val="0"/>
                  <w:vAlign w:val="center"/>
                </w:tcPr>
                <w:p w14:paraId="0524531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8</w:t>
                  </w:r>
                </w:p>
              </w:tc>
              <w:tc>
                <w:tcPr>
                  <w:tcW w:w="569" w:type="pct"/>
                  <w:shd w:val="clear" w:color="auto" w:fill="auto"/>
                  <w:noWrap w:val="0"/>
                  <w:vAlign w:val="center"/>
                </w:tcPr>
                <w:p w14:paraId="689E58E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含胶劳保用品</w:t>
                  </w:r>
                </w:p>
              </w:tc>
              <w:tc>
                <w:tcPr>
                  <w:tcW w:w="396" w:type="pct"/>
                  <w:vMerge w:val="continue"/>
                  <w:noWrap w:val="0"/>
                  <w:vAlign w:val="center"/>
                </w:tcPr>
                <w:p w14:paraId="7947DDCF">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p>
              </w:tc>
              <w:tc>
                <w:tcPr>
                  <w:tcW w:w="546" w:type="pct"/>
                  <w:shd w:val="clear" w:color="auto" w:fill="auto"/>
                  <w:noWrap w:val="0"/>
                  <w:vAlign w:val="center"/>
                </w:tcPr>
                <w:p w14:paraId="40B0639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涂胶</w:t>
                  </w:r>
                </w:p>
              </w:tc>
              <w:tc>
                <w:tcPr>
                  <w:tcW w:w="290" w:type="pct"/>
                  <w:shd w:val="clear" w:color="auto" w:fill="auto"/>
                  <w:noWrap w:val="0"/>
                  <w:vAlign w:val="center"/>
                </w:tcPr>
                <w:p w14:paraId="4AAF199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728" w:type="pct"/>
                  <w:shd w:val="clear" w:color="auto" w:fill="auto"/>
                  <w:noWrap w:val="0"/>
                  <w:vAlign w:val="center"/>
                </w:tcPr>
                <w:p w14:paraId="3AADE1F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胶粘剂</w:t>
                  </w:r>
                </w:p>
              </w:tc>
              <w:tc>
                <w:tcPr>
                  <w:tcW w:w="444" w:type="pct"/>
                  <w:vMerge w:val="continue"/>
                  <w:noWrap w:val="0"/>
                  <w:vAlign w:val="center"/>
                </w:tcPr>
                <w:p w14:paraId="4E55A267">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66" w:type="pct"/>
                  <w:shd w:val="clear" w:color="auto" w:fill="auto"/>
                  <w:noWrap w:val="0"/>
                  <w:vAlign w:val="center"/>
                </w:tcPr>
                <w:p w14:paraId="7A6DF2A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HW49</w:t>
                  </w:r>
                </w:p>
              </w:tc>
              <w:tc>
                <w:tcPr>
                  <w:tcW w:w="560" w:type="pct"/>
                  <w:shd w:val="clear" w:color="auto" w:fill="auto"/>
                  <w:noWrap w:val="0"/>
                  <w:vAlign w:val="center"/>
                </w:tcPr>
                <w:p w14:paraId="1CAFA25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900-041-49</w:t>
                  </w:r>
                </w:p>
              </w:tc>
              <w:tc>
                <w:tcPr>
                  <w:tcW w:w="649" w:type="pct"/>
                  <w:shd w:val="clear" w:color="auto" w:fill="auto"/>
                  <w:noWrap w:val="0"/>
                  <w:vAlign w:val="center"/>
                </w:tcPr>
                <w:p w14:paraId="10EDF4C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0.05</w:t>
                  </w:r>
                </w:p>
              </w:tc>
            </w:tr>
            <w:tr w14:paraId="722692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7" w:type="pct"/>
                  <w:shd w:val="clear" w:color="auto" w:fill="auto"/>
                  <w:noWrap w:val="0"/>
                  <w:vAlign w:val="center"/>
                </w:tcPr>
                <w:p w14:paraId="018F7E2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9</w:t>
                  </w:r>
                </w:p>
              </w:tc>
              <w:tc>
                <w:tcPr>
                  <w:tcW w:w="569" w:type="pct"/>
                  <w:shd w:val="clear" w:color="auto" w:fill="auto"/>
                  <w:noWrap w:val="0"/>
                  <w:vAlign w:val="center"/>
                </w:tcPr>
                <w:p w14:paraId="02E9DC5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喷淋废液</w:t>
                  </w:r>
                </w:p>
              </w:tc>
              <w:tc>
                <w:tcPr>
                  <w:tcW w:w="396" w:type="pct"/>
                  <w:vMerge w:val="continue"/>
                  <w:shd w:val="clear" w:color="auto" w:fill="auto"/>
                  <w:noWrap w:val="0"/>
                  <w:vAlign w:val="center"/>
                </w:tcPr>
                <w:p w14:paraId="387549B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p>
              </w:tc>
              <w:tc>
                <w:tcPr>
                  <w:tcW w:w="546" w:type="pct"/>
                  <w:shd w:val="clear" w:color="auto" w:fill="auto"/>
                  <w:noWrap w:val="0"/>
                  <w:vAlign w:val="center"/>
                </w:tcPr>
                <w:p w14:paraId="758598F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设备维护</w:t>
                  </w:r>
                </w:p>
              </w:tc>
              <w:tc>
                <w:tcPr>
                  <w:tcW w:w="290" w:type="pct"/>
                  <w:shd w:val="clear" w:color="auto" w:fill="auto"/>
                  <w:noWrap w:val="0"/>
                  <w:vAlign w:val="center"/>
                </w:tcPr>
                <w:p w14:paraId="2951C6A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液</w:t>
                  </w:r>
                </w:p>
              </w:tc>
              <w:tc>
                <w:tcPr>
                  <w:tcW w:w="728" w:type="pct"/>
                  <w:shd w:val="clear" w:color="auto" w:fill="auto"/>
                  <w:noWrap w:val="0"/>
                  <w:vAlign w:val="center"/>
                </w:tcPr>
                <w:p w14:paraId="4E1F25B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0"/>
                      <w:sz w:val="21"/>
                      <w:szCs w:val="21"/>
                      <w:lang w:val="en-US" w:eastAsia="zh-CN" w:bidi="ar-SA"/>
                    </w:rPr>
                  </w:pPr>
                  <w:r>
                    <w:rPr>
                      <w:rFonts w:hint="default" w:eastAsia="仿宋" w:cs="Times New Roman"/>
                      <w:bCs/>
                      <w:color w:val="auto"/>
                      <w:kern w:val="0"/>
                      <w:sz w:val="21"/>
                      <w:szCs w:val="21"/>
                      <w:lang w:val="en-US" w:eastAsia="zh-CN" w:bidi="ar-SA"/>
                    </w:rPr>
                    <w:t>烃水混合物</w:t>
                  </w:r>
                </w:p>
              </w:tc>
              <w:tc>
                <w:tcPr>
                  <w:tcW w:w="444" w:type="pct"/>
                  <w:vMerge w:val="continue"/>
                  <w:shd w:val="clear" w:color="auto" w:fill="auto"/>
                  <w:noWrap w:val="0"/>
                  <w:vAlign w:val="center"/>
                </w:tcPr>
                <w:p w14:paraId="375A0E8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p>
              </w:tc>
              <w:tc>
                <w:tcPr>
                  <w:tcW w:w="566" w:type="pct"/>
                  <w:shd w:val="clear" w:color="auto" w:fill="auto"/>
                  <w:noWrap w:val="0"/>
                  <w:vAlign w:val="center"/>
                </w:tcPr>
                <w:p w14:paraId="60C95FF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HW09</w:t>
                  </w:r>
                </w:p>
              </w:tc>
              <w:tc>
                <w:tcPr>
                  <w:tcW w:w="560" w:type="pct"/>
                  <w:shd w:val="clear" w:color="auto" w:fill="auto"/>
                  <w:noWrap w:val="0"/>
                  <w:vAlign w:val="center"/>
                </w:tcPr>
                <w:p w14:paraId="5FC3633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900-007-09</w:t>
                  </w:r>
                </w:p>
              </w:tc>
              <w:tc>
                <w:tcPr>
                  <w:tcW w:w="649" w:type="pct"/>
                  <w:noWrap w:val="0"/>
                  <w:vAlign w:val="center"/>
                </w:tcPr>
                <w:p w14:paraId="4D7C9C5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w:t>
                  </w:r>
                </w:p>
              </w:tc>
            </w:tr>
            <w:tr w14:paraId="477B77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7" w:type="pct"/>
                  <w:shd w:val="clear" w:color="auto" w:fill="auto"/>
                  <w:noWrap w:val="0"/>
                  <w:vAlign w:val="center"/>
                </w:tcPr>
                <w:p w14:paraId="43588FC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10</w:t>
                  </w:r>
                </w:p>
              </w:tc>
              <w:tc>
                <w:tcPr>
                  <w:tcW w:w="569" w:type="pct"/>
                  <w:noWrap w:val="0"/>
                  <w:vAlign w:val="center"/>
                </w:tcPr>
                <w:p w14:paraId="1D3267B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废活性炭</w:t>
                  </w:r>
                </w:p>
              </w:tc>
              <w:tc>
                <w:tcPr>
                  <w:tcW w:w="396" w:type="pct"/>
                  <w:vMerge w:val="continue"/>
                  <w:noWrap w:val="0"/>
                  <w:vAlign w:val="center"/>
                </w:tcPr>
                <w:p w14:paraId="1FEF78C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p>
              </w:tc>
              <w:tc>
                <w:tcPr>
                  <w:tcW w:w="546" w:type="pct"/>
                  <w:noWrap w:val="0"/>
                  <w:vAlign w:val="center"/>
                </w:tcPr>
                <w:p w14:paraId="03BC5EF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废气处理</w:t>
                  </w:r>
                </w:p>
              </w:tc>
              <w:tc>
                <w:tcPr>
                  <w:tcW w:w="290" w:type="pct"/>
                  <w:noWrap w:val="0"/>
                  <w:vAlign w:val="center"/>
                </w:tcPr>
                <w:p w14:paraId="0F6344C8">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728" w:type="pct"/>
                  <w:noWrap w:val="0"/>
                  <w:vAlign w:val="center"/>
                </w:tcPr>
                <w:p w14:paraId="14AE4CC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0"/>
                      <w:sz w:val="21"/>
                      <w:szCs w:val="21"/>
                      <w:lang w:val="en-US" w:eastAsia="zh-CN" w:bidi="ar-SA"/>
                    </w:rPr>
                  </w:pPr>
                  <w:r>
                    <w:rPr>
                      <w:rFonts w:hint="eastAsia" w:eastAsia="仿宋" w:cs="Times New Roman"/>
                      <w:bCs/>
                      <w:color w:val="auto"/>
                      <w:kern w:val="0"/>
                      <w:sz w:val="21"/>
                      <w:szCs w:val="21"/>
                      <w:lang w:val="en-US" w:eastAsia="zh-CN" w:bidi="ar-SA"/>
                    </w:rPr>
                    <w:t>有机废气、活性炭</w:t>
                  </w:r>
                </w:p>
              </w:tc>
              <w:tc>
                <w:tcPr>
                  <w:tcW w:w="444" w:type="pct"/>
                  <w:vMerge w:val="continue"/>
                  <w:noWrap w:val="0"/>
                  <w:vAlign w:val="center"/>
                </w:tcPr>
                <w:p w14:paraId="6C3A922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66" w:type="pct"/>
                  <w:noWrap w:val="0"/>
                  <w:vAlign w:val="center"/>
                </w:tcPr>
                <w:p w14:paraId="53069F4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HW49</w:t>
                  </w:r>
                </w:p>
              </w:tc>
              <w:tc>
                <w:tcPr>
                  <w:tcW w:w="560" w:type="pct"/>
                  <w:noWrap w:val="0"/>
                  <w:vAlign w:val="center"/>
                </w:tcPr>
                <w:p w14:paraId="7690D1A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900-039-49</w:t>
                  </w:r>
                </w:p>
              </w:tc>
              <w:tc>
                <w:tcPr>
                  <w:tcW w:w="649" w:type="pct"/>
                  <w:noWrap w:val="0"/>
                  <w:vAlign w:val="center"/>
                </w:tcPr>
                <w:p w14:paraId="7371BA87">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4</w:t>
                  </w:r>
                </w:p>
              </w:tc>
            </w:tr>
            <w:tr w14:paraId="597AE3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7" w:type="pct"/>
                  <w:noWrap w:val="0"/>
                  <w:vAlign w:val="center"/>
                </w:tcPr>
                <w:p w14:paraId="0104611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11</w:t>
                  </w:r>
                </w:p>
              </w:tc>
              <w:tc>
                <w:tcPr>
                  <w:tcW w:w="569" w:type="pct"/>
                  <w:noWrap w:val="0"/>
                  <w:vAlign w:val="center"/>
                </w:tcPr>
                <w:p w14:paraId="4C7C094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废包装桶</w:t>
                  </w:r>
                </w:p>
              </w:tc>
              <w:tc>
                <w:tcPr>
                  <w:tcW w:w="396" w:type="pct"/>
                  <w:vMerge w:val="continue"/>
                  <w:noWrap w:val="0"/>
                  <w:vAlign w:val="center"/>
                </w:tcPr>
                <w:p w14:paraId="2380083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46" w:type="pct"/>
                  <w:shd w:val="clear" w:color="auto" w:fill="auto"/>
                  <w:noWrap w:val="0"/>
                  <w:vAlign w:val="center"/>
                </w:tcPr>
                <w:p w14:paraId="07DF3FF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原料包装</w:t>
                  </w:r>
                </w:p>
              </w:tc>
              <w:tc>
                <w:tcPr>
                  <w:tcW w:w="290" w:type="pct"/>
                  <w:shd w:val="clear" w:color="auto" w:fill="auto"/>
                  <w:noWrap w:val="0"/>
                  <w:vAlign w:val="center"/>
                </w:tcPr>
                <w:p w14:paraId="570A1D6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728" w:type="pct"/>
                  <w:shd w:val="clear" w:color="auto" w:fill="auto"/>
                  <w:noWrap w:val="0"/>
                  <w:vAlign w:val="center"/>
                </w:tcPr>
                <w:p w14:paraId="692D1B1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0"/>
                      <w:sz w:val="21"/>
                      <w:szCs w:val="21"/>
                      <w:lang w:val="en-US" w:eastAsia="zh-CN" w:bidi="ar-SA"/>
                    </w:rPr>
                  </w:pPr>
                  <w:r>
                    <w:rPr>
                      <w:rFonts w:hint="eastAsia" w:eastAsia="仿宋" w:cs="Times New Roman"/>
                      <w:bCs/>
                      <w:color w:val="auto"/>
                      <w:kern w:val="0"/>
                      <w:sz w:val="21"/>
                      <w:szCs w:val="21"/>
                      <w:lang w:val="en-US" w:eastAsia="zh-CN" w:bidi="ar-SA"/>
                    </w:rPr>
                    <w:t>胶粘剂</w:t>
                  </w:r>
                </w:p>
              </w:tc>
              <w:tc>
                <w:tcPr>
                  <w:tcW w:w="444" w:type="pct"/>
                  <w:vMerge w:val="continue"/>
                  <w:shd w:val="clear" w:color="auto" w:fill="auto"/>
                  <w:noWrap w:val="0"/>
                  <w:vAlign w:val="center"/>
                </w:tcPr>
                <w:p w14:paraId="4A16E6E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p>
              </w:tc>
              <w:tc>
                <w:tcPr>
                  <w:tcW w:w="566" w:type="pct"/>
                  <w:shd w:val="clear" w:color="auto" w:fill="auto"/>
                  <w:noWrap w:val="0"/>
                  <w:vAlign w:val="center"/>
                </w:tcPr>
                <w:p w14:paraId="1C66D55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HW49</w:t>
                  </w:r>
                </w:p>
              </w:tc>
              <w:tc>
                <w:tcPr>
                  <w:tcW w:w="560" w:type="pct"/>
                  <w:shd w:val="clear" w:color="auto" w:fill="auto"/>
                  <w:noWrap w:val="0"/>
                  <w:vAlign w:val="center"/>
                </w:tcPr>
                <w:p w14:paraId="6BDAB6C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900-041-49</w:t>
                  </w:r>
                </w:p>
              </w:tc>
              <w:tc>
                <w:tcPr>
                  <w:tcW w:w="649" w:type="pct"/>
                  <w:noWrap w:val="0"/>
                  <w:vAlign w:val="center"/>
                </w:tcPr>
                <w:p w14:paraId="18672FD6">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0.062</w:t>
                  </w:r>
                </w:p>
              </w:tc>
            </w:tr>
            <w:tr w14:paraId="64B819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7" w:type="pct"/>
                  <w:noWrap w:val="0"/>
                  <w:vAlign w:val="center"/>
                </w:tcPr>
                <w:p w14:paraId="7B560B9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12</w:t>
                  </w:r>
                </w:p>
              </w:tc>
              <w:tc>
                <w:tcPr>
                  <w:tcW w:w="569" w:type="pct"/>
                  <w:noWrap w:val="0"/>
                  <w:vAlign w:val="center"/>
                </w:tcPr>
                <w:p w14:paraId="27E0DB2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生活垃圾</w:t>
                  </w:r>
                </w:p>
              </w:tc>
              <w:tc>
                <w:tcPr>
                  <w:tcW w:w="396" w:type="pct"/>
                  <w:noWrap w:val="0"/>
                  <w:vAlign w:val="top"/>
                </w:tcPr>
                <w:p w14:paraId="1D91B3E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一般固废</w:t>
                  </w:r>
                </w:p>
              </w:tc>
              <w:tc>
                <w:tcPr>
                  <w:tcW w:w="546" w:type="pct"/>
                  <w:noWrap w:val="0"/>
                  <w:vAlign w:val="center"/>
                </w:tcPr>
                <w:p w14:paraId="7174FAE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办公生活</w:t>
                  </w:r>
                </w:p>
              </w:tc>
              <w:tc>
                <w:tcPr>
                  <w:tcW w:w="290" w:type="pct"/>
                  <w:noWrap w:val="0"/>
                  <w:vAlign w:val="center"/>
                </w:tcPr>
                <w:p w14:paraId="3BED525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728" w:type="pct"/>
                  <w:noWrap w:val="0"/>
                  <w:vAlign w:val="center"/>
                </w:tcPr>
                <w:p w14:paraId="5F3766B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0"/>
                      <w:sz w:val="21"/>
                      <w:szCs w:val="21"/>
                      <w:lang w:val="en-US" w:eastAsia="zh-CN" w:bidi="ar-SA"/>
                    </w:rPr>
                  </w:pPr>
                  <w:r>
                    <w:rPr>
                      <w:rFonts w:hint="eastAsia" w:eastAsia="仿宋" w:cs="Times New Roman"/>
                      <w:bCs/>
                      <w:color w:val="auto"/>
                      <w:kern w:val="0"/>
                      <w:sz w:val="21"/>
                      <w:szCs w:val="21"/>
                      <w:lang w:val="en-US" w:eastAsia="zh-CN" w:bidi="ar-SA"/>
                    </w:rPr>
                    <w:t>垃圾</w:t>
                  </w:r>
                </w:p>
              </w:tc>
              <w:tc>
                <w:tcPr>
                  <w:tcW w:w="444" w:type="pct"/>
                  <w:vMerge w:val="continue"/>
                  <w:noWrap w:val="0"/>
                  <w:vAlign w:val="top"/>
                </w:tcPr>
                <w:p w14:paraId="2BDF7D1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rPr>
                  </w:pPr>
                </w:p>
              </w:tc>
              <w:tc>
                <w:tcPr>
                  <w:tcW w:w="566" w:type="pct"/>
                  <w:noWrap w:val="0"/>
                  <w:vAlign w:val="center"/>
                </w:tcPr>
                <w:p w14:paraId="267B953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SW64</w:t>
                  </w:r>
                </w:p>
              </w:tc>
              <w:tc>
                <w:tcPr>
                  <w:tcW w:w="560" w:type="pct"/>
                  <w:noWrap w:val="0"/>
                  <w:vAlign w:val="center"/>
                </w:tcPr>
                <w:p w14:paraId="6027DE8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900-099-S64</w:t>
                  </w:r>
                </w:p>
              </w:tc>
              <w:tc>
                <w:tcPr>
                  <w:tcW w:w="649" w:type="pct"/>
                  <w:noWrap w:val="0"/>
                  <w:vAlign w:val="center"/>
                </w:tcPr>
                <w:p w14:paraId="042E7446">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4.5</w:t>
                  </w:r>
                </w:p>
              </w:tc>
            </w:tr>
          </w:tbl>
          <w:p w14:paraId="4810E8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本项目运营期危险废物产生情况见表4-</w:t>
            </w:r>
            <w:r>
              <w:rPr>
                <w:rFonts w:hint="eastAsia" w:cs="Times New Roman"/>
                <w:b w:val="0"/>
                <w:bCs w:val="0"/>
                <w:color w:val="auto"/>
                <w:lang w:val="en-US" w:eastAsia="zh-CN"/>
              </w:rPr>
              <w:t>26</w:t>
            </w:r>
            <w:r>
              <w:rPr>
                <w:rFonts w:hint="default" w:ascii="Times New Roman" w:hAnsi="Times New Roman" w:eastAsia="宋体" w:cs="Times New Roman"/>
                <w:b w:val="0"/>
                <w:bCs w:val="0"/>
                <w:color w:val="auto"/>
                <w:lang w:val="en-US" w:eastAsia="zh-CN"/>
              </w:rPr>
              <w:t>。</w:t>
            </w:r>
          </w:p>
          <w:p w14:paraId="5A6985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w:t>
            </w:r>
            <w:r>
              <w:rPr>
                <w:rFonts w:hint="eastAsia" w:cs="Times New Roman"/>
                <w:b/>
                <w:color w:val="auto"/>
                <w:kern w:val="0"/>
                <w:sz w:val="21"/>
                <w:szCs w:val="21"/>
                <w:lang w:val="en-US" w:eastAsia="zh-CN"/>
              </w:rPr>
              <w:t>26</w:t>
            </w:r>
            <w:r>
              <w:rPr>
                <w:rFonts w:hint="default" w:ascii="Times New Roman" w:hAnsi="Times New Roman" w:eastAsia="宋体" w:cs="Times New Roman"/>
                <w:b/>
                <w:color w:val="auto"/>
                <w:kern w:val="0"/>
                <w:sz w:val="21"/>
                <w:szCs w:val="21"/>
              </w:rPr>
              <w:t xml:space="preserve">  本项目危险废物产生情况汇总表</w:t>
            </w:r>
          </w:p>
          <w:tbl>
            <w:tblPr>
              <w:tblStyle w:val="27"/>
              <w:tblW w:w="137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476"/>
              <w:gridCol w:w="930"/>
              <w:gridCol w:w="1197"/>
              <w:gridCol w:w="884"/>
              <w:gridCol w:w="1121"/>
              <w:gridCol w:w="705"/>
              <w:gridCol w:w="1268"/>
              <w:gridCol w:w="1252"/>
              <w:gridCol w:w="1222"/>
              <w:gridCol w:w="3178"/>
            </w:tblGrid>
            <w:tr w14:paraId="3B361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8" w:type="dxa"/>
                  <w:noWrap w:val="0"/>
                  <w:vAlign w:val="center"/>
                </w:tcPr>
                <w:p w14:paraId="681822B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序号</w:t>
                  </w:r>
                </w:p>
              </w:tc>
              <w:tc>
                <w:tcPr>
                  <w:tcW w:w="1476" w:type="dxa"/>
                  <w:noWrap w:val="0"/>
                  <w:vAlign w:val="center"/>
                </w:tcPr>
                <w:p w14:paraId="0D2BD7E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危险废物</w:t>
                  </w:r>
                </w:p>
                <w:p w14:paraId="5897856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名称</w:t>
                  </w:r>
                </w:p>
              </w:tc>
              <w:tc>
                <w:tcPr>
                  <w:tcW w:w="930" w:type="dxa"/>
                  <w:noWrap w:val="0"/>
                  <w:vAlign w:val="center"/>
                </w:tcPr>
                <w:p w14:paraId="46838AC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危险废物类别</w:t>
                  </w:r>
                </w:p>
              </w:tc>
              <w:tc>
                <w:tcPr>
                  <w:tcW w:w="1197" w:type="dxa"/>
                  <w:noWrap w:val="0"/>
                  <w:vAlign w:val="center"/>
                </w:tcPr>
                <w:p w14:paraId="0CCD504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危险废物</w:t>
                  </w:r>
                </w:p>
                <w:p w14:paraId="2CFF67BC">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代码</w:t>
                  </w:r>
                </w:p>
              </w:tc>
              <w:tc>
                <w:tcPr>
                  <w:tcW w:w="884" w:type="dxa"/>
                  <w:noWrap w:val="0"/>
                  <w:vAlign w:val="center"/>
                </w:tcPr>
                <w:p w14:paraId="13A90E1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产生量（t/a）</w:t>
                  </w:r>
                </w:p>
              </w:tc>
              <w:tc>
                <w:tcPr>
                  <w:tcW w:w="1121" w:type="dxa"/>
                  <w:noWrap w:val="0"/>
                  <w:vAlign w:val="center"/>
                </w:tcPr>
                <w:p w14:paraId="01133B2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产生工序及装置</w:t>
                  </w:r>
                </w:p>
              </w:tc>
              <w:tc>
                <w:tcPr>
                  <w:tcW w:w="705" w:type="dxa"/>
                  <w:noWrap w:val="0"/>
                  <w:vAlign w:val="center"/>
                </w:tcPr>
                <w:p w14:paraId="678343C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形态</w:t>
                  </w:r>
                </w:p>
              </w:tc>
              <w:tc>
                <w:tcPr>
                  <w:tcW w:w="1268" w:type="dxa"/>
                  <w:noWrap w:val="0"/>
                  <w:vAlign w:val="center"/>
                </w:tcPr>
                <w:p w14:paraId="79E9B81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主要成分</w:t>
                  </w:r>
                </w:p>
              </w:tc>
              <w:tc>
                <w:tcPr>
                  <w:tcW w:w="1252" w:type="dxa"/>
                  <w:noWrap w:val="0"/>
                  <w:vAlign w:val="center"/>
                </w:tcPr>
                <w:p w14:paraId="00435F3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有害成分</w:t>
                  </w:r>
                </w:p>
              </w:tc>
              <w:tc>
                <w:tcPr>
                  <w:tcW w:w="1222" w:type="dxa"/>
                  <w:noWrap w:val="0"/>
                  <w:vAlign w:val="center"/>
                </w:tcPr>
                <w:p w14:paraId="4481F6F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危险特性</w:t>
                  </w:r>
                </w:p>
              </w:tc>
              <w:tc>
                <w:tcPr>
                  <w:tcW w:w="3178" w:type="dxa"/>
                  <w:noWrap w:val="0"/>
                  <w:vAlign w:val="center"/>
                </w:tcPr>
                <w:p w14:paraId="1E498B5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污染防治措施</w:t>
                  </w:r>
                </w:p>
              </w:tc>
            </w:tr>
            <w:tr w14:paraId="04510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8" w:type="dxa"/>
                  <w:noWrap w:val="0"/>
                  <w:vAlign w:val="center"/>
                </w:tcPr>
                <w:p w14:paraId="4EC539D5">
                  <w:pPr>
                    <w:keepNext w:val="0"/>
                    <w:keepLines w:val="0"/>
                    <w:widowControl/>
                    <w:numPr>
                      <w:ilvl w:val="0"/>
                      <w:numId w:val="12"/>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1476" w:type="dxa"/>
                  <w:shd w:val="clear" w:color="auto" w:fill="auto"/>
                  <w:noWrap w:val="0"/>
                  <w:vAlign w:val="center"/>
                </w:tcPr>
                <w:p w14:paraId="3A70BFA7">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废切削液</w:t>
                  </w:r>
                </w:p>
              </w:tc>
              <w:tc>
                <w:tcPr>
                  <w:tcW w:w="930" w:type="dxa"/>
                  <w:shd w:val="clear" w:color="auto" w:fill="auto"/>
                  <w:noWrap w:val="0"/>
                  <w:vAlign w:val="center"/>
                </w:tcPr>
                <w:p w14:paraId="3431F54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HW09</w:t>
                  </w:r>
                </w:p>
              </w:tc>
              <w:tc>
                <w:tcPr>
                  <w:tcW w:w="1197" w:type="dxa"/>
                  <w:shd w:val="clear" w:color="auto" w:fill="auto"/>
                  <w:noWrap w:val="0"/>
                  <w:vAlign w:val="center"/>
                </w:tcPr>
                <w:p w14:paraId="2F4CF82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900-006-09</w:t>
                  </w:r>
                </w:p>
              </w:tc>
              <w:tc>
                <w:tcPr>
                  <w:tcW w:w="884" w:type="dxa"/>
                  <w:shd w:val="clear" w:color="auto" w:fill="auto"/>
                  <w:noWrap w:val="0"/>
                  <w:vAlign w:val="center"/>
                </w:tcPr>
                <w:p w14:paraId="0353BBC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0.1</w:t>
                  </w:r>
                </w:p>
              </w:tc>
              <w:tc>
                <w:tcPr>
                  <w:tcW w:w="1121" w:type="dxa"/>
                  <w:shd w:val="clear" w:color="auto" w:fill="auto"/>
                  <w:noWrap w:val="0"/>
                  <w:vAlign w:val="center"/>
                </w:tcPr>
                <w:p w14:paraId="545F13E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设备维护</w:t>
                  </w:r>
                </w:p>
              </w:tc>
              <w:tc>
                <w:tcPr>
                  <w:tcW w:w="705" w:type="dxa"/>
                  <w:shd w:val="clear" w:color="auto" w:fill="auto"/>
                  <w:noWrap w:val="0"/>
                  <w:vAlign w:val="center"/>
                </w:tcPr>
                <w:p w14:paraId="35AB8DE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液</w:t>
                  </w:r>
                </w:p>
              </w:tc>
              <w:tc>
                <w:tcPr>
                  <w:tcW w:w="1268" w:type="dxa"/>
                  <w:shd w:val="clear" w:color="auto" w:fill="auto"/>
                  <w:noWrap w:val="0"/>
                  <w:vAlign w:val="center"/>
                </w:tcPr>
                <w:p w14:paraId="332CA59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0"/>
                      <w:sz w:val="21"/>
                      <w:szCs w:val="21"/>
                      <w:lang w:val="en-US" w:eastAsia="zh-CN" w:bidi="ar-SA"/>
                    </w:rPr>
                  </w:pPr>
                  <w:r>
                    <w:rPr>
                      <w:rFonts w:hint="default" w:eastAsia="仿宋" w:cs="Times New Roman"/>
                      <w:bCs/>
                      <w:color w:val="auto"/>
                      <w:kern w:val="0"/>
                      <w:sz w:val="21"/>
                      <w:szCs w:val="21"/>
                      <w:lang w:val="en-US" w:eastAsia="zh-CN" w:bidi="ar-SA"/>
                    </w:rPr>
                    <w:t>烃水混合物</w:t>
                  </w:r>
                </w:p>
              </w:tc>
              <w:tc>
                <w:tcPr>
                  <w:tcW w:w="1252" w:type="dxa"/>
                  <w:shd w:val="clear" w:color="auto" w:fill="auto"/>
                  <w:noWrap w:val="0"/>
                  <w:vAlign w:val="center"/>
                </w:tcPr>
                <w:p w14:paraId="5DCA99F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0"/>
                      <w:sz w:val="21"/>
                      <w:szCs w:val="21"/>
                      <w:lang w:val="en-US" w:eastAsia="zh-CN" w:bidi="ar-SA"/>
                    </w:rPr>
                  </w:pPr>
                  <w:r>
                    <w:rPr>
                      <w:rFonts w:hint="default" w:eastAsia="仿宋" w:cs="Times New Roman"/>
                      <w:bCs/>
                      <w:color w:val="auto"/>
                      <w:kern w:val="0"/>
                      <w:sz w:val="21"/>
                      <w:szCs w:val="21"/>
                      <w:lang w:val="en-US" w:eastAsia="zh-CN" w:bidi="ar-SA"/>
                    </w:rPr>
                    <w:t>烃水混合物</w:t>
                  </w:r>
                </w:p>
              </w:tc>
              <w:tc>
                <w:tcPr>
                  <w:tcW w:w="1222" w:type="dxa"/>
                  <w:shd w:val="clear" w:color="auto" w:fill="auto"/>
                  <w:noWrap w:val="0"/>
                  <w:vAlign w:val="center"/>
                </w:tcPr>
                <w:p w14:paraId="66118B27">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default" w:eastAsia="仿宋" w:cs="Times New Roman"/>
                      <w:color w:val="auto"/>
                      <w:kern w:val="0"/>
                      <w:szCs w:val="21"/>
                      <w:lang w:val="en-US" w:eastAsia="zh-CN"/>
                    </w:rPr>
                    <w:t>T</w:t>
                  </w:r>
                </w:p>
              </w:tc>
              <w:tc>
                <w:tcPr>
                  <w:tcW w:w="3178" w:type="dxa"/>
                  <w:shd w:val="clear" w:color="auto" w:fill="auto"/>
                  <w:noWrap w:val="0"/>
                  <w:vAlign w:val="center"/>
                </w:tcPr>
                <w:p w14:paraId="310E08DB">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eastAsia="zh-CN"/>
                    </w:rPr>
                    <w:t>盖紧桶盖</w:t>
                  </w:r>
                  <w:r>
                    <w:rPr>
                      <w:rFonts w:hint="eastAsia" w:ascii="Times New Roman" w:hAnsi="Times New Roman" w:eastAsia="仿宋" w:cs="Times New Roman"/>
                      <w:color w:val="auto"/>
                      <w:kern w:val="0"/>
                      <w:szCs w:val="21"/>
                      <w:lang w:val="en-US" w:eastAsia="zh-CN"/>
                    </w:rPr>
                    <w:t>后</w:t>
                  </w:r>
                  <w:r>
                    <w:rPr>
                      <w:rFonts w:hint="default" w:ascii="Times New Roman" w:hAnsi="Times New Roman" w:eastAsia="仿宋" w:cs="Times New Roman"/>
                      <w:color w:val="auto"/>
                      <w:kern w:val="0"/>
                      <w:szCs w:val="21"/>
                    </w:rPr>
                    <w:t>置于托盘，贴上标签放于</w:t>
                  </w:r>
                  <w:r>
                    <w:rPr>
                      <w:rFonts w:hint="eastAsia" w:ascii="Times New Roman" w:hAnsi="Times New Roman" w:eastAsia="仿宋" w:cs="Times New Roman"/>
                      <w:color w:val="auto"/>
                      <w:kern w:val="0"/>
                      <w:szCs w:val="21"/>
                      <w:lang w:eastAsia="zh-CN"/>
                    </w:rPr>
                    <w:t>危废仓库</w:t>
                  </w:r>
                </w:p>
              </w:tc>
            </w:tr>
            <w:tr w14:paraId="43B10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8" w:type="dxa"/>
                  <w:noWrap w:val="0"/>
                  <w:vAlign w:val="center"/>
                </w:tcPr>
                <w:p w14:paraId="1582B2F4">
                  <w:pPr>
                    <w:keepNext w:val="0"/>
                    <w:keepLines w:val="0"/>
                    <w:widowControl/>
                    <w:numPr>
                      <w:ilvl w:val="0"/>
                      <w:numId w:val="12"/>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1476" w:type="dxa"/>
                  <w:shd w:val="clear" w:color="auto" w:fill="auto"/>
                  <w:noWrap w:val="0"/>
                  <w:vAlign w:val="center"/>
                </w:tcPr>
                <w:p w14:paraId="396DBFD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含胶劳保用品</w:t>
                  </w:r>
                </w:p>
              </w:tc>
              <w:tc>
                <w:tcPr>
                  <w:tcW w:w="930" w:type="dxa"/>
                  <w:shd w:val="clear" w:color="auto" w:fill="auto"/>
                  <w:noWrap w:val="0"/>
                  <w:vAlign w:val="center"/>
                </w:tcPr>
                <w:p w14:paraId="421385C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HW49</w:t>
                  </w:r>
                </w:p>
              </w:tc>
              <w:tc>
                <w:tcPr>
                  <w:tcW w:w="1197" w:type="dxa"/>
                  <w:shd w:val="clear" w:color="auto" w:fill="auto"/>
                  <w:noWrap w:val="0"/>
                  <w:vAlign w:val="center"/>
                </w:tcPr>
                <w:p w14:paraId="51A5B67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900-041-49</w:t>
                  </w:r>
                </w:p>
              </w:tc>
              <w:tc>
                <w:tcPr>
                  <w:tcW w:w="884" w:type="dxa"/>
                  <w:shd w:val="clear" w:color="auto" w:fill="auto"/>
                  <w:noWrap w:val="0"/>
                  <w:vAlign w:val="center"/>
                </w:tcPr>
                <w:p w14:paraId="289A155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0.05</w:t>
                  </w:r>
                </w:p>
              </w:tc>
              <w:tc>
                <w:tcPr>
                  <w:tcW w:w="1121" w:type="dxa"/>
                  <w:shd w:val="clear" w:color="auto" w:fill="auto"/>
                  <w:noWrap w:val="0"/>
                  <w:vAlign w:val="center"/>
                </w:tcPr>
                <w:p w14:paraId="77E9382F">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涂胶</w:t>
                  </w:r>
                </w:p>
              </w:tc>
              <w:tc>
                <w:tcPr>
                  <w:tcW w:w="705" w:type="dxa"/>
                  <w:shd w:val="clear" w:color="auto" w:fill="auto"/>
                  <w:noWrap w:val="0"/>
                  <w:vAlign w:val="center"/>
                </w:tcPr>
                <w:p w14:paraId="1E24FC39">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1268" w:type="dxa"/>
                  <w:shd w:val="clear" w:color="auto" w:fill="auto"/>
                  <w:noWrap w:val="0"/>
                  <w:vAlign w:val="center"/>
                </w:tcPr>
                <w:p w14:paraId="7BAA8D4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胶粘剂</w:t>
                  </w:r>
                </w:p>
              </w:tc>
              <w:tc>
                <w:tcPr>
                  <w:tcW w:w="1252" w:type="dxa"/>
                  <w:shd w:val="clear" w:color="auto" w:fill="auto"/>
                  <w:noWrap w:val="0"/>
                  <w:vAlign w:val="center"/>
                </w:tcPr>
                <w:p w14:paraId="3129E51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胶粘剂</w:t>
                  </w:r>
                </w:p>
              </w:tc>
              <w:tc>
                <w:tcPr>
                  <w:tcW w:w="1222" w:type="dxa"/>
                  <w:shd w:val="clear" w:color="auto" w:fill="auto"/>
                  <w:noWrap w:val="0"/>
                  <w:vAlign w:val="center"/>
                </w:tcPr>
                <w:p w14:paraId="5D0AACA4">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T</w:t>
                  </w:r>
                </w:p>
              </w:tc>
              <w:tc>
                <w:tcPr>
                  <w:tcW w:w="3178" w:type="dxa"/>
                  <w:shd w:val="clear" w:color="auto" w:fill="auto"/>
                  <w:noWrap w:val="0"/>
                  <w:vAlign w:val="center"/>
                </w:tcPr>
                <w:p w14:paraId="0935DCED">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防漏胶袋包装后置于托盘，贴上标签放于</w:t>
                  </w:r>
                  <w:r>
                    <w:rPr>
                      <w:rFonts w:hint="default" w:ascii="Times New Roman" w:hAnsi="Times New Roman" w:eastAsia="仿宋" w:cs="Times New Roman"/>
                      <w:color w:val="auto"/>
                      <w:kern w:val="0"/>
                      <w:szCs w:val="21"/>
                      <w:lang w:eastAsia="zh-CN"/>
                    </w:rPr>
                    <w:t>危废仓库</w:t>
                  </w:r>
                </w:p>
              </w:tc>
            </w:tr>
            <w:tr w14:paraId="54074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8" w:type="dxa"/>
                  <w:noWrap w:val="0"/>
                  <w:vAlign w:val="center"/>
                </w:tcPr>
                <w:p w14:paraId="30C1BB07">
                  <w:pPr>
                    <w:keepNext w:val="0"/>
                    <w:keepLines w:val="0"/>
                    <w:widowControl/>
                    <w:numPr>
                      <w:ilvl w:val="0"/>
                      <w:numId w:val="12"/>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1476" w:type="dxa"/>
                  <w:noWrap w:val="0"/>
                  <w:vAlign w:val="center"/>
                </w:tcPr>
                <w:p w14:paraId="20F468F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喷淋废液</w:t>
                  </w:r>
                </w:p>
              </w:tc>
              <w:tc>
                <w:tcPr>
                  <w:tcW w:w="930" w:type="dxa"/>
                  <w:shd w:val="clear" w:color="auto" w:fill="auto"/>
                  <w:noWrap w:val="0"/>
                  <w:vAlign w:val="center"/>
                </w:tcPr>
                <w:p w14:paraId="01592ED7">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HW09</w:t>
                  </w:r>
                </w:p>
              </w:tc>
              <w:tc>
                <w:tcPr>
                  <w:tcW w:w="1197" w:type="dxa"/>
                  <w:shd w:val="clear" w:color="auto" w:fill="auto"/>
                  <w:noWrap w:val="0"/>
                  <w:vAlign w:val="center"/>
                </w:tcPr>
                <w:p w14:paraId="6838B6E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900-007-09</w:t>
                  </w:r>
                </w:p>
              </w:tc>
              <w:tc>
                <w:tcPr>
                  <w:tcW w:w="884" w:type="dxa"/>
                  <w:shd w:val="clear" w:color="auto" w:fill="auto"/>
                  <w:noWrap w:val="0"/>
                  <w:vAlign w:val="center"/>
                </w:tcPr>
                <w:p w14:paraId="610EF96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w:t>
                  </w:r>
                </w:p>
              </w:tc>
              <w:tc>
                <w:tcPr>
                  <w:tcW w:w="1121" w:type="dxa"/>
                  <w:shd w:val="clear" w:color="auto" w:fill="auto"/>
                  <w:noWrap w:val="0"/>
                  <w:vAlign w:val="center"/>
                </w:tcPr>
                <w:p w14:paraId="3A979DD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设备维护</w:t>
                  </w:r>
                </w:p>
              </w:tc>
              <w:tc>
                <w:tcPr>
                  <w:tcW w:w="705" w:type="dxa"/>
                  <w:shd w:val="clear" w:color="auto" w:fill="auto"/>
                  <w:noWrap w:val="0"/>
                  <w:vAlign w:val="center"/>
                </w:tcPr>
                <w:p w14:paraId="4A9832B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液</w:t>
                  </w:r>
                </w:p>
              </w:tc>
              <w:tc>
                <w:tcPr>
                  <w:tcW w:w="1268" w:type="dxa"/>
                  <w:shd w:val="clear" w:color="auto" w:fill="auto"/>
                  <w:noWrap w:val="0"/>
                  <w:vAlign w:val="center"/>
                </w:tcPr>
                <w:p w14:paraId="6EF533B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0"/>
                      <w:sz w:val="21"/>
                      <w:szCs w:val="21"/>
                      <w:lang w:val="en-US" w:eastAsia="zh-CN" w:bidi="ar-SA"/>
                    </w:rPr>
                  </w:pPr>
                  <w:r>
                    <w:rPr>
                      <w:rFonts w:hint="default" w:eastAsia="仿宋" w:cs="Times New Roman"/>
                      <w:bCs/>
                      <w:color w:val="auto"/>
                      <w:kern w:val="0"/>
                      <w:sz w:val="21"/>
                      <w:szCs w:val="21"/>
                      <w:lang w:val="en-US" w:eastAsia="zh-CN" w:bidi="ar-SA"/>
                    </w:rPr>
                    <w:t>烃水混合物</w:t>
                  </w:r>
                </w:p>
              </w:tc>
              <w:tc>
                <w:tcPr>
                  <w:tcW w:w="1252" w:type="dxa"/>
                  <w:shd w:val="clear" w:color="auto" w:fill="auto"/>
                  <w:noWrap w:val="0"/>
                  <w:vAlign w:val="center"/>
                </w:tcPr>
                <w:p w14:paraId="26360D9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0"/>
                      <w:sz w:val="21"/>
                      <w:szCs w:val="21"/>
                      <w:lang w:val="en-US" w:eastAsia="zh-CN" w:bidi="ar-SA"/>
                    </w:rPr>
                  </w:pPr>
                  <w:r>
                    <w:rPr>
                      <w:rFonts w:hint="default" w:eastAsia="仿宋" w:cs="Times New Roman"/>
                      <w:bCs/>
                      <w:color w:val="auto"/>
                      <w:kern w:val="0"/>
                      <w:sz w:val="21"/>
                      <w:szCs w:val="21"/>
                      <w:lang w:val="en-US" w:eastAsia="zh-CN" w:bidi="ar-SA"/>
                    </w:rPr>
                    <w:t>烃水混合物</w:t>
                  </w:r>
                </w:p>
              </w:tc>
              <w:tc>
                <w:tcPr>
                  <w:tcW w:w="1222" w:type="dxa"/>
                  <w:shd w:val="clear" w:color="auto" w:fill="auto"/>
                  <w:noWrap w:val="0"/>
                  <w:vAlign w:val="center"/>
                </w:tcPr>
                <w:p w14:paraId="17B988C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default" w:eastAsia="仿宋" w:cs="Times New Roman"/>
                      <w:color w:val="auto"/>
                      <w:kern w:val="0"/>
                      <w:szCs w:val="21"/>
                      <w:lang w:val="en-US" w:eastAsia="zh-CN"/>
                    </w:rPr>
                    <w:t>T</w:t>
                  </w:r>
                </w:p>
              </w:tc>
              <w:tc>
                <w:tcPr>
                  <w:tcW w:w="3178" w:type="dxa"/>
                  <w:shd w:val="clear" w:color="auto" w:fill="auto"/>
                  <w:noWrap w:val="0"/>
                  <w:vAlign w:val="center"/>
                </w:tcPr>
                <w:p w14:paraId="1B4BD51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eastAsia="zh-CN"/>
                    </w:rPr>
                    <w:t>盖紧桶盖</w:t>
                  </w:r>
                  <w:r>
                    <w:rPr>
                      <w:rFonts w:hint="eastAsia" w:ascii="Times New Roman" w:hAnsi="Times New Roman" w:eastAsia="仿宋" w:cs="Times New Roman"/>
                      <w:color w:val="auto"/>
                      <w:kern w:val="0"/>
                      <w:szCs w:val="21"/>
                      <w:lang w:val="en-US" w:eastAsia="zh-CN"/>
                    </w:rPr>
                    <w:t>后</w:t>
                  </w:r>
                  <w:r>
                    <w:rPr>
                      <w:rFonts w:hint="default" w:ascii="Times New Roman" w:hAnsi="Times New Roman" w:eastAsia="仿宋" w:cs="Times New Roman"/>
                      <w:color w:val="auto"/>
                      <w:kern w:val="0"/>
                      <w:szCs w:val="21"/>
                    </w:rPr>
                    <w:t>置于托盘，贴上标签放于</w:t>
                  </w:r>
                  <w:r>
                    <w:rPr>
                      <w:rFonts w:hint="eastAsia" w:ascii="Times New Roman" w:hAnsi="Times New Roman" w:eastAsia="仿宋" w:cs="Times New Roman"/>
                      <w:color w:val="auto"/>
                      <w:kern w:val="0"/>
                      <w:szCs w:val="21"/>
                      <w:lang w:eastAsia="zh-CN"/>
                    </w:rPr>
                    <w:t>危废仓库</w:t>
                  </w:r>
                </w:p>
              </w:tc>
            </w:tr>
            <w:tr w14:paraId="1418F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8" w:type="dxa"/>
                  <w:noWrap w:val="0"/>
                  <w:vAlign w:val="center"/>
                </w:tcPr>
                <w:p w14:paraId="11C17201">
                  <w:pPr>
                    <w:keepNext w:val="0"/>
                    <w:keepLines w:val="0"/>
                    <w:widowControl/>
                    <w:numPr>
                      <w:ilvl w:val="0"/>
                      <w:numId w:val="12"/>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1476" w:type="dxa"/>
                  <w:noWrap w:val="0"/>
                  <w:vAlign w:val="center"/>
                </w:tcPr>
                <w:p w14:paraId="68BC1C2A">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废活性炭</w:t>
                  </w:r>
                </w:p>
              </w:tc>
              <w:tc>
                <w:tcPr>
                  <w:tcW w:w="930" w:type="dxa"/>
                  <w:shd w:val="clear" w:color="auto" w:fill="auto"/>
                  <w:noWrap w:val="0"/>
                  <w:vAlign w:val="center"/>
                </w:tcPr>
                <w:p w14:paraId="78C12148">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HW49</w:t>
                  </w:r>
                </w:p>
              </w:tc>
              <w:tc>
                <w:tcPr>
                  <w:tcW w:w="1197" w:type="dxa"/>
                  <w:shd w:val="clear" w:color="auto" w:fill="auto"/>
                  <w:noWrap w:val="0"/>
                  <w:vAlign w:val="center"/>
                </w:tcPr>
                <w:p w14:paraId="5853FE5C">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900-039-49</w:t>
                  </w:r>
                </w:p>
              </w:tc>
              <w:tc>
                <w:tcPr>
                  <w:tcW w:w="884" w:type="dxa"/>
                  <w:shd w:val="clear" w:color="auto" w:fill="auto"/>
                  <w:noWrap w:val="0"/>
                  <w:vAlign w:val="center"/>
                </w:tcPr>
                <w:p w14:paraId="6201973D">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4</w:t>
                  </w:r>
                </w:p>
              </w:tc>
              <w:tc>
                <w:tcPr>
                  <w:tcW w:w="1121" w:type="dxa"/>
                  <w:shd w:val="clear" w:color="auto" w:fill="auto"/>
                  <w:noWrap w:val="0"/>
                  <w:vAlign w:val="center"/>
                </w:tcPr>
                <w:p w14:paraId="684CAA22">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废气处理</w:t>
                  </w:r>
                </w:p>
              </w:tc>
              <w:tc>
                <w:tcPr>
                  <w:tcW w:w="705" w:type="dxa"/>
                  <w:shd w:val="clear" w:color="auto" w:fill="auto"/>
                  <w:noWrap w:val="0"/>
                  <w:vAlign w:val="center"/>
                </w:tcPr>
                <w:p w14:paraId="0C270C6D">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1268" w:type="dxa"/>
                  <w:shd w:val="clear" w:color="auto" w:fill="auto"/>
                  <w:noWrap w:val="0"/>
                  <w:vAlign w:val="center"/>
                </w:tcPr>
                <w:p w14:paraId="045B838F">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Cs/>
                      <w:color w:val="auto"/>
                      <w:kern w:val="0"/>
                      <w:sz w:val="21"/>
                      <w:szCs w:val="21"/>
                      <w:lang w:val="en-US" w:eastAsia="zh-CN" w:bidi="ar-SA"/>
                    </w:rPr>
                  </w:pPr>
                  <w:r>
                    <w:rPr>
                      <w:rFonts w:hint="eastAsia" w:eastAsia="仿宋" w:cs="Times New Roman"/>
                      <w:bCs/>
                      <w:color w:val="auto"/>
                      <w:kern w:val="0"/>
                      <w:sz w:val="21"/>
                      <w:szCs w:val="21"/>
                      <w:lang w:val="en-US" w:eastAsia="zh-CN" w:bidi="ar-SA"/>
                    </w:rPr>
                    <w:t>有机废气、活性炭</w:t>
                  </w:r>
                </w:p>
              </w:tc>
              <w:tc>
                <w:tcPr>
                  <w:tcW w:w="1252" w:type="dxa"/>
                  <w:shd w:val="clear" w:color="auto" w:fill="auto"/>
                  <w:noWrap w:val="0"/>
                  <w:vAlign w:val="center"/>
                </w:tcPr>
                <w:p w14:paraId="2E944261">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Cs/>
                      <w:color w:val="auto"/>
                      <w:kern w:val="0"/>
                      <w:sz w:val="21"/>
                      <w:szCs w:val="21"/>
                      <w:lang w:val="en-US" w:eastAsia="zh-CN" w:bidi="ar-SA"/>
                    </w:rPr>
                  </w:pPr>
                  <w:r>
                    <w:rPr>
                      <w:rFonts w:hint="eastAsia" w:eastAsia="仿宋" w:cs="Times New Roman"/>
                      <w:bCs/>
                      <w:color w:val="auto"/>
                      <w:kern w:val="0"/>
                      <w:sz w:val="21"/>
                      <w:szCs w:val="21"/>
                      <w:lang w:val="en-US" w:eastAsia="zh-CN" w:bidi="ar-SA"/>
                    </w:rPr>
                    <w:t>有机废气</w:t>
                  </w:r>
                </w:p>
              </w:tc>
              <w:tc>
                <w:tcPr>
                  <w:tcW w:w="1222" w:type="dxa"/>
                  <w:noWrap w:val="0"/>
                  <w:vAlign w:val="center"/>
                </w:tcPr>
                <w:p w14:paraId="32A7BD94">
                  <w:pPr>
                    <w:keepNext w:val="0"/>
                    <w:keepLines w:val="0"/>
                    <w:suppressLineNumbers w:val="0"/>
                    <w:spacing w:before="0" w:beforeAutospacing="0" w:after="0" w:afterAutospacing="0"/>
                    <w:ind w:left="0" w:right="0"/>
                    <w:jc w:val="center"/>
                    <w:rPr>
                      <w:rFonts w:hint="eastAsia" w:eastAsia="仿宋" w:cs="Times New Roman"/>
                      <w:color w:val="auto"/>
                      <w:kern w:val="0"/>
                      <w:szCs w:val="21"/>
                      <w:lang w:val="en-US" w:eastAsia="zh-CN"/>
                    </w:rPr>
                  </w:pPr>
                  <w:r>
                    <w:rPr>
                      <w:rFonts w:hint="eastAsia" w:eastAsia="仿宋" w:cs="Times New Roman"/>
                      <w:color w:val="auto"/>
                      <w:kern w:val="0"/>
                      <w:szCs w:val="21"/>
                      <w:lang w:val="en-US" w:eastAsia="zh-CN"/>
                    </w:rPr>
                    <w:t>T</w:t>
                  </w:r>
                </w:p>
              </w:tc>
              <w:tc>
                <w:tcPr>
                  <w:tcW w:w="3178" w:type="dxa"/>
                  <w:noWrap w:val="0"/>
                  <w:vAlign w:val="center"/>
                </w:tcPr>
                <w:p w14:paraId="5F96FD19">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防漏胶袋包装后置于托盘，贴上标签放于</w:t>
                  </w:r>
                  <w:r>
                    <w:rPr>
                      <w:rFonts w:hint="default" w:ascii="Times New Roman" w:hAnsi="Times New Roman" w:eastAsia="仿宋" w:cs="Times New Roman"/>
                      <w:color w:val="auto"/>
                      <w:kern w:val="0"/>
                      <w:szCs w:val="21"/>
                      <w:lang w:eastAsia="zh-CN"/>
                    </w:rPr>
                    <w:t>危废仓库</w:t>
                  </w:r>
                </w:p>
              </w:tc>
            </w:tr>
            <w:tr w14:paraId="50862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8" w:type="dxa"/>
                  <w:noWrap w:val="0"/>
                  <w:vAlign w:val="center"/>
                </w:tcPr>
                <w:p w14:paraId="35443B01">
                  <w:pPr>
                    <w:keepNext w:val="0"/>
                    <w:keepLines w:val="0"/>
                    <w:widowControl/>
                    <w:numPr>
                      <w:ilvl w:val="0"/>
                      <w:numId w:val="12"/>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1476" w:type="dxa"/>
                  <w:noWrap w:val="0"/>
                  <w:vAlign w:val="center"/>
                </w:tcPr>
                <w:p w14:paraId="5C3BD889">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废包装桶</w:t>
                  </w:r>
                </w:p>
              </w:tc>
              <w:tc>
                <w:tcPr>
                  <w:tcW w:w="930" w:type="dxa"/>
                  <w:shd w:val="clear" w:color="auto" w:fill="auto"/>
                  <w:noWrap w:val="0"/>
                  <w:vAlign w:val="center"/>
                </w:tcPr>
                <w:p w14:paraId="7316D415">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HW49</w:t>
                  </w:r>
                </w:p>
              </w:tc>
              <w:tc>
                <w:tcPr>
                  <w:tcW w:w="1197" w:type="dxa"/>
                  <w:shd w:val="clear" w:color="auto" w:fill="auto"/>
                  <w:noWrap w:val="0"/>
                  <w:vAlign w:val="center"/>
                </w:tcPr>
                <w:p w14:paraId="0AD1A472">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900-041-49</w:t>
                  </w:r>
                </w:p>
              </w:tc>
              <w:tc>
                <w:tcPr>
                  <w:tcW w:w="884" w:type="dxa"/>
                  <w:shd w:val="clear" w:color="auto" w:fill="auto"/>
                  <w:noWrap w:val="0"/>
                  <w:vAlign w:val="center"/>
                </w:tcPr>
                <w:p w14:paraId="71BB728E">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0.062</w:t>
                  </w:r>
                </w:p>
              </w:tc>
              <w:tc>
                <w:tcPr>
                  <w:tcW w:w="1121" w:type="dxa"/>
                  <w:shd w:val="clear" w:color="auto" w:fill="auto"/>
                  <w:noWrap w:val="0"/>
                  <w:vAlign w:val="center"/>
                </w:tcPr>
                <w:p w14:paraId="4E8724E5">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原料包装</w:t>
                  </w:r>
                </w:p>
              </w:tc>
              <w:tc>
                <w:tcPr>
                  <w:tcW w:w="705" w:type="dxa"/>
                  <w:shd w:val="clear" w:color="auto" w:fill="auto"/>
                  <w:noWrap w:val="0"/>
                  <w:vAlign w:val="center"/>
                </w:tcPr>
                <w:p w14:paraId="6F5E5367">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固</w:t>
                  </w:r>
                </w:p>
              </w:tc>
              <w:tc>
                <w:tcPr>
                  <w:tcW w:w="1268" w:type="dxa"/>
                  <w:shd w:val="clear" w:color="auto" w:fill="auto"/>
                  <w:noWrap w:val="0"/>
                  <w:vAlign w:val="center"/>
                </w:tcPr>
                <w:p w14:paraId="303CF79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0"/>
                      <w:sz w:val="21"/>
                      <w:szCs w:val="21"/>
                      <w:lang w:val="en-US" w:eastAsia="zh-CN" w:bidi="ar-SA"/>
                    </w:rPr>
                  </w:pPr>
                  <w:r>
                    <w:rPr>
                      <w:rFonts w:hint="eastAsia" w:eastAsia="仿宋" w:cs="Times New Roman"/>
                      <w:bCs/>
                      <w:color w:val="auto"/>
                      <w:kern w:val="0"/>
                      <w:sz w:val="21"/>
                      <w:szCs w:val="21"/>
                      <w:lang w:val="en-US" w:eastAsia="zh-CN" w:bidi="ar-SA"/>
                    </w:rPr>
                    <w:t>胶粘剂、切削液</w:t>
                  </w:r>
                </w:p>
              </w:tc>
              <w:tc>
                <w:tcPr>
                  <w:tcW w:w="1252" w:type="dxa"/>
                  <w:shd w:val="clear" w:color="auto" w:fill="auto"/>
                  <w:noWrap w:val="0"/>
                  <w:vAlign w:val="center"/>
                </w:tcPr>
                <w:p w14:paraId="566773A2">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Cs/>
                      <w:color w:val="auto"/>
                      <w:kern w:val="0"/>
                      <w:sz w:val="21"/>
                      <w:szCs w:val="21"/>
                      <w:lang w:val="en-US" w:eastAsia="zh-CN" w:bidi="ar-SA"/>
                    </w:rPr>
                  </w:pPr>
                  <w:r>
                    <w:rPr>
                      <w:rFonts w:hint="eastAsia" w:eastAsia="仿宋" w:cs="Times New Roman"/>
                      <w:bCs/>
                      <w:color w:val="auto"/>
                      <w:kern w:val="0"/>
                      <w:sz w:val="21"/>
                      <w:szCs w:val="21"/>
                      <w:lang w:val="en-US" w:eastAsia="zh-CN" w:bidi="ar-SA"/>
                    </w:rPr>
                    <w:t>胶粘剂、切削液</w:t>
                  </w:r>
                </w:p>
              </w:tc>
              <w:tc>
                <w:tcPr>
                  <w:tcW w:w="1222" w:type="dxa"/>
                  <w:noWrap w:val="0"/>
                  <w:vAlign w:val="center"/>
                </w:tcPr>
                <w:p w14:paraId="0E11D295">
                  <w:pPr>
                    <w:keepNext w:val="0"/>
                    <w:keepLines w:val="0"/>
                    <w:suppressLineNumbers w:val="0"/>
                    <w:spacing w:before="0" w:beforeAutospacing="0" w:after="0" w:afterAutospacing="0"/>
                    <w:ind w:left="0" w:right="0"/>
                    <w:jc w:val="center"/>
                    <w:rPr>
                      <w:rFonts w:hint="default" w:eastAsia="仿宋" w:cs="Times New Roman"/>
                      <w:color w:val="auto"/>
                      <w:kern w:val="0"/>
                      <w:szCs w:val="21"/>
                      <w:lang w:val="en-US" w:eastAsia="zh-CN"/>
                    </w:rPr>
                  </w:pPr>
                  <w:r>
                    <w:rPr>
                      <w:rFonts w:hint="default" w:eastAsia="仿宋" w:cs="Times New Roman"/>
                      <w:color w:val="auto"/>
                      <w:kern w:val="0"/>
                      <w:szCs w:val="21"/>
                      <w:lang w:val="en-US" w:eastAsia="zh-CN"/>
                    </w:rPr>
                    <w:t>T/In</w:t>
                  </w:r>
                </w:p>
              </w:tc>
              <w:tc>
                <w:tcPr>
                  <w:tcW w:w="3178" w:type="dxa"/>
                  <w:noWrap w:val="0"/>
                  <w:vAlign w:val="center"/>
                </w:tcPr>
                <w:p w14:paraId="06AEFDE1">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缠绕膜捆扎</w:t>
                  </w:r>
                  <w:r>
                    <w:rPr>
                      <w:rFonts w:hint="default" w:ascii="Times New Roman" w:hAnsi="Times New Roman" w:eastAsia="仿宋" w:cs="Times New Roman"/>
                      <w:color w:val="auto"/>
                      <w:kern w:val="0"/>
                      <w:szCs w:val="21"/>
                    </w:rPr>
                    <w:t>后置于托盘，贴上标签放于</w:t>
                  </w:r>
                  <w:r>
                    <w:rPr>
                      <w:rFonts w:hint="default" w:ascii="Times New Roman" w:hAnsi="Times New Roman" w:eastAsia="仿宋" w:cs="Times New Roman"/>
                      <w:color w:val="auto"/>
                      <w:kern w:val="0"/>
                      <w:szCs w:val="21"/>
                      <w:lang w:eastAsia="zh-CN"/>
                    </w:rPr>
                    <w:t>危废仓库</w:t>
                  </w:r>
                </w:p>
              </w:tc>
            </w:tr>
          </w:tbl>
          <w:p w14:paraId="2DE64A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p>
          <w:p w14:paraId="59B959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（2）污染物排放情况</w:t>
            </w:r>
          </w:p>
          <w:p w14:paraId="7BACF5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本项目固废处置情况见表4-</w:t>
            </w:r>
            <w:r>
              <w:rPr>
                <w:rFonts w:hint="eastAsia" w:cs="Times New Roman"/>
                <w:b w:val="0"/>
                <w:bCs w:val="0"/>
                <w:color w:val="auto"/>
                <w:lang w:val="en-US" w:eastAsia="zh-CN"/>
              </w:rPr>
              <w:t>27</w:t>
            </w:r>
            <w:r>
              <w:rPr>
                <w:rFonts w:hint="default" w:ascii="Times New Roman" w:hAnsi="Times New Roman" w:eastAsia="宋体" w:cs="Times New Roman"/>
                <w:b w:val="0"/>
                <w:bCs w:val="0"/>
                <w:color w:val="auto"/>
                <w:lang w:val="en-US" w:eastAsia="zh-CN"/>
              </w:rPr>
              <w:t>。</w:t>
            </w:r>
          </w:p>
          <w:p w14:paraId="3543D6A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w:t>
            </w:r>
            <w:r>
              <w:rPr>
                <w:rFonts w:hint="eastAsia" w:cs="Times New Roman"/>
                <w:b/>
                <w:color w:val="auto"/>
                <w:kern w:val="0"/>
                <w:sz w:val="21"/>
                <w:szCs w:val="21"/>
                <w:lang w:val="en-US" w:eastAsia="zh-CN"/>
              </w:rPr>
              <w:t>27</w:t>
            </w:r>
            <w:r>
              <w:rPr>
                <w:rFonts w:hint="default" w:ascii="Times New Roman" w:hAnsi="Times New Roman" w:eastAsia="宋体" w:cs="Times New Roman"/>
                <w:b/>
                <w:color w:val="auto"/>
                <w:kern w:val="0"/>
                <w:sz w:val="21"/>
                <w:szCs w:val="21"/>
              </w:rPr>
              <w:t xml:space="preserve">  固体废物处置情况表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9"/>
              <w:gridCol w:w="2045"/>
              <w:gridCol w:w="1244"/>
              <w:gridCol w:w="1710"/>
              <w:gridCol w:w="1900"/>
              <w:gridCol w:w="1353"/>
              <w:gridCol w:w="2390"/>
              <w:gridCol w:w="2140"/>
            </w:tblGrid>
            <w:tr w14:paraId="75B6C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1" w:type="pct"/>
                  <w:noWrap w:val="0"/>
                  <w:vAlign w:val="center"/>
                </w:tcPr>
                <w:p w14:paraId="0E15492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序号</w:t>
                  </w:r>
                </w:p>
              </w:tc>
              <w:tc>
                <w:tcPr>
                  <w:tcW w:w="751" w:type="pct"/>
                  <w:noWrap w:val="0"/>
                  <w:vAlign w:val="center"/>
                </w:tcPr>
                <w:p w14:paraId="36638D8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固废名称</w:t>
                  </w:r>
                </w:p>
              </w:tc>
              <w:tc>
                <w:tcPr>
                  <w:tcW w:w="457" w:type="pct"/>
                  <w:noWrap w:val="0"/>
                  <w:vAlign w:val="center"/>
                </w:tcPr>
                <w:p w14:paraId="1D983237">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属性</w:t>
                  </w:r>
                </w:p>
              </w:tc>
              <w:tc>
                <w:tcPr>
                  <w:tcW w:w="628" w:type="pct"/>
                  <w:noWrap w:val="0"/>
                  <w:vAlign w:val="center"/>
                </w:tcPr>
                <w:p w14:paraId="4DC3972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废物类别</w:t>
                  </w:r>
                </w:p>
              </w:tc>
              <w:tc>
                <w:tcPr>
                  <w:tcW w:w="698" w:type="pct"/>
                  <w:noWrap w:val="0"/>
                  <w:vAlign w:val="center"/>
                </w:tcPr>
                <w:p w14:paraId="12472E5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废物代码</w:t>
                  </w:r>
                </w:p>
              </w:tc>
              <w:tc>
                <w:tcPr>
                  <w:tcW w:w="497" w:type="pct"/>
                  <w:noWrap w:val="0"/>
                  <w:vAlign w:val="center"/>
                </w:tcPr>
                <w:p w14:paraId="587FF85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产生量（t/a）</w:t>
                  </w:r>
                </w:p>
              </w:tc>
              <w:tc>
                <w:tcPr>
                  <w:tcW w:w="878" w:type="pct"/>
                  <w:noWrap w:val="0"/>
                  <w:vAlign w:val="center"/>
                </w:tcPr>
                <w:p w14:paraId="63FF2B5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利用处置方式</w:t>
                  </w:r>
                </w:p>
              </w:tc>
              <w:tc>
                <w:tcPr>
                  <w:tcW w:w="786" w:type="pct"/>
                  <w:noWrap w:val="0"/>
                  <w:vAlign w:val="center"/>
                </w:tcPr>
                <w:p w14:paraId="4C2137E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去向</w:t>
                  </w:r>
                </w:p>
              </w:tc>
            </w:tr>
            <w:tr w14:paraId="70A21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1" w:type="pct"/>
                  <w:noWrap w:val="0"/>
                  <w:vAlign w:val="center"/>
                </w:tcPr>
                <w:p w14:paraId="7C7045E6">
                  <w:pPr>
                    <w:keepNext w:val="0"/>
                    <w:keepLines w:val="0"/>
                    <w:widowControl/>
                    <w:numPr>
                      <w:ilvl w:val="0"/>
                      <w:numId w:val="13"/>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751" w:type="pct"/>
                  <w:shd w:val="clear" w:color="auto" w:fill="auto"/>
                  <w:noWrap w:val="0"/>
                  <w:vAlign w:val="center"/>
                </w:tcPr>
                <w:p w14:paraId="703E86F6">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金属边角料</w:t>
                  </w:r>
                </w:p>
              </w:tc>
              <w:tc>
                <w:tcPr>
                  <w:tcW w:w="457" w:type="pct"/>
                  <w:vMerge w:val="restart"/>
                  <w:noWrap w:val="0"/>
                  <w:vAlign w:val="center"/>
                </w:tcPr>
                <w:p w14:paraId="5D8BA8E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一般固废</w:t>
                  </w:r>
                </w:p>
              </w:tc>
              <w:tc>
                <w:tcPr>
                  <w:tcW w:w="628" w:type="pct"/>
                  <w:noWrap w:val="0"/>
                  <w:vAlign w:val="center"/>
                </w:tcPr>
                <w:p w14:paraId="69FD1D7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SW17</w:t>
                  </w:r>
                </w:p>
              </w:tc>
              <w:tc>
                <w:tcPr>
                  <w:tcW w:w="698" w:type="pct"/>
                  <w:noWrap w:val="0"/>
                  <w:vAlign w:val="center"/>
                </w:tcPr>
                <w:p w14:paraId="2624228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900-001-S17</w:t>
                  </w:r>
                </w:p>
              </w:tc>
              <w:tc>
                <w:tcPr>
                  <w:tcW w:w="497" w:type="pct"/>
                  <w:noWrap w:val="0"/>
                  <w:vAlign w:val="center"/>
                </w:tcPr>
                <w:p w14:paraId="4B31DFE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2</w:t>
                  </w:r>
                </w:p>
              </w:tc>
              <w:tc>
                <w:tcPr>
                  <w:tcW w:w="878" w:type="pct"/>
                  <w:noWrap w:val="0"/>
                  <w:vAlign w:val="center"/>
                </w:tcPr>
                <w:p w14:paraId="11FB70F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eastAsia="zh-CN"/>
                    </w:rPr>
                    <w:t>综合利用</w:t>
                  </w:r>
                </w:p>
              </w:tc>
              <w:tc>
                <w:tcPr>
                  <w:tcW w:w="786" w:type="pct"/>
                  <w:noWrap w:val="0"/>
                  <w:vAlign w:val="center"/>
                </w:tcPr>
                <w:p w14:paraId="5F2C278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eastAsia="zh-CN"/>
                    </w:rPr>
                    <w:t>资源回收单位</w:t>
                  </w:r>
                </w:p>
              </w:tc>
            </w:tr>
            <w:tr w14:paraId="6570B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1" w:type="pct"/>
                  <w:noWrap w:val="0"/>
                  <w:vAlign w:val="center"/>
                </w:tcPr>
                <w:p w14:paraId="7D12F29E">
                  <w:pPr>
                    <w:keepNext w:val="0"/>
                    <w:keepLines w:val="0"/>
                    <w:widowControl/>
                    <w:numPr>
                      <w:ilvl w:val="0"/>
                      <w:numId w:val="13"/>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751" w:type="pct"/>
                  <w:shd w:val="clear" w:color="auto" w:fill="auto"/>
                  <w:noWrap w:val="0"/>
                  <w:vAlign w:val="center"/>
                </w:tcPr>
                <w:p w14:paraId="7738C0D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废砂纸</w:t>
                  </w:r>
                </w:p>
              </w:tc>
              <w:tc>
                <w:tcPr>
                  <w:tcW w:w="457" w:type="pct"/>
                  <w:vMerge w:val="continue"/>
                  <w:noWrap w:val="0"/>
                  <w:vAlign w:val="center"/>
                </w:tcPr>
                <w:p w14:paraId="30DCC4B9">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p>
              </w:tc>
              <w:tc>
                <w:tcPr>
                  <w:tcW w:w="628" w:type="pct"/>
                  <w:noWrap w:val="0"/>
                  <w:vAlign w:val="center"/>
                </w:tcPr>
                <w:p w14:paraId="551CE18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SW59</w:t>
                  </w:r>
                </w:p>
              </w:tc>
              <w:tc>
                <w:tcPr>
                  <w:tcW w:w="698" w:type="pct"/>
                  <w:noWrap w:val="0"/>
                  <w:vAlign w:val="center"/>
                </w:tcPr>
                <w:p w14:paraId="6A43200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900-099-S59</w:t>
                  </w:r>
                </w:p>
              </w:tc>
              <w:tc>
                <w:tcPr>
                  <w:tcW w:w="497" w:type="pct"/>
                  <w:noWrap w:val="0"/>
                  <w:vAlign w:val="center"/>
                </w:tcPr>
                <w:p w14:paraId="49968907">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0.01</w:t>
                  </w:r>
                </w:p>
              </w:tc>
              <w:tc>
                <w:tcPr>
                  <w:tcW w:w="878" w:type="pct"/>
                  <w:noWrap w:val="0"/>
                  <w:vAlign w:val="center"/>
                </w:tcPr>
                <w:p w14:paraId="4DE1A34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eastAsia="zh-CN"/>
                    </w:rPr>
                    <w:t>综合利用</w:t>
                  </w:r>
                </w:p>
              </w:tc>
              <w:tc>
                <w:tcPr>
                  <w:tcW w:w="786" w:type="pct"/>
                  <w:noWrap w:val="0"/>
                  <w:vAlign w:val="center"/>
                </w:tcPr>
                <w:p w14:paraId="25E7BDB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eastAsia="zh-CN"/>
                    </w:rPr>
                    <w:t>资源回收单位</w:t>
                  </w:r>
                </w:p>
              </w:tc>
            </w:tr>
            <w:tr w14:paraId="07D2D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01" w:type="pct"/>
                  <w:noWrap w:val="0"/>
                  <w:vAlign w:val="center"/>
                </w:tcPr>
                <w:p w14:paraId="24FF28B4">
                  <w:pPr>
                    <w:keepNext w:val="0"/>
                    <w:keepLines w:val="0"/>
                    <w:widowControl/>
                    <w:numPr>
                      <w:ilvl w:val="0"/>
                      <w:numId w:val="13"/>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751" w:type="pct"/>
                  <w:shd w:val="clear" w:color="auto" w:fill="auto"/>
                  <w:noWrap w:val="0"/>
                  <w:vAlign w:val="center"/>
                </w:tcPr>
                <w:p w14:paraId="4C775B0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橡胶边角料</w:t>
                  </w:r>
                </w:p>
              </w:tc>
              <w:tc>
                <w:tcPr>
                  <w:tcW w:w="457" w:type="pct"/>
                  <w:vMerge w:val="continue"/>
                  <w:noWrap w:val="0"/>
                  <w:vAlign w:val="center"/>
                </w:tcPr>
                <w:p w14:paraId="0DB127C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p>
              </w:tc>
              <w:tc>
                <w:tcPr>
                  <w:tcW w:w="628" w:type="pct"/>
                  <w:noWrap w:val="0"/>
                  <w:vAlign w:val="center"/>
                </w:tcPr>
                <w:p w14:paraId="7BA76CE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SW17</w:t>
                  </w:r>
                </w:p>
              </w:tc>
              <w:tc>
                <w:tcPr>
                  <w:tcW w:w="698" w:type="pct"/>
                  <w:noWrap w:val="0"/>
                  <w:vAlign w:val="center"/>
                </w:tcPr>
                <w:p w14:paraId="2C16C7B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900-006-S17</w:t>
                  </w:r>
                </w:p>
              </w:tc>
              <w:tc>
                <w:tcPr>
                  <w:tcW w:w="497" w:type="pct"/>
                  <w:noWrap w:val="0"/>
                  <w:vAlign w:val="center"/>
                </w:tcPr>
                <w:p w14:paraId="07AAA1D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0.5</w:t>
                  </w:r>
                </w:p>
              </w:tc>
              <w:tc>
                <w:tcPr>
                  <w:tcW w:w="878" w:type="pct"/>
                  <w:noWrap w:val="0"/>
                  <w:vAlign w:val="center"/>
                </w:tcPr>
                <w:p w14:paraId="51DB4BF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eastAsia="zh-CN"/>
                    </w:rPr>
                    <w:t>综合利用</w:t>
                  </w:r>
                </w:p>
              </w:tc>
              <w:tc>
                <w:tcPr>
                  <w:tcW w:w="786" w:type="pct"/>
                  <w:noWrap w:val="0"/>
                  <w:vAlign w:val="center"/>
                </w:tcPr>
                <w:p w14:paraId="0906D60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eastAsia="zh-CN"/>
                    </w:rPr>
                    <w:t>资源回收单位</w:t>
                  </w:r>
                </w:p>
              </w:tc>
            </w:tr>
            <w:tr w14:paraId="67509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01" w:type="pct"/>
                  <w:noWrap w:val="0"/>
                  <w:vAlign w:val="center"/>
                </w:tcPr>
                <w:p w14:paraId="117F178B">
                  <w:pPr>
                    <w:keepNext w:val="0"/>
                    <w:keepLines w:val="0"/>
                    <w:widowControl/>
                    <w:numPr>
                      <w:ilvl w:val="0"/>
                      <w:numId w:val="13"/>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751" w:type="pct"/>
                  <w:shd w:val="clear" w:color="auto" w:fill="auto"/>
                  <w:noWrap w:val="0"/>
                  <w:vAlign w:val="center"/>
                </w:tcPr>
                <w:p w14:paraId="796210B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收集粉尘</w:t>
                  </w:r>
                </w:p>
              </w:tc>
              <w:tc>
                <w:tcPr>
                  <w:tcW w:w="457" w:type="pct"/>
                  <w:vMerge w:val="continue"/>
                  <w:noWrap w:val="0"/>
                  <w:vAlign w:val="center"/>
                </w:tcPr>
                <w:p w14:paraId="116A5F6C">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p>
              </w:tc>
              <w:tc>
                <w:tcPr>
                  <w:tcW w:w="628" w:type="pct"/>
                  <w:noWrap w:val="0"/>
                  <w:vAlign w:val="center"/>
                </w:tcPr>
                <w:p w14:paraId="7B0AE4CE">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SW59</w:t>
                  </w:r>
                </w:p>
              </w:tc>
              <w:tc>
                <w:tcPr>
                  <w:tcW w:w="698" w:type="pct"/>
                  <w:noWrap w:val="0"/>
                  <w:vAlign w:val="center"/>
                </w:tcPr>
                <w:p w14:paraId="3219DCA3">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900-099-S59</w:t>
                  </w:r>
                </w:p>
              </w:tc>
              <w:tc>
                <w:tcPr>
                  <w:tcW w:w="497" w:type="pct"/>
                  <w:noWrap w:val="0"/>
                  <w:vAlign w:val="center"/>
                </w:tcPr>
                <w:p w14:paraId="1B7E823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1.3</w:t>
                  </w:r>
                </w:p>
              </w:tc>
              <w:tc>
                <w:tcPr>
                  <w:tcW w:w="878" w:type="pct"/>
                  <w:noWrap w:val="0"/>
                  <w:vAlign w:val="center"/>
                </w:tcPr>
                <w:p w14:paraId="30BCBC1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eastAsia="zh-CN"/>
                    </w:rPr>
                    <w:t>综合利用</w:t>
                  </w:r>
                </w:p>
              </w:tc>
              <w:tc>
                <w:tcPr>
                  <w:tcW w:w="786" w:type="pct"/>
                  <w:noWrap w:val="0"/>
                  <w:vAlign w:val="center"/>
                </w:tcPr>
                <w:p w14:paraId="37F1BCA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eastAsia="zh-CN"/>
                    </w:rPr>
                    <w:t>资源回收单位</w:t>
                  </w:r>
                </w:p>
              </w:tc>
            </w:tr>
            <w:tr w14:paraId="4FC38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01" w:type="pct"/>
                  <w:noWrap w:val="0"/>
                  <w:vAlign w:val="center"/>
                </w:tcPr>
                <w:p w14:paraId="4BB9294A">
                  <w:pPr>
                    <w:keepNext w:val="0"/>
                    <w:keepLines w:val="0"/>
                    <w:widowControl/>
                    <w:numPr>
                      <w:ilvl w:val="0"/>
                      <w:numId w:val="13"/>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751" w:type="pct"/>
                  <w:shd w:val="clear" w:color="auto" w:fill="auto"/>
                  <w:noWrap w:val="0"/>
                  <w:vAlign w:val="center"/>
                </w:tcPr>
                <w:p w14:paraId="0169377E">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废布袋</w:t>
                  </w:r>
                </w:p>
              </w:tc>
              <w:tc>
                <w:tcPr>
                  <w:tcW w:w="457" w:type="pct"/>
                  <w:vMerge w:val="continue"/>
                  <w:noWrap w:val="0"/>
                  <w:vAlign w:val="center"/>
                </w:tcPr>
                <w:p w14:paraId="786F191F">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p>
              </w:tc>
              <w:tc>
                <w:tcPr>
                  <w:tcW w:w="628" w:type="pct"/>
                  <w:shd w:val="clear" w:color="auto" w:fill="auto"/>
                  <w:noWrap w:val="0"/>
                  <w:vAlign w:val="center"/>
                </w:tcPr>
                <w:p w14:paraId="50D1DCB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SW59</w:t>
                  </w:r>
                </w:p>
              </w:tc>
              <w:tc>
                <w:tcPr>
                  <w:tcW w:w="698" w:type="pct"/>
                  <w:shd w:val="clear" w:color="auto" w:fill="auto"/>
                  <w:noWrap w:val="0"/>
                  <w:vAlign w:val="center"/>
                </w:tcPr>
                <w:p w14:paraId="6197CF9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900-099-S59</w:t>
                  </w:r>
                </w:p>
              </w:tc>
              <w:tc>
                <w:tcPr>
                  <w:tcW w:w="497" w:type="pct"/>
                  <w:noWrap w:val="0"/>
                  <w:vAlign w:val="center"/>
                </w:tcPr>
                <w:p w14:paraId="24DC00BF">
                  <w:pPr>
                    <w:keepNext w:val="0"/>
                    <w:keepLines w:val="0"/>
                    <w:suppressLineNumbers w:val="0"/>
                    <w:spacing w:before="0" w:beforeAutospacing="0" w:after="0" w:afterAutospacing="0" w:line="240" w:lineRule="auto"/>
                    <w:ind w:left="0" w:right="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0.1</w:t>
                  </w:r>
                </w:p>
              </w:tc>
              <w:tc>
                <w:tcPr>
                  <w:tcW w:w="878" w:type="pct"/>
                  <w:shd w:val="clear" w:color="auto" w:fill="auto"/>
                  <w:noWrap w:val="0"/>
                  <w:vAlign w:val="center"/>
                </w:tcPr>
                <w:p w14:paraId="7B2E391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eastAsia="zh-CN"/>
                    </w:rPr>
                    <w:t>综合利用</w:t>
                  </w:r>
                </w:p>
              </w:tc>
              <w:tc>
                <w:tcPr>
                  <w:tcW w:w="786" w:type="pct"/>
                  <w:shd w:val="clear" w:color="auto" w:fill="auto"/>
                  <w:noWrap w:val="0"/>
                  <w:vAlign w:val="center"/>
                </w:tcPr>
                <w:p w14:paraId="3981F63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eastAsia="zh-CN"/>
                    </w:rPr>
                    <w:t>资源回收单位</w:t>
                  </w:r>
                </w:p>
              </w:tc>
            </w:tr>
            <w:tr w14:paraId="195B7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01" w:type="pct"/>
                  <w:noWrap w:val="0"/>
                  <w:vAlign w:val="center"/>
                </w:tcPr>
                <w:p w14:paraId="4C9E9581">
                  <w:pPr>
                    <w:keepNext w:val="0"/>
                    <w:keepLines w:val="0"/>
                    <w:widowControl/>
                    <w:numPr>
                      <w:ilvl w:val="0"/>
                      <w:numId w:val="13"/>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751" w:type="pct"/>
                  <w:shd w:val="clear" w:color="auto" w:fill="auto"/>
                  <w:noWrap w:val="0"/>
                  <w:vAlign w:val="center"/>
                </w:tcPr>
                <w:p w14:paraId="6382DCF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废包装材料</w:t>
                  </w:r>
                </w:p>
              </w:tc>
              <w:tc>
                <w:tcPr>
                  <w:tcW w:w="457" w:type="pct"/>
                  <w:vMerge w:val="continue"/>
                  <w:noWrap w:val="0"/>
                  <w:vAlign w:val="center"/>
                </w:tcPr>
                <w:p w14:paraId="0384BED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p>
              </w:tc>
              <w:tc>
                <w:tcPr>
                  <w:tcW w:w="628" w:type="pct"/>
                  <w:noWrap w:val="0"/>
                  <w:vAlign w:val="center"/>
                </w:tcPr>
                <w:p w14:paraId="52ECBFD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SW59</w:t>
                  </w:r>
                </w:p>
              </w:tc>
              <w:tc>
                <w:tcPr>
                  <w:tcW w:w="698" w:type="pct"/>
                  <w:noWrap w:val="0"/>
                  <w:vAlign w:val="center"/>
                </w:tcPr>
                <w:p w14:paraId="12184CB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900-099-S59</w:t>
                  </w:r>
                </w:p>
              </w:tc>
              <w:tc>
                <w:tcPr>
                  <w:tcW w:w="497" w:type="pct"/>
                  <w:noWrap w:val="0"/>
                  <w:vAlign w:val="center"/>
                </w:tcPr>
                <w:p w14:paraId="7E98891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0.05</w:t>
                  </w:r>
                </w:p>
              </w:tc>
              <w:tc>
                <w:tcPr>
                  <w:tcW w:w="878" w:type="pct"/>
                  <w:shd w:val="clear" w:color="auto" w:fill="auto"/>
                  <w:noWrap w:val="0"/>
                  <w:vAlign w:val="center"/>
                </w:tcPr>
                <w:p w14:paraId="6A0B102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eastAsia="zh-CN"/>
                    </w:rPr>
                    <w:t>综合利用</w:t>
                  </w:r>
                </w:p>
              </w:tc>
              <w:tc>
                <w:tcPr>
                  <w:tcW w:w="786" w:type="pct"/>
                  <w:shd w:val="clear" w:color="auto" w:fill="auto"/>
                  <w:noWrap w:val="0"/>
                  <w:vAlign w:val="center"/>
                </w:tcPr>
                <w:p w14:paraId="43F8B00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eastAsia="zh-CN"/>
                    </w:rPr>
                    <w:t>资源回收单位</w:t>
                  </w:r>
                </w:p>
              </w:tc>
            </w:tr>
            <w:tr w14:paraId="2F3E0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01" w:type="pct"/>
                  <w:noWrap w:val="0"/>
                  <w:vAlign w:val="center"/>
                </w:tcPr>
                <w:p w14:paraId="01010419">
                  <w:pPr>
                    <w:keepNext w:val="0"/>
                    <w:keepLines w:val="0"/>
                    <w:widowControl/>
                    <w:numPr>
                      <w:ilvl w:val="0"/>
                      <w:numId w:val="13"/>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751" w:type="pct"/>
                  <w:shd w:val="clear" w:color="auto" w:fill="auto"/>
                  <w:noWrap w:val="0"/>
                  <w:vAlign w:val="center"/>
                </w:tcPr>
                <w:p w14:paraId="10F6593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废切削液</w:t>
                  </w:r>
                </w:p>
              </w:tc>
              <w:tc>
                <w:tcPr>
                  <w:tcW w:w="457" w:type="pct"/>
                  <w:vMerge w:val="restart"/>
                  <w:noWrap w:val="0"/>
                  <w:vAlign w:val="center"/>
                </w:tcPr>
                <w:p w14:paraId="34317CF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危险废物</w:t>
                  </w:r>
                </w:p>
              </w:tc>
              <w:tc>
                <w:tcPr>
                  <w:tcW w:w="628" w:type="pct"/>
                  <w:shd w:val="clear" w:color="auto" w:fill="auto"/>
                  <w:noWrap w:val="0"/>
                  <w:vAlign w:val="center"/>
                </w:tcPr>
                <w:p w14:paraId="6D80DAF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HW09</w:t>
                  </w:r>
                </w:p>
              </w:tc>
              <w:tc>
                <w:tcPr>
                  <w:tcW w:w="698" w:type="pct"/>
                  <w:shd w:val="clear" w:color="auto" w:fill="auto"/>
                  <w:noWrap w:val="0"/>
                  <w:vAlign w:val="center"/>
                </w:tcPr>
                <w:p w14:paraId="7351703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900-006-09</w:t>
                  </w:r>
                </w:p>
              </w:tc>
              <w:tc>
                <w:tcPr>
                  <w:tcW w:w="497" w:type="pct"/>
                  <w:shd w:val="clear" w:color="auto" w:fill="auto"/>
                  <w:noWrap w:val="0"/>
                  <w:vAlign w:val="center"/>
                </w:tcPr>
                <w:p w14:paraId="2A74903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0.1</w:t>
                  </w:r>
                </w:p>
              </w:tc>
              <w:tc>
                <w:tcPr>
                  <w:tcW w:w="878" w:type="pct"/>
                  <w:shd w:val="clear" w:color="auto" w:fill="auto"/>
                  <w:noWrap w:val="0"/>
                  <w:vAlign w:val="center"/>
                </w:tcPr>
                <w:p w14:paraId="390C749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委托有资质单位处置</w:t>
                  </w:r>
                </w:p>
              </w:tc>
              <w:tc>
                <w:tcPr>
                  <w:tcW w:w="786" w:type="pct"/>
                  <w:shd w:val="clear" w:color="auto" w:fill="auto"/>
                  <w:noWrap w:val="0"/>
                  <w:vAlign w:val="center"/>
                </w:tcPr>
                <w:p w14:paraId="3FE652C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有资质单位</w:t>
                  </w:r>
                </w:p>
              </w:tc>
            </w:tr>
            <w:tr w14:paraId="5926B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01" w:type="pct"/>
                  <w:noWrap w:val="0"/>
                  <w:vAlign w:val="center"/>
                </w:tcPr>
                <w:p w14:paraId="107490F1">
                  <w:pPr>
                    <w:keepNext w:val="0"/>
                    <w:keepLines w:val="0"/>
                    <w:widowControl/>
                    <w:numPr>
                      <w:ilvl w:val="0"/>
                      <w:numId w:val="13"/>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751" w:type="pct"/>
                  <w:shd w:val="clear" w:color="auto" w:fill="auto"/>
                  <w:noWrap w:val="0"/>
                  <w:vAlign w:val="center"/>
                </w:tcPr>
                <w:p w14:paraId="48E9774A">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含胶劳保用品</w:t>
                  </w:r>
                </w:p>
              </w:tc>
              <w:tc>
                <w:tcPr>
                  <w:tcW w:w="457" w:type="pct"/>
                  <w:vMerge w:val="continue"/>
                  <w:noWrap w:val="0"/>
                  <w:vAlign w:val="center"/>
                </w:tcPr>
                <w:p w14:paraId="0A43F349">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p>
              </w:tc>
              <w:tc>
                <w:tcPr>
                  <w:tcW w:w="628" w:type="pct"/>
                  <w:shd w:val="clear" w:color="auto" w:fill="auto"/>
                  <w:noWrap w:val="0"/>
                  <w:vAlign w:val="center"/>
                </w:tcPr>
                <w:p w14:paraId="454EAE5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HW49</w:t>
                  </w:r>
                </w:p>
              </w:tc>
              <w:tc>
                <w:tcPr>
                  <w:tcW w:w="698" w:type="pct"/>
                  <w:shd w:val="clear" w:color="auto" w:fill="auto"/>
                  <w:noWrap w:val="0"/>
                  <w:vAlign w:val="center"/>
                </w:tcPr>
                <w:p w14:paraId="6028930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900-041-49</w:t>
                  </w:r>
                </w:p>
              </w:tc>
              <w:tc>
                <w:tcPr>
                  <w:tcW w:w="497" w:type="pct"/>
                  <w:shd w:val="clear" w:color="auto" w:fill="auto"/>
                  <w:noWrap w:val="0"/>
                  <w:vAlign w:val="center"/>
                </w:tcPr>
                <w:p w14:paraId="57F3D01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0.05</w:t>
                  </w:r>
                </w:p>
              </w:tc>
              <w:tc>
                <w:tcPr>
                  <w:tcW w:w="878" w:type="pct"/>
                  <w:shd w:val="clear" w:color="auto" w:fill="auto"/>
                  <w:noWrap w:val="0"/>
                  <w:vAlign w:val="center"/>
                </w:tcPr>
                <w:p w14:paraId="04772B3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委托有资质单位处置</w:t>
                  </w:r>
                </w:p>
              </w:tc>
              <w:tc>
                <w:tcPr>
                  <w:tcW w:w="786" w:type="pct"/>
                  <w:shd w:val="clear" w:color="auto" w:fill="auto"/>
                  <w:noWrap w:val="0"/>
                  <w:vAlign w:val="center"/>
                </w:tcPr>
                <w:p w14:paraId="438BF2A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有资质单位</w:t>
                  </w:r>
                </w:p>
              </w:tc>
            </w:tr>
            <w:tr w14:paraId="7D131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01" w:type="pct"/>
                  <w:noWrap w:val="0"/>
                  <w:vAlign w:val="center"/>
                </w:tcPr>
                <w:p w14:paraId="5A43A176">
                  <w:pPr>
                    <w:keepNext w:val="0"/>
                    <w:keepLines w:val="0"/>
                    <w:widowControl/>
                    <w:numPr>
                      <w:ilvl w:val="0"/>
                      <w:numId w:val="13"/>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751" w:type="pct"/>
                  <w:shd w:val="clear" w:color="auto" w:fill="auto"/>
                  <w:noWrap w:val="0"/>
                  <w:vAlign w:val="center"/>
                </w:tcPr>
                <w:p w14:paraId="5700756B">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喷淋废液</w:t>
                  </w:r>
                </w:p>
              </w:tc>
              <w:tc>
                <w:tcPr>
                  <w:tcW w:w="457" w:type="pct"/>
                  <w:vMerge w:val="continue"/>
                  <w:noWrap w:val="0"/>
                  <w:vAlign w:val="center"/>
                </w:tcPr>
                <w:p w14:paraId="4257F279">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p>
              </w:tc>
              <w:tc>
                <w:tcPr>
                  <w:tcW w:w="628" w:type="pct"/>
                  <w:noWrap w:val="0"/>
                  <w:vAlign w:val="center"/>
                </w:tcPr>
                <w:p w14:paraId="7EE3DD4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HW09</w:t>
                  </w:r>
                </w:p>
              </w:tc>
              <w:tc>
                <w:tcPr>
                  <w:tcW w:w="698" w:type="pct"/>
                  <w:noWrap w:val="0"/>
                  <w:vAlign w:val="center"/>
                </w:tcPr>
                <w:p w14:paraId="262844C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900-007-09</w:t>
                  </w:r>
                </w:p>
              </w:tc>
              <w:tc>
                <w:tcPr>
                  <w:tcW w:w="497" w:type="pct"/>
                  <w:noWrap w:val="0"/>
                  <w:vAlign w:val="center"/>
                </w:tcPr>
                <w:p w14:paraId="30D0531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w:t>
                  </w:r>
                </w:p>
              </w:tc>
              <w:tc>
                <w:tcPr>
                  <w:tcW w:w="878" w:type="pct"/>
                  <w:noWrap w:val="0"/>
                  <w:vAlign w:val="center"/>
                </w:tcPr>
                <w:p w14:paraId="231FCDA5">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委托有资质单位处置</w:t>
                  </w:r>
                </w:p>
              </w:tc>
              <w:tc>
                <w:tcPr>
                  <w:tcW w:w="786" w:type="pct"/>
                  <w:noWrap w:val="0"/>
                  <w:vAlign w:val="center"/>
                </w:tcPr>
                <w:p w14:paraId="286282E8">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有资质单位</w:t>
                  </w:r>
                </w:p>
              </w:tc>
            </w:tr>
            <w:tr w14:paraId="73ACF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01" w:type="pct"/>
                  <w:noWrap w:val="0"/>
                  <w:vAlign w:val="center"/>
                </w:tcPr>
                <w:p w14:paraId="59D91D46">
                  <w:pPr>
                    <w:keepNext w:val="0"/>
                    <w:keepLines w:val="0"/>
                    <w:widowControl/>
                    <w:numPr>
                      <w:ilvl w:val="0"/>
                      <w:numId w:val="13"/>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751" w:type="pct"/>
                  <w:shd w:val="clear" w:color="auto" w:fill="auto"/>
                  <w:noWrap w:val="0"/>
                  <w:vAlign w:val="center"/>
                </w:tcPr>
                <w:p w14:paraId="65D3BB49">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废活性炭</w:t>
                  </w:r>
                </w:p>
              </w:tc>
              <w:tc>
                <w:tcPr>
                  <w:tcW w:w="457" w:type="pct"/>
                  <w:vMerge w:val="continue"/>
                  <w:noWrap w:val="0"/>
                  <w:vAlign w:val="center"/>
                </w:tcPr>
                <w:p w14:paraId="5C908B9E">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p>
              </w:tc>
              <w:tc>
                <w:tcPr>
                  <w:tcW w:w="628" w:type="pct"/>
                  <w:noWrap w:val="0"/>
                  <w:vAlign w:val="center"/>
                </w:tcPr>
                <w:p w14:paraId="2E980CBF">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HW49</w:t>
                  </w:r>
                </w:p>
              </w:tc>
              <w:tc>
                <w:tcPr>
                  <w:tcW w:w="698" w:type="pct"/>
                  <w:noWrap w:val="0"/>
                  <w:vAlign w:val="center"/>
                </w:tcPr>
                <w:p w14:paraId="4271DAB4">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900-039-49</w:t>
                  </w:r>
                </w:p>
              </w:tc>
              <w:tc>
                <w:tcPr>
                  <w:tcW w:w="497" w:type="pct"/>
                  <w:noWrap w:val="0"/>
                  <w:vAlign w:val="center"/>
                </w:tcPr>
                <w:p w14:paraId="33D55276">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4</w:t>
                  </w:r>
                </w:p>
              </w:tc>
              <w:tc>
                <w:tcPr>
                  <w:tcW w:w="878" w:type="pct"/>
                  <w:noWrap w:val="0"/>
                  <w:vAlign w:val="center"/>
                </w:tcPr>
                <w:p w14:paraId="5F8915D7">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委托有资质单位处置</w:t>
                  </w:r>
                </w:p>
              </w:tc>
              <w:tc>
                <w:tcPr>
                  <w:tcW w:w="786" w:type="pct"/>
                  <w:noWrap w:val="0"/>
                  <w:vAlign w:val="center"/>
                </w:tcPr>
                <w:p w14:paraId="5470E1AA">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有资质单位</w:t>
                  </w:r>
                </w:p>
              </w:tc>
            </w:tr>
            <w:tr w14:paraId="4EF7B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01" w:type="pct"/>
                  <w:noWrap w:val="0"/>
                  <w:vAlign w:val="center"/>
                </w:tcPr>
                <w:p w14:paraId="1C97F911">
                  <w:pPr>
                    <w:keepNext w:val="0"/>
                    <w:keepLines w:val="0"/>
                    <w:widowControl/>
                    <w:numPr>
                      <w:ilvl w:val="0"/>
                      <w:numId w:val="13"/>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751" w:type="pct"/>
                  <w:shd w:val="clear" w:color="auto" w:fill="auto"/>
                  <w:noWrap w:val="0"/>
                  <w:vAlign w:val="center"/>
                </w:tcPr>
                <w:p w14:paraId="2CB06478">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废包装桶</w:t>
                  </w:r>
                </w:p>
              </w:tc>
              <w:tc>
                <w:tcPr>
                  <w:tcW w:w="457" w:type="pct"/>
                  <w:vMerge w:val="continue"/>
                  <w:noWrap w:val="0"/>
                  <w:vAlign w:val="center"/>
                </w:tcPr>
                <w:p w14:paraId="25569362">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p>
              </w:tc>
              <w:tc>
                <w:tcPr>
                  <w:tcW w:w="628" w:type="pct"/>
                  <w:noWrap w:val="0"/>
                  <w:vAlign w:val="center"/>
                </w:tcPr>
                <w:p w14:paraId="3B0732A8">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HW49</w:t>
                  </w:r>
                </w:p>
              </w:tc>
              <w:tc>
                <w:tcPr>
                  <w:tcW w:w="698" w:type="pct"/>
                  <w:noWrap w:val="0"/>
                  <w:vAlign w:val="center"/>
                </w:tcPr>
                <w:p w14:paraId="69B28E3D">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900-041-49</w:t>
                  </w:r>
                </w:p>
              </w:tc>
              <w:tc>
                <w:tcPr>
                  <w:tcW w:w="497" w:type="pct"/>
                  <w:noWrap w:val="0"/>
                  <w:vAlign w:val="center"/>
                </w:tcPr>
                <w:p w14:paraId="05120D26">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0.062</w:t>
                  </w:r>
                </w:p>
              </w:tc>
              <w:tc>
                <w:tcPr>
                  <w:tcW w:w="878" w:type="pct"/>
                  <w:noWrap w:val="0"/>
                  <w:vAlign w:val="center"/>
                </w:tcPr>
                <w:p w14:paraId="03E1AC53">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委托有资质单位处置</w:t>
                  </w:r>
                </w:p>
              </w:tc>
              <w:tc>
                <w:tcPr>
                  <w:tcW w:w="786" w:type="pct"/>
                  <w:noWrap w:val="0"/>
                  <w:vAlign w:val="center"/>
                </w:tcPr>
                <w:p w14:paraId="219C2738">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有资质单位</w:t>
                  </w:r>
                </w:p>
              </w:tc>
            </w:tr>
            <w:tr w14:paraId="19CE9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01" w:type="pct"/>
                  <w:noWrap w:val="0"/>
                  <w:vAlign w:val="center"/>
                </w:tcPr>
                <w:p w14:paraId="5923FB5B">
                  <w:pPr>
                    <w:keepNext w:val="0"/>
                    <w:keepLines w:val="0"/>
                    <w:widowControl/>
                    <w:numPr>
                      <w:ilvl w:val="0"/>
                      <w:numId w:val="13"/>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751" w:type="pct"/>
                  <w:shd w:val="clear" w:color="auto" w:fill="auto"/>
                  <w:noWrap w:val="0"/>
                  <w:vAlign w:val="center"/>
                </w:tcPr>
                <w:p w14:paraId="36E2556E">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生活垃圾</w:t>
                  </w:r>
                </w:p>
              </w:tc>
              <w:tc>
                <w:tcPr>
                  <w:tcW w:w="457" w:type="pct"/>
                  <w:noWrap w:val="0"/>
                  <w:vAlign w:val="center"/>
                </w:tcPr>
                <w:p w14:paraId="503B0977">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rPr>
                    <w:t>一般固废</w:t>
                  </w:r>
                </w:p>
              </w:tc>
              <w:tc>
                <w:tcPr>
                  <w:tcW w:w="628" w:type="pct"/>
                  <w:noWrap w:val="0"/>
                  <w:vAlign w:val="center"/>
                </w:tcPr>
                <w:p w14:paraId="6AE297B4">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SW64</w:t>
                  </w:r>
                </w:p>
              </w:tc>
              <w:tc>
                <w:tcPr>
                  <w:tcW w:w="698" w:type="pct"/>
                  <w:noWrap w:val="0"/>
                  <w:vAlign w:val="center"/>
                </w:tcPr>
                <w:p w14:paraId="006C1C4E">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900-099-S64</w:t>
                  </w:r>
                </w:p>
              </w:tc>
              <w:tc>
                <w:tcPr>
                  <w:tcW w:w="497" w:type="pct"/>
                  <w:noWrap w:val="0"/>
                  <w:vAlign w:val="center"/>
                </w:tcPr>
                <w:p w14:paraId="39D52E94">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4.5</w:t>
                  </w:r>
                </w:p>
              </w:tc>
              <w:tc>
                <w:tcPr>
                  <w:tcW w:w="878" w:type="pct"/>
                  <w:shd w:val="clear" w:color="auto" w:fill="auto"/>
                  <w:noWrap w:val="0"/>
                  <w:vAlign w:val="center"/>
                </w:tcPr>
                <w:p w14:paraId="1C2E9746">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环卫清运</w:t>
                  </w:r>
                </w:p>
              </w:tc>
              <w:tc>
                <w:tcPr>
                  <w:tcW w:w="786" w:type="pct"/>
                  <w:shd w:val="clear" w:color="auto" w:fill="auto"/>
                  <w:noWrap w:val="0"/>
                  <w:vAlign w:val="center"/>
                </w:tcPr>
                <w:p w14:paraId="042CFD4D">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环卫部门</w:t>
                  </w:r>
                </w:p>
              </w:tc>
            </w:tr>
          </w:tbl>
          <w:p w14:paraId="29399A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（3）危险废物贮存场所基本情况及贮存可行性分析</w:t>
            </w:r>
          </w:p>
          <w:p w14:paraId="0FB8AB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项目</w:t>
            </w:r>
            <w:r>
              <w:rPr>
                <w:rFonts w:hint="eastAsia" w:ascii="Times New Roman" w:hAnsi="Times New Roman" w:eastAsia="宋体" w:cs="Times New Roman"/>
                <w:b w:val="0"/>
                <w:bCs w:val="0"/>
                <w:color w:val="auto"/>
                <w:highlight w:val="none"/>
                <w:lang w:val="en-US" w:eastAsia="zh-CN"/>
              </w:rPr>
              <w:t>拟建一座</w:t>
            </w:r>
            <w:r>
              <w:rPr>
                <w:rFonts w:hint="eastAsia" w:cs="Times New Roman"/>
                <w:b w:val="0"/>
                <w:bCs w:val="0"/>
                <w:color w:val="auto"/>
                <w:highlight w:val="none"/>
                <w:lang w:val="en-US" w:eastAsia="zh-CN"/>
              </w:rPr>
              <w:t>10</w:t>
            </w:r>
            <w:r>
              <w:rPr>
                <w:rFonts w:hint="default" w:ascii="Times New Roman" w:hAnsi="Times New Roman" w:eastAsia="宋体" w:cs="Times New Roman"/>
                <w:b w:val="0"/>
                <w:bCs w:val="0"/>
                <w:color w:val="auto"/>
                <w:highlight w:val="none"/>
                <w:lang w:val="en-US" w:eastAsia="zh-CN"/>
              </w:rPr>
              <w:t>m</w:t>
            </w:r>
            <w:r>
              <w:rPr>
                <w:rFonts w:hint="default" w:ascii="Times New Roman" w:hAnsi="Times New Roman" w:eastAsia="宋体" w:cs="Times New Roman"/>
                <w:b w:val="0"/>
                <w:bCs w:val="0"/>
                <w:color w:val="auto"/>
                <w:highlight w:val="none"/>
                <w:vertAlign w:val="superscript"/>
                <w:lang w:val="en-US" w:eastAsia="zh-CN"/>
              </w:rPr>
              <w:t>2</w:t>
            </w:r>
            <w:r>
              <w:rPr>
                <w:rFonts w:hint="eastAsia" w:ascii="Times New Roman" w:hAnsi="Times New Roman" w:eastAsia="宋体" w:cs="Times New Roman"/>
                <w:b w:val="0"/>
                <w:bCs w:val="0"/>
                <w:color w:val="auto"/>
                <w:highlight w:val="none"/>
                <w:lang w:val="en-US" w:eastAsia="zh-CN"/>
              </w:rPr>
              <w:t>危废仓库</w:t>
            </w:r>
            <w:r>
              <w:rPr>
                <w:rFonts w:hint="eastAsia" w:ascii="Times New Roman" w:hAnsi="Times New Roman" w:eastAsia="宋体" w:cs="Times New Roman"/>
                <w:b w:val="0"/>
                <w:bCs w:val="0"/>
                <w:color w:val="auto"/>
                <w:highlight w:val="none"/>
                <w:vertAlign w:val="baseline"/>
                <w:lang w:val="en-US" w:eastAsia="zh-CN"/>
              </w:rPr>
              <w:t>，以满足全厂危险废物贮存需求。</w:t>
            </w:r>
            <w:r>
              <w:rPr>
                <w:rFonts w:hint="default" w:ascii="Times New Roman" w:hAnsi="Times New Roman" w:eastAsia="宋体" w:cs="Times New Roman"/>
                <w:b w:val="0"/>
                <w:bCs w:val="0"/>
                <w:color w:val="auto"/>
                <w:highlight w:val="none"/>
                <w:lang w:val="en-US" w:eastAsia="zh-CN"/>
              </w:rPr>
              <w:t>危废仓库严格按照《危险废物贮存污染控制标准》（GB18597-20</w:t>
            </w:r>
            <w:r>
              <w:rPr>
                <w:rFonts w:hint="eastAsia" w:ascii="Times New Roman" w:hAnsi="Times New Roman" w:eastAsia="宋体" w:cs="Times New Roman"/>
                <w:b w:val="0"/>
                <w:bCs w:val="0"/>
                <w:color w:val="auto"/>
                <w:highlight w:val="none"/>
                <w:lang w:val="en-US" w:eastAsia="zh-CN"/>
              </w:rPr>
              <w:t>23</w:t>
            </w:r>
            <w:r>
              <w:rPr>
                <w:rFonts w:hint="default" w:ascii="Times New Roman" w:hAnsi="Times New Roman" w:eastAsia="宋体" w:cs="Times New Roman"/>
                <w:b w:val="0"/>
                <w:bCs w:val="0"/>
                <w:color w:val="auto"/>
                <w:highlight w:val="none"/>
                <w:lang w:val="en-US" w:eastAsia="zh-CN"/>
              </w:rPr>
              <w:t>）的要求规范</w:t>
            </w:r>
            <w:r>
              <w:rPr>
                <w:rFonts w:hint="eastAsia" w:ascii="Times New Roman" w:hAnsi="Times New Roman" w:eastAsia="宋体" w:cs="Times New Roman"/>
                <w:b w:val="0"/>
                <w:bCs w:val="0"/>
                <w:color w:val="auto"/>
                <w:highlight w:val="none"/>
                <w:lang w:val="en-US" w:eastAsia="zh-CN"/>
              </w:rPr>
              <w:t>扩建</w:t>
            </w:r>
            <w:r>
              <w:rPr>
                <w:rFonts w:hint="default" w:ascii="Times New Roman" w:hAnsi="Times New Roman" w:eastAsia="宋体" w:cs="Times New Roman"/>
                <w:b w:val="0"/>
                <w:bCs w:val="0"/>
                <w:color w:val="auto"/>
                <w:highlight w:val="none"/>
                <w:lang w:val="en-US" w:eastAsia="zh-CN"/>
              </w:rPr>
              <w:t>和维护使用。做到防风、防雨、防晒、防渗漏等措施，同时要与其他功能区有明确的物理隔断，地面采用环氧地坪防腐，并按规范设置警告图形。根据</w:t>
            </w:r>
            <w:r>
              <w:rPr>
                <w:rFonts w:hint="eastAsia" w:cs="Times New Roman"/>
                <w:color w:val="auto"/>
              </w:rPr>
              <w:t>《省生态环境厅关于做好</w:t>
            </w:r>
            <w:r>
              <w:rPr>
                <w:rFonts w:hint="default" w:cs="Times New Roman"/>
                <w:color w:val="auto"/>
              </w:rPr>
              <w:t>&lt;危险废物贮存污染控制标准&gt;等标准规范实施后危险废物环境管理衔接工作的通知》</w:t>
            </w:r>
            <w:r>
              <w:rPr>
                <w:rFonts w:hint="eastAsia" w:cs="Times New Roman"/>
                <w:color w:val="auto"/>
                <w:lang w:eastAsia="zh-CN"/>
              </w:rPr>
              <w:t>（</w:t>
            </w:r>
            <w:r>
              <w:rPr>
                <w:rFonts w:hint="eastAsia" w:cs="Times New Roman"/>
                <w:color w:val="auto"/>
                <w:lang w:val="en-US" w:eastAsia="zh-CN"/>
              </w:rPr>
              <w:t>苏环办〔2023〕154号</w:t>
            </w:r>
            <w:r>
              <w:rPr>
                <w:rFonts w:hint="eastAsia" w:cs="Times New Roman"/>
                <w:color w:val="auto"/>
                <w:lang w:eastAsia="zh-CN"/>
              </w:rPr>
              <w:t>）</w:t>
            </w:r>
            <w:r>
              <w:rPr>
                <w:rFonts w:hint="default" w:ascii="Times New Roman" w:hAnsi="Times New Roman" w:eastAsia="宋体" w:cs="Times New Roman"/>
                <w:b w:val="0"/>
                <w:bCs w:val="0"/>
                <w:color w:val="auto"/>
                <w:highlight w:val="none"/>
                <w:lang w:val="en-US" w:eastAsia="zh-CN"/>
              </w:rPr>
              <w:t>和</w:t>
            </w:r>
            <w:r>
              <w:rPr>
                <w:rFonts w:hint="eastAsia" w:cs="Times New Roman"/>
                <w:color w:val="auto"/>
              </w:rPr>
              <w:t>《危险废物识别标志设置技术规范》（</w:t>
            </w:r>
            <w:r>
              <w:rPr>
                <w:rFonts w:hint="default" w:cs="Times New Roman"/>
                <w:color w:val="auto"/>
              </w:rPr>
              <w:t>HJ1276-2022</w:t>
            </w:r>
            <w:r>
              <w:rPr>
                <w:rFonts w:hint="eastAsia" w:cs="Times New Roman"/>
                <w:color w:val="auto"/>
              </w:rPr>
              <w:t>）</w:t>
            </w:r>
            <w:r>
              <w:rPr>
                <w:rFonts w:hint="default" w:ascii="Times New Roman" w:hAnsi="Times New Roman" w:eastAsia="宋体" w:cs="Times New Roman"/>
                <w:b w:val="0"/>
                <w:bCs w:val="0"/>
                <w:color w:val="auto"/>
                <w:highlight w:val="none"/>
                <w:lang w:val="en-US" w:eastAsia="zh-CN"/>
              </w:rPr>
              <w:t>危险废物识别标识设置规范设置标志，配备通讯设备、照明设施和消防设施；在出入口、设施内部、危险废物运输车辆通道等关键位置按照危险废物贮存设施视频监控布设要求设置视频监控，并与中控室联网。</w:t>
            </w:r>
          </w:p>
          <w:p w14:paraId="779CE0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危险废物贮存场所基本情况及贮存可行性分析见表4-</w:t>
            </w:r>
            <w:r>
              <w:rPr>
                <w:rFonts w:hint="eastAsia" w:cs="Times New Roman"/>
                <w:b w:val="0"/>
                <w:bCs w:val="0"/>
                <w:color w:val="auto"/>
                <w:highlight w:val="none"/>
                <w:lang w:val="en-US" w:eastAsia="zh-CN"/>
              </w:rPr>
              <w:t>28</w:t>
            </w:r>
            <w:r>
              <w:rPr>
                <w:rFonts w:hint="default" w:ascii="Times New Roman" w:hAnsi="Times New Roman" w:eastAsia="宋体" w:cs="Times New Roman"/>
                <w:b w:val="0"/>
                <w:bCs w:val="0"/>
                <w:color w:val="auto"/>
                <w:highlight w:val="none"/>
                <w:lang w:val="en-US" w:eastAsia="zh-CN"/>
              </w:rPr>
              <w:t>。</w:t>
            </w:r>
          </w:p>
          <w:p w14:paraId="12E079A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8"/>
                <w:highlight w:val="none"/>
              </w:rPr>
            </w:pPr>
            <w:r>
              <w:rPr>
                <w:rFonts w:hint="default" w:ascii="Times New Roman" w:hAnsi="Times New Roman" w:eastAsia="宋体" w:cs="Times New Roman"/>
                <w:b/>
                <w:color w:val="auto"/>
                <w:kern w:val="0"/>
                <w:sz w:val="21"/>
                <w:szCs w:val="21"/>
                <w:highlight w:val="none"/>
              </w:rPr>
              <w:t>表4-</w:t>
            </w:r>
            <w:r>
              <w:rPr>
                <w:rFonts w:hint="eastAsia" w:cs="Times New Roman"/>
                <w:b/>
                <w:color w:val="auto"/>
                <w:kern w:val="0"/>
                <w:sz w:val="21"/>
                <w:szCs w:val="21"/>
                <w:highlight w:val="none"/>
                <w:lang w:val="en-US" w:eastAsia="zh-CN"/>
              </w:rPr>
              <w:t>28</w:t>
            </w:r>
            <w:r>
              <w:rPr>
                <w:rFonts w:hint="default" w:ascii="Times New Roman" w:hAnsi="Times New Roman" w:eastAsia="宋体" w:cs="Times New Roman"/>
                <w:b/>
                <w:color w:val="auto"/>
                <w:kern w:val="0"/>
                <w:sz w:val="21"/>
                <w:szCs w:val="21"/>
                <w:highlight w:val="none"/>
              </w:rPr>
              <w:t xml:space="preserve">  危险废物贮存场所基本情况及贮存可行性分析表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34"/>
              <w:gridCol w:w="1117"/>
              <w:gridCol w:w="1032"/>
              <w:gridCol w:w="951"/>
              <w:gridCol w:w="1250"/>
              <w:gridCol w:w="1351"/>
              <w:gridCol w:w="1169"/>
              <w:gridCol w:w="801"/>
              <w:gridCol w:w="1032"/>
              <w:gridCol w:w="1133"/>
              <w:gridCol w:w="1133"/>
              <w:gridCol w:w="1103"/>
            </w:tblGrid>
            <w:tr w14:paraId="6FFCEE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63" w:type="pct"/>
                  <w:tcBorders>
                    <w:tl2br w:val="nil"/>
                    <w:tr2bl w:val="nil"/>
                  </w:tcBorders>
                  <w:noWrap w:val="0"/>
                  <w:vAlign w:val="center"/>
                </w:tcPr>
                <w:p w14:paraId="126ECB1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危废名称</w:t>
                  </w:r>
                </w:p>
              </w:tc>
              <w:tc>
                <w:tcPr>
                  <w:tcW w:w="410" w:type="pct"/>
                  <w:tcBorders>
                    <w:tl2br w:val="nil"/>
                    <w:tr2bl w:val="nil"/>
                  </w:tcBorders>
                  <w:noWrap w:val="0"/>
                  <w:vAlign w:val="center"/>
                </w:tcPr>
                <w:p w14:paraId="2E92EBA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eastAsia="zh-CN"/>
                    </w:rPr>
                    <w:t>产生</w:t>
                  </w:r>
                  <w:r>
                    <w:rPr>
                      <w:rFonts w:hint="default" w:ascii="Times New Roman" w:hAnsi="Times New Roman" w:eastAsia="仿宋" w:cs="Times New Roman"/>
                      <w:color w:val="auto"/>
                      <w:szCs w:val="21"/>
                      <w:highlight w:val="none"/>
                    </w:rPr>
                    <w:t>量（t/a）</w:t>
                  </w:r>
                </w:p>
              </w:tc>
              <w:tc>
                <w:tcPr>
                  <w:tcW w:w="379" w:type="pct"/>
                  <w:tcBorders>
                    <w:tl2br w:val="nil"/>
                    <w:tr2bl w:val="nil"/>
                  </w:tcBorders>
                  <w:noWrap w:val="0"/>
                  <w:vAlign w:val="center"/>
                </w:tcPr>
                <w:p w14:paraId="3143EA0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最大贮存量（t）</w:t>
                  </w:r>
                </w:p>
              </w:tc>
              <w:tc>
                <w:tcPr>
                  <w:tcW w:w="349" w:type="pct"/>
                  <w:tcBorders>
                    <w:tl2br w:val="nil"/>
                    <w:tr2bl w:val="nil"/>
                  </w:tcBorders>
                  <w:noWrap w:val="0"/>
                  <w:vAlign w:val="center"/>
                </w:tcPr>
                <w:p w14:paraId="1913C6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szCs w:val="21"/>
                      <w:highlight w:val="none"/>
                    </w:rPr>
                    <w:t>贮存期限</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lang w:val="en-US" w:eastAsia="zh-CN"/>
                    </w:rPr>
                    <w:t>d</w:t>
                  </w:r>
                  <w:r>
                    <w:rPr>
                      <w:rFonts w:hint="default" w:ascii="Times New Roman" w:hAnsi="Times New Roman" w:eastAsia="仿宋" w:cs="Times New Roman"/>
                      <w:color w:val="auto"/>
                      <w:szCs w:val="21"/>
                      <w:highlight w:val="none"/>
                      <w:lang w:eastAsia="zh-CN"/>
                    </w:rPr>
                    <w:t>）</w:t>
                  </w:r>
                </w:p>
              </w:tc>
              <w:tc>
                <w:tcPr>
                  <w:tcW w:w="459" w:type="pct"/>
                  <w:tcBorders>
                    <w:tl2br w:val="nil"/>
                    <w:tr2bl w:val="nil"/>
                  </w:tcBorders>
                  <w:noWrap w:val="0"/>
                  <w:vAlign w:val="center"/>
                </w:tcPr>
                <w:p w14:paraId="4496A5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szCs w:val="21"/>
                      <w:highlight w:val="none"/>
                    </w:rPr>
                    <w:t>收集容器</w:t>
                  </w:r>
                  <w:r>
                    <w:rPr>
                      <w:rFonts w:hint="default" w:ascii="Times New Roman" w:hAnsi="Times New Roman" w:eastAsia="仿宋" w:cs="Times New Roman"/>
                      <w:color w:val="auto"/>
                      <w:szCs w:val="21"/>
                      <w:highlight w:val="none"/>
                      <w:lang w:eastAsia="zh-CN"/>
                    </w:rPr>
                    <w:t>及容量</w:t>
                  </w:r>
                </w:p>
              </w:tc>
              <w:tc>
                <w:tcPr>
                  <w:tcW w:w="496" w:type="pct"/>
                  <w:tcBorders>
                    <w:tl2br w:val="nil"/>
                    <w:tr2bl w:val="nil"/>
                  </w:tcBorders>
                  <w:noWrap w:val="0"/>
                  <w:vAlign w:val="center"/>
                </w:tcPr>
                <w:p w14:paraId="277467A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仿宋" w:cs="Times New Roman"/>
                      <w:color w:val="auto"/>
                      <w:szCs w:val="21"/>
                      <w:highlight w:val="none"/>
                    </w:rPr>
                    <w:t>单个容器占地面积（m</w:t>
                  </w:r>
                  <w:r>
                    <w:rPr>
                      <w:rFonts w:hint="default" w:ascii="Times New Roman" w:hAnsi="Times New Roman" w:eastAsia="仿宋" w:cs="Times New Roman"/>
                      <w:color w:val="auto"/>
                      <w:szCs w:val="21"/>
                      <w:highlight w:val="none"/>
                      <w:vertAlign w:val="superscript"/>
                    </w:rPr>
                    <w:t>2</w:t>
                  </w:r>
                  <w:r>
                    <w:rPr>
                      <w:rFonts w:hint="default" w:ascii="Times New Roman" w:hAnsi="Times New Roman" w:eastAsia="仿宋" w:cs="Times New Roman"/>
                      <w:color w:val="auto"/>
                      <w:szCs w:val="21"/>
                      <w:highlight w:val="none"/>
                    </w:rPr>
                    <w:t>）</w:t>
                  </w:r>
                </w:p>
              </w:tc>
              <w:tc>
                <w:tcPr>
                  <w:tcW w:w="429" w:type="pct"/>
                  <w:tcBorders>
                    <w:tl2br w:val="nil"/>
                    <w:tr2bl w:val="nil"/>
                  </w:tcBorders>
                  <w:noWrap w:val="0"/>
                  <w:vAlign w:val="center"/>
                </w:tcPr>
                <w:p w14:paraId="5691932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仿宋" w:cs="Times New Roman"/>
                      <w:color w:val="auto"/>
                      <w:szCs w:val="21"/>
                      <w:highlight w:val="none"/>
                    </w:rPr>
                    <w:t>单个容器收集量（t）</w:t>
                  </w:r>
                </w:p>
              </w:tc>
              <w:tc>
                <w:tcPr>
                  <w:tcW w:w="294" w:type="pct"/>
                  <w:tcBorders>
                    <w:tl2br w:val="nil"/>
                    <w:tr2bl w:val="nil"/>
                  </w:tcBorders>
                  <w:noWrap w:val="0"/>
                  <w:vAlign w:val="center"/>
                </w:tcPr>
                <w:p w14:paraId="22FF640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仿宋" w:cs="Times New Roman"/>
                      <w:color w:val="auto"/>
                      <w:szCs w:val="21"/>
                      <w:highlight w:val="none"/>
                    </w:rPr>
                    <w:t>叠放层数</w:t>
                  </w:r>
                </w:p>
              </w:tc>
              <w:tc>
                <w:tcPr>
                  <w:tcW w:w="379" w:type="pct"/>
                  <w:tcBorders>
                    <w:tl2br w:val="nil"/>
                    <w:tr2bl w:val="nil"/>
                  </w:tcBorders>
                  <w:noWrap w:val="0"/>
                  <w:vAlign w:val="center"/>
                </w:tcPr>
                <w:p w14:paraId="5B7C829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仿宋" w:cs="Times New Roman"/>
                      <w:color w:val="auto"/>
                      <w:szCs w:val="21"/>
                      <w:highlight w:val="none"/>
                    </w:rPr>
                    <w:t>所需面积（m</w:t>
                  </w:r>
                  <w:r>
                    <w:rPr>
                      <w:rFonts w:hint="default" w:ascii="Times New Roman" w:hAnsi="Times New Roman" w:eastAsia="仿宋" w:cs="Times New Roman"/>
                      <w:color w:val="auto"/>
                      <w:szCs w:val="21"/>
                      <w:highlight w:val="none"/>
                      <w:vertAlign w:val="superscript"/>
                    </w:rPr>
                    <w:t>2</w:t>
                  </w:r>
                  <w:r>
                    <w:rPr>
                      <w:rFonts w:hint="default" w:ascii="Times New Roman" w:hAnsi="Times New Roman" w:eastAsia="仿宋" w:cs="Times New Roman"/>
                      <w:color w:val="auto"/>
                      <w:szCs w:val="21"/>
                      <w:highlight w:val="none"/>
                    </w:rPr>
                    <w:t>）</w:t>
                  </w:r>
                </w:p>
              </w:tc>
              <w:tc>
                <w:tcPr>
                  <w:tcW w:w="416" w:type="pct"/>
                  <w:tcBorders>
                    <w:tl2br w:val="nil"/>
                    <w:tr2bl w:val="nil"/>
                  </w:tcBorders>
                  <w:noWrap w:val="0"/>
                  <w:vAlign w:val="center"/>
                </w:tcPr>
                <w:p w14:paraId="5A96CD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lang w:eastAsia="zh-CN"/>
                    </w:rPr>
                  </w:pPr>
                  <w:r>
                    <w:rPr>
                      <w:rFonts w:hint="default" w:ascii="Times New Roman" w:hAnsi="Times New Roman" w:eastAsia="仿宋" w:cs="Times New Roman"/>
                      <w:color w:val="auto"/>
                      <w:szCs w:val="21"/>
                      <w:highlight w:val="none"/>
                      <w:lang w:eastAsia="zh-CN"/>
                    </w:rPr>
                    <w:t>合计所需面积（</w:t>
                  </w:r>
                  <w:r>
                    <w:rPr>
                      <w:rFonts w:hint="default" w:ascii="Times New Roman" w:hAnsi="Times New Roman" w:eastAsia="仿宋" w:cs="Times New Roman"/>
                      <w:color w:val="auto"/>
                      <w:szCs w:val="21"/>
                      <w:highlight w:val="none"/>
                    </w:rPr>
                    <w:t>m</w:t>
                  </w:r>
                  <w:r>
                    <w:rPr>
                      <w:rFonts w:hint="default" w:ascii="Times New Roman" w:hAnsi="Times New Roman" w:eastAsia="仿宋" w:cs="Times New Roman"/>
                      <w:color w:val="auto"/>
                      <w:szCs w:val="21"/>
                      <w:highlight w:val="none"/>
                      <w:vertAlign w:val="superscript"/>
                    </w:rPr>
                    <w:t>2</w:t>
                  </w:r>
                  <w:r>
                    <w:rPr>
                      <w:rFonts w:hint="default" w:ascii="Times New Roman" w:hAnsi="Times New Roman" w:eastAsia="仿宋" w:cs="Times New Roman"/>
                      <w:color w:val="auto"/>
                      <w:szCs w:val="21"/>
                      <w:highlight w:val="none"/>
                      <w:lang w:eastAsia="zh-CN"/>
                    </w:rPr>
                    <w:t>）</w:t>
                  </w:r>
                </w:p>
              </w:tc>
              <w:tc>
                <w:tcPr>
                  <w:tcW w:w="416" w:type="pct"/>
                  <w:tcBorders>
                    <w:tl2br w:val="nil"/>
                    <w:tr2bl w:val="nil"/>
                  </w:tcBorders>
                  <w:noWrap w:val="0"/>
                  <w:vAlign w:val="center"/>
                </w:tcPr>
                <w:p w14:paraId="23221BB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拟划定面积（m</w:t>
                  </w:r>
                  <w:r>
                    <w:rPr>
                      <w:rFonts w:hint="default" w:ascii="Times New Roman" w:hAnsi="Times New Roman" w:eastAsia="仿宋" w:cs="Times New Roman"/>
                      <w:color w:val="auto"/>
                      <w:szCs w:val="21"/>
                      <w:highlight w:val="none"/>
                      <w:vertAlign w:val="superscript"/>
                    </w:rPr>
                    <w:t>2</w:t>
                  </w:r>
                  <w:r>
                    <w:rPr>
                      <w:rFonts w:hint="default" w:ascii="Times New Roman" w:hAnsi="Times New Roman" w:eastAsia="仿宋" w:cs="Times New Roman"/>
                      <w:color w:val="auto"/>
                      <w:szCs w:val="21"/>
                      <w:highlight w:val="none"/>
                    </w:rPr>
                    <w:t>）</w:t>
                  </w:r>
                </w:p>
              </w:tc>
              <w:tc>
                <w:tcPr>
                  <w:tcW w:w="405" w:type="pct"/>
                  <w:tcBorders>
                    <w:tl2br w:val="nil"/>
                    <w:tr2bl w:val="nil"/>
                  </w:tcBorders>
                  <w:noWrap w:val="0"/>
                  <w:vAlign w:val="center"/>
                </w:tcPr>
                <w:p w14:paraId="2F7C5B3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是否满足储存要求</w:t>
                  </w:r>
                </w:p>
              </w:tc>
            </w:tr>
            <w:tr w14:paraId="61EE63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63" w:type="pct"/>
                  <w:tcBorders>
                    <w:tl2br w:val="nil"/>
                    <w:tr2bl w:val="nil"/>
                  </w:tcBorders>
                  <w:shd w:val="clear" w:color="auto" w:fill="auto"/>
                  <w:noWrap w:val="0"/>
                  <w:vAlign w:val="center"/>
                </w:tcPr>
                <w:p w14:paraId="5ED8B164">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废切削液</w:t>
                  </w:r>
                </w:p>
              </w:tc>
              <w:tc>
                <w:tcPr>
                  <w:tcW w:w="410" w:type="pct"/>
                  <w:tcBorders>
                    <w:tl2br w:val="nil"/>
                    <w:tr2bl w:val="nil"/>
                  </w:tcBorders>
                  <w:noWrap w:val="0"/>
                  <w:vAlign w:val="center"/>
                </w:tcPr>
                <w:p w14:paraId="711EED42">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0.1</w:t>
                  </w:r>
                </w:p>
              </w:tc>
              <w:tc>
                <w:tcPr>
                  <w:tcW w:w="379" w:type="pct"/>
                  <w:tcBorders>
                    <w:tl2br w:val="nil"/>
                    <w:tr2bl w:val="nil"/>
                  </w:tcBorders>
                  <w:noWrap w:val="0"/>
                  <w:vAlign w:val="center"/>
                </w:tcPr>
                <w:p w14:paraId="7CCACE6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0.025</w:t>
                  </w:r>
                </w:p>
              </w:tc>
              <w:tc>
                <w:tcPr>
                  <w:tcW w:w="349" w:type="pct"/>
                  <w:vMerge w:val="restart"/>
                  <w:tcBorders>
                    <w:tl2br w:val="nil"/>
                    <w:tr2bl w:val="nil"/>
                  </w:tcBorders>
                  <w:noWrap w:val="0"/>
                  <w:vAlign w:val="center"/>
                </w:tcPr>
                <w:p w14:paraId="276EFA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90</w:t>
                  </w:r>
                </w:p>
              </w:tc>
              <w:tc>
                <w:tcPr>
                  <w:tcW w:w="459" w:type="pct"/>
                  <w:tcBorders>
                    <w:tl2br w:val="nil"/>
                    <w:tr2bl w:val="nil"/>
                  </w:tcBorders>
                  <w:shd w:val="clear" w:color="auto" w:fill="auto"/>
                  <w:noWrap w:val="0"/>
                  <w:vAlign w:val="center"/>
                </w:tcPr>
                <w:p w14:paraId="505C76B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200kg/桶</w:t>
                  </w:r>
                </w:p>
              </w:tc>
              <w:tc>
                <w:tcPr>
                  <w:tcW w:w="496" w:type="pct"/>
                  <w:tcBorders>
                    <w:tl2br w:val="nil"/>
                    <w:tr2bl w:val="nil"/>
                  </w:tcBorders>
                  <w:shd w:val="clear" w:color="auto" w:fill="auto"/>
                  <w:noWrap w:val="0"/>
                  <w:vAlign w:val="center"/>
                </w:tcPr>
                <w:p w14:paraId="348F3EB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1</w:t>
                  </w:r>
                </w:p>
              </w:tc>
              <w:tc>
                <w:tcPr>
                  <w:tcW w:w="429" w:type="pct"/>
                  <w:tcBorders>
                    <w:tl2br w:val="nil"/>
                    <w:tr2bl w:val="nil"/>
                  </w:tcBorders>
                  <w:shd w:val="clear" w:color="auto" w:fill="auto"/>
                  <w:noWrap w:val="0"/>
                  <w:vAlign w:val="center"/>
                </w:tcPr>
                <w:p w14:paraId="6C4F1B6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1</w:t>
                  </w:r>
                </w:p>
              </w:tc>
              <w:tc>
                <w:tcPr>
                  <w:tcW w:w="294" w:type="pct"/>
                  <w:tcBorders>
                    <w:tl2br w:val="nil"/>
                    <w:tr2bl w:val="nil"/>
                  </w:tcBorders>
                  <w:shd w:val="clear" w:color="auto" w:fill="auto"/>
                  <w:noWrap w:val="0"/>
                  <w:vAlign w:val="center"/>
                </w:tcPr>
                <w:p w14:paraId="040B340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2</w:t>
                  </w:r>
                </w:p>
              </w:tc>
              <w:tc>
                <w:tcPr>
                  <w:tcW w:w="379" w:type="pct"/>
                  <w:tcBorders>
                    <w:tl2br w:val="nil"/>
                    <w:tr2bl w:val="nil"/>
                  </w:tcBorders>
                  <w:shd w:val="clear" w:color="auto" w:fill="auto"/>
                  <w:noWrap w:val="0"/>
                  <w:vAlign w:val="center"/>
                </w:tcPr>
                <w:p w14:paraId="609BAA0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1</w:t>
                  </w:r>
                </w:p>
              </w:tc>
              <w:tc>
                <w:tcPr>
                  <w:tcW w:w="416" w:type="pct"/>
                  <w:vMerge w:val="restart"/>
                  <w:tcBorders>
                    <w:tl2br w:val="nil"/>
                    <w:tr2bl w:val="nil"/>
                  </w:tcBorders>
                  <w:noWrap w:val="0"/>
                  <w:vAlign w:val="center"/>
                </w:tcPr>
                <w:p w14:paraId="7F51D96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8</w:t>
                  </w:r>
                </w:p>
              </w:tc>
              <w:tc>
                <w:tcPr>
                  <w:tcW w:w="416" w:type="pct"/>
                  <w:vMerge w:val="restart"/>
                  <w:tcBorders>
                    <w:tl2br w:val="nil"/>
                    <w:tr2bl w:val="nil"/>
                  </w:tcBorders>
                  <w:noWrap w:val="0"/>
                  <w:vAlign w:val="center"/>
                </w:tcPr>
                <w:p w14:paraId="009C4DC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10</w:t>
                  </w:r>
                </w:p>
              </w:tc>
              <w:tc>
                <w:tcPr>
                  <w:tcW w:w="405" w:type="pct"/>
                  <w:vMerge w:val="restart"/>
                  <w:tcBorders>
                    <w:tl2br w:val="nil"/>
                    <w:tr2bl w:val="nil"/>
                  </w:tcBorders>
                  <w:noWrap w:val="0"/>
                  <w:vAlign w:val="center"/>
                </w:tcPr>
                <w:p w14:paraId="22CA36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是</w:t>
                  </w:r>
                </w:p>
              </w:tc>
            </w:tr>
            <w:tr w14:paraId="15CF1A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63" w:type="pct"/>
                  <w:tcBorders>
                    <w:tl2br w:val="nil"/>
                    <w:tr2bl w:val="nil"/>
                  </w:tcBorders>
                  <w:shd w:val="clear" w:color="auto" w:fill="auto"/>
                  <w:noWrap w:val="0"/>
                  <w:vAlign w:val="center"/>
                </w:tcPr>
                <w:p w14:paraId="0A4FEEA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含胶劳保用品</w:t>
                  </w:r>
                </w:p>
              </w:tc>
              <w:tc>
                <w:tcPr>
                  <w:tcW w:w="410" w:type="pct"/>
                  <w:tcBorders>
                    <w:tl2br w:val="nil"/>
                    <w:tr2bl w:val="nil"/>
                  </w:tcBorders>
                  <w:shd w:val="clear" w:color="auto" w:fill="auto"/>
                  <w:noWrap w:val="0"/>
                  <w:vAlign w:val="center"/>
                </w:tcPr>
                <w:p w14:paraId="612C9D0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0.05</w:t>
                  </w:r>
                </w:p>
              </w:tc>
              <w:tc>
                <w:tcPr>
                  <w:tcW w:w="379" w:type="pct"/>
                  <w:tcBorders>
                    <w:tl2br w:val="nil"/>
                    <w:tr2bl w:val="nil"/>
                  </w:tcBorders>
                  <w:shd w:val="clear" w:color="auto" w:fill="auto"/>
                  <w:noWrap w:val="0"/>
                  <w:vAlign w:val="center"/>
                </w:tcPr>
                <w:p w14:paraId="1345E66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0.0125</w:t>
                  </w:r>
                </w:p>
              </w:tc>
              <w:tc>
                <w:tcPr>
                  <w:tcW w:w="349" w:type="pct"/>
                  <w:vMerge w:val="continue"/>
                  <w:tcBorders>
                    <w:tl2br w:val="nil"/>
                    <w:tr2bl w:val="nil"/>
                  </w:tcBorders>
                  <w:noWrap w:val="0"/>
                  <w:vAlign w:val="center"/>
                </w:tcPr>
                <w:p w14:paraId="1DCF42D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auto"/>
                      <w:kern w:val="2"/>
                      <w:sz w:val="21"/>
                      <w:szCs w:val="21"/>
                      <w:highlight w:val="none"/>
                      <w:lang w:val="en-US" w:eastAsia="zh-CN" w:bidi="ar-SA"/>
                    </w:rPr>
                  </w:pPr>
                </w:p>
              </w:tc>
              <w:tc>
                <w:tcPr>
                  <w:tcW w:w="459" w:type="pct"/>
                  <w:tcBorders>
                    <w:tl2br w:val="nil"/>
                    <w:tr2bl w:val="nil"/>
                  </w:tcBorders>
                  <w:shd w:val="clear" w:color="auto" w:fill="auto"/>
                  <w:noWrap w:val="0"/>
                  <w:vAlign w:val="center"/>
                </w:tcPr>
                <w:p w14:paraId="76EB8DD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25kg/袋</w:t>
                  </w:r>
                </w:p>
              </w:tc>
              <w:tc>
                <w:tcPr>
                  <w:tcW w:w="496" w:type="pct"/>
                  <w:tcBorders>
                    <w:tl2br w:val="nil"/>
                    <w:tr2bl w:val="nil"/>
                  </w:tcBorders>
                  <w:shd w:val="clear" w:color="auto" w:fill="auto"/>
                  <w:noWrap w:val="0"/>
                  <w:vAlign w:val="center"/>
                </w:tcPr>
                <w:p w14:paraId="3D5E889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1</w:t>
                  </w:r>
                </w:p>
              </w:tc>
              <w:tc>
                <w:tcPr>
                  <w:tcW w:w="429" w:type="pct"/>
                  <w:tcBorders>
                    <w:tl2br w:val="nil"/>
                    <w:tr2bl w:val="nil"/>
                  </w:tcBorders>
                  <w:shd w:val="clear" w:color="auto" w:fill="auto"/>
                  <w:noWrap w:val="0"/>
                  <w:vAlign w:val="center"/>
                </w:tcPr>
                <w:p w14:paraId="1A96353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1</w:t>
                  </w:r>
                </w:p>
              </w:tc>
              <w:tc>
                <w:tcPr>
                  <w:tcW w:w="294" w:type="pct"/>
                  <w:tcBorders>
                    <w:tl2br w:val="nil"/>
                    <w:tr2bl w:val="nil"/>
                  </w:tcBorders>
                  <w:shd w:val="clear" w:color="auto" w:fill="auto"/>
                  <w:noWrap w:val="0"/>
                  <w:vAlign w:val="center"/>
                </w:tcPr>
                <w:p w14:paraId="46DA638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1</w:t>
                  </w:r>
                </w:p>
              </w:tc>
              <w:tc>
                <w:tcPr>
                  <w:tcW w:w="379" w:type="pct"/>
                  <w:tcBorders>
                    <w:tl2br w:val="nil"/>
                    <w:tr2bl w:val="nil"/>
                  </w:tcBorders>
                  <w:shd w:val="clear" w:color="auto" w:fill="auto"/>
                  <w:noWrap w:val="0"/>
                  <w:vAlign w:val="center"/>
                </w:tcPr>
                <w:p w14:paraId="3832918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1</w:t>
                  </w:r>
                </w:p>
              </w:tc>
              <w:tc>
                <w:tcPr>
                  <w:tcW w:w="416" w:type="pct"/>
                  <w:vMerge w:val="continue"/>
                  <w:tcBorders>
                    <w:tl2br w:val="nil"/>
                    <w:tr2bl w:val="nil"/>
                  </w:tcBorders>
                  <w:noWrap w:val="0"/>
                  <w:vAlign w:val="center"/>
                </w:tcPr>
                <w:p w14:paraId="1B570B7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eastAsia="仿宋" w:cs="Times New Roman"/>
                      <w:color w:val="auto"/>
                      <w:kern w:val="2"/>
                      <w:sz w:val="21"/>
                      <w:szCs w:val="21"/>
                      <w:highlight w:val="none"/>
                      <w:lang w:val="en-US" w:eastAsia="zh-CN" w:bidi="ar-SA"/>
                    </w:rPr>
                  </w:pPr>
                </w:p>
              </w:tc>
              <w:tc>
                <w:tcPr>
                  <w:tcW w:w="416" w:type="pct"/>
                  <w:vMerge w:val="continue"/>
                  <w:tcBorders>
                    <w:tl2br w:val="nil"/>
                    <w:tr2bl w:val="nil"/>
                  </w:tcBorders>
                  <w:noWrap w:val="0"/>
                  <w:vAlign w:val="center"/>
                </w:tcPr>
                <w:p w14:paraId="14E3652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eastAsia="仿宋" w:cs="Times New Roman"/>
                      <w:color w:val="auto"/>
                      <w:kern w:val="2"/>
                      <w:sz w:val="21"/>
                      <w:szCs w:val="21"/>
                      <w:highlight w:val="none"/>
                      <w:lang w:val="en-US" w:eastAsia="zh-CN" w:bidi="ar-SA"/>
                    </w:rPr>
                  </w:pPr>
                </w:p>
              </w:tc>
              <w:tc>
                <w:tcPr>
                  <w:tcW w:w="405" w:type="pct"/>
                  <w:vMerge w:val="continue"/>
                  <w:tcBorders>
                    <w:tl2br w:val="nil"/>
                    <w:tr2bl w:val="nil"/>
                  </w:tcBorders>
                  <w:noWrap w:val="0"/>
                  <w:vAlign w:val="center"/>
                </w:tcPr>
                <w:p w14:paraId="50C2C8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1D80A7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63" w:type="pct"/>
                  <w:tcBorders>
                    <w:tl2br w:val="nil"/>
                    <w:tr2bl w:val="nil"/>
                  </w:tcBorders>
                  <w:shd w:val="clear" w:color="auto" w:fill="auto"/>
                  <w:noWrap w:val="0"/>
                  <w:vAlign w:val="center"/>
                </w:tcPr>
                <w:p w14:paraId="75A0868E">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喷淋废液</w:t>
                  </w:r>
                </w:p>
              </w:tc>
              <w:tc>
                <w:tcPr>
                  <w:tcW w:w="410" w:type="pct"/>
                  <w:tcBorders>
                    <w:tl2br w:val="nil"/>
                    <w:tr2bl w:val="nil"/>
                  </w:tcBorders>
                  <w:noWrap w:val="0"/>
                  <w:vAlign w:val="center"/>
                </w:tcPr>
                <w:p w14:paraId="5FF9F8D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w:t>
                  </w:r>
                </w:p>
              </w:tc>
              <w:tc>
                <w:tcPr>
                  <w:tcW w:w="379" w:type="pct"/>
                  <w:tcBorders>
                    <w:tl2br w:val="nil"/>
                    <w:tr2bl w:val="nil"/>
                  </w:tcBorders>
                  <w:noWrap w:val="0"/>
                  <w:vAlign w:val="center"/>
                </w:tcPr>
                <w:p w14:paraId="50B3D95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0.5</w:t>
                  </w:r>
                </w:p>
              </w:tc>
              <w:tc>
                <w:tcPr>
                  <w:tcW w:w="349" w:type="pct"/>
                  <w:vMerge w:val="continue"/>
                  <w:tcBorders>
                    <w:tl2br w:val="nil"/>
                    <w:tr2bl w:val="nil"/>
                  </w:tcBorders>
                  <w:noWrap w:val="0"/>
                  <w:vAlign w:val="center"/>
                </w:tcPr>
                <w:p w14:paraId="08E6203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rPr>
                  </w:pPr>
                </w:p>
              </w:tc>
              <w:tc>
                <w:tcPr>
                  <w:tcW w:w="459" w:type="pct"/>
                  <w:tcBorders>
                    <w:tl2br w:val="nil"/>
                    <w:tr2bl w:val="nil"/>
                  </w:tcBorders>
                  <w:noWrap w:val="0"/>
                  <w:vAlign w:val="center"/>
                </w:tcPr>
                <w:p w14:paraId="30827D6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200kg/桶</w:t>
                  </w:r>
                </w:p>
              </w:tc>
              <w:tc>
                <w:tcPr>
                  <w:tcW w:w="496" w:type="pct"/>
                  <w:tcBorders>
                    <w:tl2br w:val="nil"/>
                    <w:tr2bl w:val="nil"/>
                  </w:tcBorders>
                  <w:noWrap w:val="0"/>
                  <w:vAlign w:val="center"/>
                </w:tcPr>
                <w:p w14:paraId="4C5D311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1</w:t>
                  </w:r>
                </w:p>
              </w:tc>
              <w:tc>
                <w:tcPr>
                  <w:tcW w:w="429" w:type="pct"/>
                  <w:tcBorders>
                    <w:tl2br w:val="nil"/>
                    <w:tr2bl w:val="nil"/>
                  </w:tcBorders>
                  <w:noWrap w:val="0"/>
                  <w:vAlign w:val="center"/>
                </w:tcPr>
                <w:p w14:paraId="11F599F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1</w:t>
                  </w:r>
                </w:p>
              </w:tc>
              <w:tc>
                <w:tcPr>
                  <w:tcW w:w="294" w:type="pct"/>
                  <w:tcBorders>
                    <w:tl2br w:val="nil"/>
                    <w:tr2bl w:val="nil"/>
                  </w:tcBorders>
                  <w:noWrap w:val="0"/>
                  <w:vAlign w:val="center"/>
                </w:tcPr>
                <w:p w14:paraId="4CBBF3A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2</w:t>
                  </w:r>
                </w:p>
              </w:tc>
              <w:tc>
                <w:tcPr>
                  <w:tcW w:w="379" w:type="pct"/>
                  <w:tcBorders>
                    <w:tl2br w:val="nil"/>
                    <w:tr2bl w:val="nil"/>
                  </w:tcBorders>
                  <w:noWrap w:val="0"/>
                  <w:vAlign w:val="center"/>
                </w:tcPr>
                <w:p w14:paraId="1BF81A2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3</w:t>
                  </w:r>
                </w:p>
              </w:tc>
              <w:tc>
                <w:tcPr>
                  <w:tcW w:w="416" w:type="pct"/>
                  <w:vMerge w:val="continue"/>
                  <w:tcBorders>
                    <w:tl2br w:val="nil"/>
                    <w:tr2bl w:val="nil"/>
                  </w:tcBorders>
                  <w:noWrap w:val="0"/>
                  <w:vAlign w:val="center"/>
                </w:tcPr>
                <w:p w14:paraId="07ACCA4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lang w:eastAsia="zh-CN"/>
                    </w:rPr>
                  </w:pPr>
                </w:p>
              </w:tc>
              <w:tc>
                <w:tcPr>
                  <w:tcW w:w="416" w:type="pct"/>
                  <w:vMerge w:val="continue"/>
                  <w:tcBorders>
                    <w:tl2br w:val="nil"/>
                    <w:tr2bl w:val="nil"/>
                  </w:tcBorders>
                  <w:noWrap w:val="0"/>
                  <w:vAlign w:val="center"/>
                </w:tcPr>
                <w:p w14:paraId="7E3B2A0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rPr>
                  </w:pPr>
                </w:p>
              </w:tc>
              <w:tc>
                <w:tcPr>
                  <w:tcW w:w="405" w:type="pct"/>
                  <w:vMerge w:val="continue"/>
                  <w:tcBorders>
                    <w:tl2br w:val="nil"/>
                    <w:tr2bl w:val="nil"/>
                  </w:tcBorders>
                  <w:noWrap w:val="0"/>
                  <w:vAlign w:val="center"/>
                </w:tcPr>
                <w:p w14:paraId="3B70086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rPr>
                  </w:pPr>
                </w:p>
              </w:tc>
            </w:tr>
            <w:tr w14:paraId="6EDC90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24" w:hRule="atLeast"/>
                <w:jc w:val="center"/>
              </w:trPr>
              <w:tc>
                <w:tcPr>
                  <w:tcW w:w="563" w:type="pct"/>
                  <w:tcBorders>
                    <w:tl2br w:val="nil"/>
                    <w:tr2bl w:val="nil"/>
                  </w:tcBorders>
                  <w:shd w:val="clear" w:color="auto" w:fill="auto"/>
                  <w:noWrap w:val="0"/>
                  <w:vAlign w:val="center"/>
                </w:tcPr>
                <w:p w14:paraId="28059D5A">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废活性炭</w:t>
                  </w:r>
                </w:p>
              </w:tc>
              <w:tc>
                <w:tcPr>
                  <w:tcW w:w="410" w:type="pct"/>
                  <w:tcBorders>
                    <w:tl2br w:val="nil"/>
                    <w:tr2bl w:val="nil"/>
                  </w:tcBorders>
                  <w:noWrap w:val="0"/>
                  <w:vAlign w:val="center"/>
                </w:tcPr>
                <w:p w14:paraId="3FC20E2F">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4</w:t>
                  </w:r>
                </w:p>
              </w:tc>
              <w:tc>
                <w:tcPr>
                  <w:tcW w:w="379" w:type="pct"/>
                  <w:tcBorders>
                    <w:tl2br w:val="nil"/>
                    <w:tr2bl w:val="nil"/>
                  </w:tcBorders>
                  <w:noWrap w:val="0"/>
                  <w:vAlign w:val="center"/>
                </w:tcPr>
                <w:p w14:paraId="02D66833">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w:t>
                  </w:r>
                </w:p>
              </w:tc>
              <w:tc>
                <w:tcPr>
                  <w:tcW w:w="349" w:type="pct"/>
                  <w:vMerge w:val="continue"/>
                  <w:tcBorders>
                    <w:tl2br w:val="nil"/>
                    <w:tr2bl w:val="nil"/>
                  </w:tcBorders>
                  <w:noWrap w:val="0"/>
                  <w:vAlign w:val="center"/>
                </w:tcPr>
                <w:p w14:paraId="1E45BB9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auto"/>
                      <w:kern w:val="2"/>
                      <w:sz w:val="21"/>
                      <w:szCs w:val="21"/>
                      <w:highlight w:val="none"/>
                      <w:lang w:val="en-US" w:eastAsia="zh-CN" w:bidi="ar-SA"/>
                    </w:rPr>
                  </w:pPr>
                </w:p>
              </w:tc>
              <w:tc>
                <w:tcPr>
                  <w:tcW w:w="459" w:type="pct"/>
                  <w:tcBorders>
                    <w:tl2br w:val="nil"/>
                    <w:tr2bl w:val="nil"/>
                  </w:tcBorders>
                  <w:noWrap w:val="0"/>
                  <w:vAlign w:val="center"/>
                </w:tcPr>
                <w:p w14:paraId="592388F2">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吨袋</w:t>
                  </w:r>
                </w:p>
              </w:tc>
              <w:tc>
                <w:tcPr>
                  <w:tcW w:w="496" w:type="pct"/>
                  <w:tcBorders>
                    <w:tl2br w:val="nil"/>
                    <w:tr2bl w:val="nil"/>
                  </w:tcBorders>
                  <w:noWrap w:val="0"/>
                  <w:vAlign w:val="center"/>
                </w:tcPr>
                <w:p w14:paraId="67D8CCC4">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w:t>
                  </w:r>
                </w:p>
              </w:tc>
              <w:tc>
                <w:tcPr>
                  <w:tcW w:w="429" w:type="pct"/>
                  <w:tcBorders>
                    <w:tl2br w:val="nil"/>
                    <w:tr2bl w:val="nil"/>
                  </w:tcBorders>
                  <w:noWrap w:val="0"/>
                  <w:vAlign w:val="center"/>
                </w:tcPr>
                <w:p w14:paraId="2F2E067B">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w:t>
                  </w:r>
                </w:p>
              </w:tc>
              <w:tc>
                <w:tcPr>
                  <w:tcW w:w="294" w:type="pct"/>
                  <w:tcBorders>
                    <w:tl2br w:val="nil"/>
                    <w:tr2bl w:val="nil"/>
                  </w:tcBorders>
                  <w:noWrap w:val="0"/>
                  <w:vAlign w:val="center"/>
                </w:tcPr>
                <w:p w14:paraId="0CB3C8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w:t>
                  </w:r>
                </w:p>
              </w:tc>
              <w:tc>
                <w:tcPr>
                  <w:tcW w:w="379" w:type="pct"/>
                  <w:tcBorders>
                    <w:tl2br w:val="nil"/>
                    <w:tr2bl w:val="nil"/>
                  </w:tcBorders>
                  <w:noWrap w:val="0"/>
                  <w:vAlign w:val="center"/>
                </w:tcPr>
                <w:p w14:paraId="035DC595">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w:t>
                  </w:r>
                </w:p>
              </w:tc>
              <w:tc>
                <w:tcPr>
                  <w:tcW w:w="416" w:type="pct"/>
                  <w:vMerge w:val="continue"/>
                  <w:tcBorders>
                    <w:tl2br w:val="nil"/>
                    <w:tr2bl w:val="nil"/>
                  </w:tcBorders>
                  <w:noWrap w:val="0"/>
                  <w:vAlign w:val="center"/>
                </w:tcPr>
                <w:p w14:paraId="232790C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eastAsia="仿宋" w:cs="Times New Roman"/>
                      <w:color w:val="auto"/>
                      <w:kern w:val="2"/>
                      <w:sz w:val="21"/>
                      <w:szCs w:val="21"/>
                      <w:highlight w:val="none"/>
                      <w:lang w:val="en-US" w:eastAsia="zh-CN" w:bidi="ar-SA"/>
                    </w:rPr>
                  </w:pPr>
                </w:p>
              </w:tc>
              <w:tc>
                <w:tcPr>
                  <w:tcW w:w="416" w:type="pct"/>
                  <w:vMerge w:val="continue"/>
                  <w:tcBorders>
                    <w:tl2br w:val="nil"/>
                    <w:tr2bl w:val="nil"/>
                  </w:tcBorders>
                  <w:noWrap w:val="0"/>
                  <w:vAlign w:val="center"/>
                </w:tcPr>
                <w:p w14:paraId="62613A4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eastAsia="仿宋" w:cs="Times New Roman"/>
                      <w:color w:val="auto"/>
                      <w:kern w:val="2"/>
                      <w:sz w:val="21"/>
                      <w:szCs w:val="21"/>
                      <w:highlight w:val="none"/>
                      <w:lang w:val="en-US" w:eastAsia="zh-CN" w:bidi="ar-SA"/>
                    </w:rPr>
                  </w:pPr>
                </w:p>
              </w:tc>
              <w:tc>
                <w:tcPr>
                  <w:tcW w:w="405" w:type="pct"/>
                  <w:vMerge w:val="continue"/>
                  <w:tcBorders>
                    <w:tl2br w:val="nil"/>
                    <w:tr2bl w:val="nil"/>
                  </w:tcBorders>
                  <w:noWrap w:val="0"/>
                  <w:vAlign w:val="center"/>
                </w:tcPr>
                <w:p w14:paraId="026747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2A05A5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63" w:type="pct"/>
                  <w:tcBorders>
                    <w:tl2br w:val="nil"/>
                    <w:tr2bl w:val="nil"/>
                  </w:tcBorders>
                  <w:shd w:val="clear" w:color="auto" w:fill="auto"/>
                  <w:noWrap w:val="0"/>
                  <w:vAlign w:val="center"/>
                </w:tcPr>
                <w:p w14:paraId="2DE389C9">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废包装桶</w:t>
                  </w:r>
                </w:p>
              </w:tc>
              <w:tc>
                <w:tcPr>
                  <w:tcW w:w="410" w:type="pct"/>
                  <w:tcBorders>
                    <w:tl2br w:val="nil"/>
                    <w:tr2bl w:val="nil"/>
                  </w:tcBorders>
                  <w:noWrap w:val="0"/>
                  <w:vAlign w:val="center"/>
                </w:tcPr>
                <w:p w14:paraId="7FCF4D41">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0.062</w:t>
                  </w:r>
                </w:p>
              </w:tc>
              <w:tc>
                <w:tcPr>
                  <w:tcW w:w="379" w:type="pct"/>
                  <w:tcBorders>
                    <w:tl2br w:val="nil"/>
                    <w:tr2bl w:val="nil"/>
                  </w:tcBorders>
                  <w:noWrap w:val="0"/>
                  <w:vAlign w:val="center"/>
                </w:tcPr>
                <w:p w14:paraId="4C04AB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0.0155</w:t>
                  </w:r>
                </w:p>
              </w:tc>
              <w:tc>
                <w:tcPr>
                  <w:tcW w:w="349" w:type="pct"/>
                  <w:vMerge w:val="continue"/>
                  <w:tcBorders>
                    <w:tl2br w:val="nil"/>
                    <w:tr2bl w:val="nil"/>
                  </w:tcBorders>
                  <w:noWrap w:val="0"/>
                  <w:vAlign w:val="center"/>
                </w:tcPr>
                <w:p w14:paraId="35771A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459" w:type="pct"/>
                  <w:tcBorders>
                    <w:tl2br w:val="nil"/>
                    <w:tr2bl w:val="nil"/>
                  </w:tcBorders>
                  <w:noWrap w:val="0"/>
                  <w:vAlign w:val="center"/>
                </w:tcPr>
                <w:p w14:paraId="0CF54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散装捆扎</w:t>
                  </w:r>
                </w:p>
              </w:tc>
              <w:tc>
                <w:tcPr>
                  <w:tcW w:w="496" w:type="pct"/>
                  <w:tcBorders>
                    <w:tl2br w:val="nil"/>
                    <w:tr2bl w:val="nil"/>
                  </w:tcBorders>
                  <w:noWrap w:val="0"/>
                  <w:vAlign w:val="center"/>
                </w:tcPr>
                <w:p w14:paraId="04F13F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w:t>
                  </w:r>
                </w:p>
              </w:tc>
              <w:tc>
                <w:tcPr>
                  <w:tcW w:w="429" w:type="pct"/>
                  <w:tcBorders>
                    <w:tl2br w:val="nil"/>
                    <w:tr2bl w:val="nil"/>
                  </w:tcBorders>
                  <w:noWrap w:val="0"/>
                  <w:vAlign w:val="center"/>
                </w:tcPr>
                <w:p w14:paraId="122486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w:t>
                  </w:r>
                </w:p>
              </w:tc>
              <w:tc>
                <w:tcPr>
                  <w:tcW w:w="294" w:type="pct"/>
                  <w:tcBorders>
                    <w:tl2br w:val="nil"/>
                    <w:tr2bl w:val="nil"/>
                  </w:tcBorders>
                  <w:noWrap w:val="0"/>
                  <w:vAlign w:val="center"/>
                </w:tcPr>
                <w:p w14:paraId="183158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w:t>
                  </w:r>
                </w:p>
              </w:tc>
              <w:tc>
                <w:tcPr>
                  <w:tcW w:w="379" w:type="pct"/>
                  <w:tcBorders>
                    <w:tl2br w:val="nil"/>
                    <w:tr2bl w:val="nil"/>
                  </w:tcBorders>
                  <w:noWrap w:val="0"/>
                  <w:vAlign w:val="center"/>
                </w:tcPr>
                <w:p w14:paraId="48146C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w:t>
                  </w:r>
                </w:p>
              </w:tc>
              <w:tc>
                <w:tcPr>
                  <w:tcW w:w="416" w:type="pct"/>
                  <w:vMerge w:val="continue"/>
                  <w:tcBorders>
                    <w:tl2br w:val="nil"/>
                    <w:tr2bl w:val="nil"/>
                  </w:tcBorders>
                  <w:noWrap w:val="0"/>
                  <w:vAlign w:val="center"/>
                </w:tcPr>
                <w:p w14:paraId="135D0B8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p>
              </w:tc>
              <w:tc>
                <w:tcPr>
                  <w:tcW w:w="416" w:type="pct"/>
                  <w:vMerge w:val="continue"/>
                  <w:tcBorders>
                    <w:tl2br w:val="nil"/>
                    <w:tr2bl w:val="nil"/>
                  </w:tcBorders>
                  <w:noWrap w:val="0"/>
                  <w:vAlign w:val="center"/>
                </w:tcPr>
                <w:p w14:paraId="04A7AA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p>
              </w:tc>
              <w:tc>
                <w:tcPr>
                  <w:tcW w:w="405" w:type="pct"/>
                  <w:vMerge w:val="continue"/>
                  <w:tcBorders>
                    <w:tl2br w:val="nil"/>
                    <w:tr2bl w:val="nil"/>
                  </w:tcBorders>
                  <w:noWrap w:val="0"/>
                  <w:vAlign w:val="center"/>
                </w:tcPr>
                <w:p w14:paraId="088581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highlight w:val="none"/>
                      <w:lang w:val="en-US" w:eastAsia="zh-CN" w:bidi="ar-SA"/>
                    </w:rPr>
                  </w:pPr>
                </w:p>
              </w:tc>
            </w:tr>
          </w:tbl>
          <w:p w14:paraId="0DD8B5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宋体" w:cs="Times New Roman"/>
                <w:b w:val="0"/>
                <w:bCs w:val="0"/>
                <w:color w:val="auto"/>
                <w:lang w:val="en-US" w:eastAsia="zh-CN"/>
              </w:rPr>
              <w:t>由上表可知，</w:t>
            </w:r>
            <w:r>
              <w:rPr>
                <w:rFonts w:hint="eastAsia" w:eastAsia="宋体" w:cs="Times New Roman"/>
                <w:b w:val="0"/>
                <w:bCs w:val="0"/>
                <w:color w:val="auto"/>
                <w:lang w:val="en-US" w:eastAsia="zh-CN"/>
              </w:rPr>
              <w:t>危险废物</w:t>
            </w:r>
            <w:r>
              <w:rPr>
                <w:rFonts w:hint="default" w:ascii="Times New Roman" w:hAnsi="Times New Roman" w:eastAsia="宋体" w:cs="Times New Roman"/>
                <w:b w:val="0"/>
                <w:bCs w:val="0"/>
                <w:color w:val="auto"/>
                <w:lang w:val="en-US" w:eastAsia="zh-CN"/>
              </w:rPr>
              <w:t>贮存期限为3个月，</w:t>
            </w:r>
            <w:r>
              <w:rPr>
                <w:rFonts w:hint="eastAsia" w:ascii="Times New Roman" w:hAnsi="Times New Roman" w:eastAsia="宋体" w:cs="Times New Roman"/>
                <w:b w:val="0"/>
                <w:bCs w:val="0"/>
                <w:color w:val="auto"/>
                <w:lang w:val="en-US" w:eastAsia="zh-CN"/>
              </w:rPr>
              <w:t>危废仓库</w:t>
            </w:r>
            <w:r>
              <w:rPr>
                <w:rFonts w:hint="default" w:ascii="Times New Roman" w:hAnsi="Times New Roman" w:eastAsia="宋体" w:cs="Times New Roman"/>
                <w:b w:val="0"/>
                <w:bCs w:val="0"/>
                <w:color w:val="auto"/>
                <w:lang w:val="en-US" w:eastAsia="zh-CN"/>
              </w:rPr>
              <w:t>可满足危废贮存需求。</w:t>
            </w:r>
          </w:p>
        </w:tc>
      </w:tr>
    </w:tbl>
    <w:p w14:paraId="63EFFBB9">
      <w:pPr>
        <w:pStyle w:val="22"/>
        <w:jc w:val="both"/>
        <w:outlineLvl w:val="9"/>
        <w:rPr>
          <w:rFonts w:hint="default" w:ascii="Times New Roman" w:hAnsi="Times New Roman" w:eastAsia="黑体" w:cs="Times New Roman"/>
          <w:snapToGrid w:val="0"/>
          <w:color w:val="auto"/>
          <w:sz w:val="30"/>
          <w:szCs w:val="30"/>
        </w:rPr>
        <w:sectPr>
          <w:pgSz w:w="16838" w:h="11905" w:orient="landscape"/>
          <w:pgMar w:top="1088" w:right="1191" w:bottom="1400" w:left="1417"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7"/>
        <w:tblW w:w="0" w:type="auto"/>
        <w:tblInd w:w="-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9098"/>
      </w:tblGrid>
      <w:tr w14:paraId="63A1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3" w:hRule="atLeast"/>
        </w:trPr>
        <w:tc>
          <w:tcPr>
            <w:tcW w:w="659" w:type="dxa"/>
            <w:noWrap w:val="0"/>
            <w:vAlign w:val="center"/>
          </w:tcPr>
          <w:p w14:paraId="6B5AB64C">
            <w:pPr>
              <w:pStyle w:val="22"/>
              <w:keepNext w:val="0"/>
              <w:keepLines w:val="0"/>
              <w:suppressLineNumbers w:val="0"/>
              <w:spacing w:line="240" w:lineRule="auto"/>
              <w:ind w:left="0" w:right="0"/>
              <w:jc w:val="center"/>
              <w:outlineLvl w:val="0"/>
              <w:rPr>
                <w:rFonts w:hint="default" w:ascii="Times New Roman" w:hAnsi="Times New Roman" w:eastAsia="黑体" w:cs="Times New Roman"/>
                <w:b/>
                <w:snapToGrid w:val="0"/>
                <w:color w:val="auto"/>
                <w:sz w:val="30"/>
                <w:szCs w:val="30"/>
              </w:rPr>
            </w:pPr>
            <w:bookmarkStart w:id="13" w:name="_Toc27526"/>
            <w:bookmarkStart w:id="14" w:name="_Toc27123"/>
            <w:r>
              <w:rPr>
                <w:rFonts w:hint="default" w:ascii="Times New Roman" w:hAnsi="Times New Roman" w:cs="Times New Roman"/>
                <w:b w:val="0"/>
                <w:bCs/>
                <w:color w:val="auto"/>
                <w:sz w:val="21"/>
                <w:szCs w:val="21"/>
              </w:rPr>
              <w:t>运营期环境影响和保护措施</w:t>
            </w:r>
            <w:bookmarkEnd w:id="13"/>
            <w:bookmarkEnd w:id="14"/>
          </w:p>
        </w:tc>
        <w:tc>
          <w:tcPr>
            <w:tcW w:w="9098" w:type="dxa"/>
            <w:noWrap w:val="0"/>
            <w:vAlign w:val="top"/>
          </w:tcPr>
          <w:p w14:paraId="255085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（4）环境管理要求</w:t>
            </w:r>
          </w:p>
          <w:p w14:paraId="4B5421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根据</w:t>
            </w:r>
            <w:r>
              <w:rPr>
                <w:rFonts w:hint="eastAsia" w:cs="Times New Roman"/>
                <w:b w:val="0"/>
                <w:bCs w:val="0"/>
                <w:color w:val="auto"/>
                <w:lang w:val="en-US" w:eastAsia="zh-CN"/>
              </w:rPr>
              <w:t>《省生态环境厅关于印发江苏省固体废物全过程环境监管工作意见的通知》（苏环办〔2024〕16号）、</w:t>
            </w:r>
            <w:r>
              <w:rPr>
                <w:rFonts w:hint="default" w:ascii="Times New Roman" w:hAnsi="Times New Roman" w:eastAsia="宋体" w:cs="Times New Roman"/>
                <w:b w:val="0"/>
                <w:bCs w:val="0"/>
                <w:color w:val="auto"/>
                <w:lang w:val="en-US" w:eastAsia="zh-CN"/>
              </w:rPr>
              <w:t>《危险废物贮存污染控制标准》（GB18597-20</w:t>
            </w:r>
            <w:r>
              <w:rPr>
                <w:rFonts w:hint="eastAsia" w:ascii="Times New Roman" w:hAnsi="Times New Roman" w:eastAsia="宋体" w:cs="Times New Roman"/>
                <w:b w:val="0"/>
                <w:bCs w:val="0"/>
                <w:color w:val="auto"/>
                <w:lang w:val="en-US" w:eastAsia="zh-CN"/>
              </w:rPr>
              <w:t>23</w:t>
            </w:r>
            <w:r>
              <w:rPr>
                <w:rFonts w:hint="default" w:ascii="Times New Roman" w:hAnsi="Times New Roman" w:eastAsia="宋体" w:cs="Times New Roman"/>
                <w:b w:val="0"/>
                <w:bCs w:val="0"/>
                <w:color w:val="auto"/>
                <w:lang w:val="en-US" w:eastAsia="zh-CN"/>
              </w:rPr>
              <w:t>）</w:t>
            </w:r>
            <w:r>
              <w:rPr>
                <w:rFonts w:hint="eastAsia" w:cs="Times New Roman"/>
                <w:b w:val="0"/>
                <w:bCs w:val="0"/>
                <w:color w:val="auto"/>
                <w:lang w:val="en-US" w:eastAsia="zh-CN"/>
              </w:rPr>
              <w:t>等文件要求</w:t>
            </w:r>
            <w:r>
              <w:rPr>
                <w:rFonts w:hint="default" w:ascii="Times New Roman" w:hAnsi="Times New Roman" w:eastAsia="宋体" w:cs="Times New Roman"/>
                <w:b w:val="0"/>
                <w:bCs w:val="0"/>
                <w:color w:val="auto"/>
                <w:lang w:val="en-US" w:eastAsia="zh-CN"/>
              </w:rPr>
              <w:t>，</w:t>
            </w:r>
            <w:r>
              <w:rPr>
                <w:rFonts w:hint="eastAsia" w:ascii="Times New Roman" w:hAnsi="Times New Roman" w:eastAsia="宋体" w:cs="Times New Roman"/>
                <w:b w:val="0"/>
                <w:bCs w:val="0"/>
                <w:color w:val="auto"/>
                <w:lang w:val="en-US" w:eastAsia="zh-CN"/>
              </w:rPr>
              <w:t>危险废物贮存要求如下：</w:t>
            </w:r>
          </w:p>
          <w:p w14:paraId="52D0F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①危险废物贮存要求</w:t>
            </w:r>
          </w:p>
          <w:p w14:paraId="23FB2B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A.在常温常压下不易水解、不易挥发的固态危险废物可分类堆放贮存，其他固态危险废物应装入容器或包装物内贮存；</w:t>
            </w:r>
          </w:p>
          <w:p w14:paraId="4ACAE8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B.液态危险废物应装入容器内贮存，或直接采用贮存池、贮存罐区贮存；</w:t>
            </w:r>
          </w:p>
          <w:p w14:paraId="1E5481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C.半固态危险废物应装入容器或包装袋内贮存，或直接采用贮存池贮存；</w:t>
            </w:r>
          </w:p>
          <w:p w14:paraId="0A9E54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D.具有热塑性的危险废物应装入容器或包装袋内进行贮存</w:t>
            </w:r>
            <w:r>
              <w:rPr>
                <w:rFonts w:hint="eastAsia" w:ascii="Times New Roman" w:hAnsi="Times New Roman" w:eastAsia="宋体" w:cs="Times New Roman"/>
                <w:b w:val="0"/>
                <w:bCs w:val="0"/>
                <w:color w:val="auto"/>
                <w:lang w:val="en-US" w:eastAsia="zh-CN"/>
              </w:rPr>
              <w:t>；</w:t>
            </w:r>
          </w:p>
          <w:p w14:paraId="6DF5ED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E.易产生粉尘、VOCs、酸雾、有毒有害大气污染物和刺激性气味气体的危险废物应装入闭口容器或包装物内贮存；</w:t>
            </w:r>
          </w:p>
          <w:p w14:paraId="2BEED8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F.危险废物贮存过程中易产生粉尘等无组织排放的，应采取抑尘等有效措施；</w:t>
            </w:r>
          </w:p>
          <w:p w14:paraId="785FA817">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smallCaps w:val="0"/>
                <w:color w:val="auto"/>
                <w:szCs w:val="21"/>
              </w:rPr>
            </w:pPr>
            <w:r>
              <w:rPr>
                <w:rFonts w:hint="eastAsia" w:ascii="Times New Roman" w:hAnsi="Times New Roman" w:eastAsia="宋体" w:cs="Times New Roman"/>
                <w:smallCaps w:val="0"/>
                <w:color w:val="auto"/>
                <w:szCs w:val="21"/>
                <w:lang w:val="en-US" w:eastAsia="zh-CN"/>
              </w:rPr>
              <w:t>G.</w:t>
            </w:r>
            <w:r>
              <w:rPr>
                <w:rFonts w:hint="eastAsia" w:ascii="Times New Roman" w:hAnsi="Times New Roman" w:eastAsia="宋体" w:cs="Times New Roman"/>
                <w:smallCaps w:val="0"/>
                <w:color w:val="auto"/>
                <w:szCs w:val="21"/>
              </w:rPr>
              <w:t>规范危险废物贮存设施，在出入口、设施内部、危险废物运输车辆通道等关键位置安装危险废物贮存设施监控布设要求设置视频监控，并与中控室联网。</w:t>
            </w:r>
          </w:p>
          <w:p w14:paraId="23DFDBC8">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smallCaps w:val="0"/>
                <w:color w:val="auto"/>
                <w:szCs w:val="21"/>
              </w:rPr>
            </w:pPr>
            <w:r>
              <w:rPr>
                <w:rFonts w:hint="eastAsia" w:ascii="Times New Roman" w:hAnsi="Times New Roman" w:eastAsia="宋体" w:cs="Times New Roman"/>
                <w:smallCaps w:val="0"/>
                <w:color w:val="auto"/>
                <w:szCs w:val="21"/>
                <w:lang w:val="en-US" w:eastAsia="zh-CN"/>
              </w:rPr>
              <w:t>H.</w:t>
            </w:r>
            <w:r>
              <w:rPr>
                <w:rFonts w:hint="eastAsia" w:ascii="Times New Roman" w:hAnsi="Times New Roman" w:eastAsia="宋体" w:cs="Times New Roman"/>
                <w:smallCaps w:val="0"/>
                <w:color w:val="auto"/>
                <w:szCs w:val="21"/>
              </w:rPr>
              <w:t>强化危废申报登记，应按规定申报危废产生、贮存、转移、利用处置等信息，制定危险废物年度管理计划，并在“</w:t>
            </w:r>
            <w:r>
              <w:rPr>
                <w:rFonts w:hint="eastAsia" w:cs="Times New Roman"/>
                <w:smallCaps w:val="0"/>
                <w:color w:val="auto"/>
                <w:szCs w:val="21"/>
                <w:lang w:eastAsia="zh-CN"/>
              </w:rPr>
              <w:t>江苏省固体废物管理信息系统</w:t>
            </w:r>
            <w:r>
              <w:rPr>
                <w:rFonts w:hint="eastAsia" w:ascii="Times New Roman" w:hAnsi="Times New Roman" w:eastAsia="宋体" w:cs="Times New Roman"/>
                <w:smallCaps w:val="0"/>
                <w:color w:val="auto"/>
                <w:szCs w:val="21"/>
              </w:rPr>
              <w:t>”中备案。管理计划如需调整变更的，应重新在系统中申请备案。应结合自身实际，建立危废台账，如实记载危险废物种类、数量、性质、产生环节、流向、贮存、利用处理等信息，并在“</w:t>
            </w:r>
            <w:r>
              <w:rPr>
                <w:rFonts w:hint="eastAsia" w:cs="Times New Roman"/>
                <w:smallCaps w:val="0"/>
                <w:color w:val="auto"/>
                <w:szCs w:val="21"/>
                <w:lang w:eastAsia="zh-CN"/>
              </w:rPr>
              <w:t>江苏省固体废物管理信息系统</w:t>
            </w:r>
            <w:r>
              <w:rPr>
                <w:rFonts w:hint="eastAsia" w:ascii="Times New Roman" w:hAnsi="Times New Roman" w:eastAsia="宋体" w:cs="Times New Roman"/>
                <w:smallCaps w:val="0"/>
                <w:color w:val="auto"/>
                <w:szCs w:val="21"/>
              </w:rPr>
              <w:t>”中进行如实规范申报，申报数据应与台账、管理计划数据相一致。</w:t>
            </w:r>
          </w:p>
          <w:p w14:paraId="7ECD51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smallCaps w:val="0"/>
                <w:color w:val="auto"/>
                <w:szCs w:val="21"/>
                <w:lang w:val="en-US" w:eastAsia="zh-CN"/>
              </w:rPr>
            </w:pPr>
            <w:r>
              <w:rPr>
                <w:rFonts w:hint="eastAsia" w:ascii="Times New Roman" w:hAnsi="Times New Roman" w:eastAsia="宋体" w:cs="Times New Roman"/>
                <w:smallCaps w:val="0"/>
                <w:color w:val="auto"/>
                <w:szCs w:val="21"/>
                <w:lang w:val="en-US" w:eastAsia="zh-CN"/>
              </w:rPr>
              <w:t>I.强化转移过程管理。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w:t>
            </w:r>
            <w:r>
              <w:rPr>
                <w:rFonts w:hint="eastAsia" w:cs="Times New Roman"/>
                <w:smallCaps w:val="0"/>
                <w:color w:val="auto"/>
                <w:szCs w:val="21"/>
                <w:lang w:val="en-US" w:eastAsia="zh-CN"/>
              </w:rPr>
              <w:t>经营单位</w:t>
            </w:r>
            <w:r>
              <w:rPr>
                <w:rFonts w:hint="eastAsia" w:ascii="Times New Roman" w:hAnsi="Times New Roman" w:eastAsia="宋体" w:cs="Times New Roman"/>
                <w:smallCaps w:val="0"/>
                <w:color w:val="auto"/>
                <w:szCs w:val="21"/>
                <w:lang w:val="en-US" w:eastAsia="zh-CN"/>
              </w:rPr>
              <w:t>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w:t>
            </w:r>
          </w:p>
          <w:p w14:paraId="60C2D5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宋体"/>
                <w:smallCaps w:val="0"/>
                <w:color w:val="auto"/>
                <w:kern w:val="0"/>
                <w:szCs w:val="21"/>
              </w:rPr>
            </w:pPr>
            <w:r>
              <w:rPr>
                <w:rFonts w:hint="eastAsia" w:cs="Times New Roman"/>
                <w:smallCaps w:val="0"/>
                <w:color w:val="auto"/>
                <w:szCs w:val="21"/>
                <w:lang w:val="en-US" w:eastAsia="zh-CN"/>
              </w:rPr>
              <w:t>J.</w:t>
            </w:r>
            <w:r>
              <w:rPr>
                <w:rFonts w:hint="eastAsia" w:ascii="Times New Roman" w:hAnsi="Times New Roman" w:eastAsia="宋体" w:cs="Times New Roman"/>
                <w:smallCaps w:val="0"/>
                <w:color w:val="auto"/>
                <w:szCs w:val="21"/>
              </w:rPr>
              <w:t>落实信息公开制度，危险废物环境重点监管单位要在出入口、设施内部、危险废物运输车辆通道等关键位置设置视频监控并与中控室联网，通过设立公开栏、标志牌等方式，主动公开危险废物产生和利用处置等有关信息。危险废物环境重点监管单位要在出入口、设施内部、危险废物运输车辆通道等关键位置设置视频监控并与中控室联网，通过设立公开栏、标志牌等方式，主动公开危险废物产生和利用处置等有关信息。危险废物环境重点监管单位要在出入口、设施内部、危险废物运输车辆通道等关键位置设置视频监控并与中控室联网，通过设立公开栏、标志牌等方式，主动公开危险废物产生和利用处置等有关信息。危险废物环境重点监管单位要在出入口、设施内部、危险废物运输车辆通道等关键位置设置视频监控并与中控室联网，通过设立公开栏、标志牌 等方式，主动公开危险废物产生和利用处置等有关信息。</w:t>
            </w:r>
          </w:p>
          <w:p w14:paraId="4EF887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②</w:t>
            </w:r>
            <w:r>
              <w:rPr>
                <w:rFonts w:hint="eastAsia" w:ascii="Times New Roman" w:hAnsi="Times New Roman" w:eastAsia="宋体" w:cs="宋体"/>
                <w:b/>
                <w:bCs/>
                <w:smallCaps w:val="0"/>
                <w:color w:val="auto"/>
                <w:kern w:val="0"/>
                <w:szCs w:val="21"/>
                <w:lang w:val="en-US" w:eastAsia="zh-CN"/>
              </w:rPr>
              <w:t>危险废物贮存设施运行环境管理要求</w:t>
            </w:r>
          </w:p>
          <w:p w14:paraId="3884A0E2">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smallCaps w:val="0"/>
                <w:color w:val="auto"/>
                <w:szCs w:val="21"/>
              </w:rPr>
            </w:pPr>
            <w:r>
              <w:rPr>
                <w:rFonts w:hint="eastAsia" w:ascii="Times New Roman" w:hAnsi="Times New Roman" w:eastAsia="宋体" w:cs="Times New Roman"/>
                <w:smallCaps w:val="0"/>
                <w:color w:val="auto"/>
                <w:szCs w:val="21"/>
                <w:lang w:val="en-US" w:eastAsia="zh-CN"/>
              </w:rPr>
              <w:t>A.</w:t>
            </w:r>
            <w:r>
              <w:rPr>
                <w:rFonts w:hint="eastAsia" w:ascii="Times New Roman" w:hAnsi="Times New Roman" w:eastAsia="宋体" w:cs="Times New Roman"/>
                <w:smallCaps w:val="0"/>
                <w:color w:val="auto"/>
                <w:szCs w:val="21"/>
              </w:rPr>
              <w:t>危险废物存入贮存设施前应对危险废物类别和特性与危险废物标签等危险废物识别标志的一致性进行核验，不一致的或类别、特性不明的不应存入。</w:t>
            </w:r>
          </w:p>
          <w:p w14:paraId="2C307141">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smallCaps w:val="0"/>
                <w:color w:val="auto"/>
                <w:szCs w:val="21"/>
              </w:rPr>
            </w:pPr>
            <w:r>
              <w:rPr>
                <w:rFonts w:hint="eastAsia" w:ascii="Times New Roman" w:hAnsi="Times New Roman" w:eastAsia="宋体" w:cs="Times New Roman"/>
                <w:smallCaps w:val="0"/>
                <w:color w:val="auto"/>
                <w:szCs w:val="21"/>
                <w:lang w:val="en-US" w:eastAsia="zh-CN"/>
              </w:rPr>
              <w:t>B.</w:t>
            </w:r>
            <w:r>
              <w:rPr>
                <w:rFonts w:hint="eastAsia" w:ascii="Times New Roman" w:hAnsi="Times New Roman" w:eastAsia="宋体" w:cs="Times New Roman"/>
                <w:smallCaps w:val="0"/>
                <w:color w:val="auto"/>
                <w:szCs w:val="21"/>
              </w:rPr>
              <w:t>应定期检查危险废物的贮存状况，及时清理贮存设施地面，更换破损泄漏的危险废物贮存容器和包装物，保证堆存危险废物的防雨、防风、防扬尘等设施功能完好。</w:t>
            </w:r>
          </w:p>
          <w:p w14:paraId="3C3C87A1">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smallCaps w:val="0"/>
                <w:color w:val="auto"/>
                <w:szCs w:val="21"/>
              </w:rPr>
            </w:pPr>
            <w:r>
              <w:rPr>
                <w:rFonts w:hint="eastAsia" w:ascii="Times New Roman" w:hAnsi="Times New Roman" w:eastAsia="宋体" w:cs="Times New Roman"/>
                <w:smallCaps w:val="0"/>
                <w:color w:val="auto"/>
                <w:szCs w:val="21"/>
                <w:lang w:val="en-US" w:eastAsia="zh-CN"/>
              </w:rPr>
              <w:t>C.</w:t>
            </w:r>
            <w:r>
              <w:rPr>
                <w:rFonts w:hint="eastAsia" w:ascii="Times New Roman" w:hAnsi="Times New Roman" w:eastAsia="宋体" w:cs="Times New Roman"/>
                <w:smallCaps w:val="0"/>
                <w:color w:val="auto"/>
                <w:szCs w:val="21"/>
              </w:rPr>
              <w:t>作业设备及车辆等结束作业离开贮存设施时，应对其残留的危险废物进行清理，清理的废物或清洗废水应收集处理。</w:t>
            </w:r>
          </w:p>
          <w:p w14:paraId="42E11728">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smallCaps w:val="0"/>
                <w:color w:val="auto"/>
                <w:szCs w:val="21"/>
              </w:rPr>
            </w:pPr>
            <w:r>
              <w:rPr>
                <w:rFonts w:hint="eastAsia" w:ascii="Times New Roman" w:hAnsi="Times New Roman" w:eastAsia="宋体" w:cs="Times New Roman"/>
                <w:smallCaps w:val="0"/>
                <w:color w:val="auto"/>
                <w:szCs w:val="21"/>
                <w:lang w:val="en-US" w:eastAsia="zh-CN"/>
              </w:rPr>
              <w:t>D.</w:t>
            </w:r>
            <w:r>
              <w:rPr>
                <w:rFonts w:hint="eastAsia" w:ascii="Times New Roman" w:hAnsi="Times New Roman" w:eastAsia="宋体" w:cs="Times New Roman"/>
                <w:smallCaps w:val="0"/>
                <w:color w:val="auto"/>
                <w:szCs w:val="21"/>
              </w:rPr>
              <w:t>贮存设施运行期间，应按国家有关标准和规定建立危险废物管理台账并保存。</w:t>
            </w:r>
          </w:p>
          <w:p w14:paraId="2B9762E0">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smallCaps w:val="0"/>
                <w:color w:val="auto"/>
                <w:szCs w:val="21"/>
              </w:rPr>
            </w:pPr>
            <w:r>
              <w:rPr>
                <w:rFonts w:hint="eastAsia" w:ascii="Times New Roman" w:hAnsi="Times New Roman" w:eastAsia="宋体" w:cs="Times New Roman"/>
                <w:smallCaps w:val="0"/>
                <w:color w:val="auto"/>
                <w:szCs w:val="21"/>
                <w:lang w:val="en-US" w:eastAsia="zh-CN"/>
              </w:rPr>
              <w:t>E.</w:t>
            </w:r>
            <w:r>
              <w:rPr>
                <w:rFonts w:hint="eastAsia" w:ascii="Times New Roman" w:hAnsi="Times New Roman" w:eastAsia="宋体" w:cs="Times New Roman"/>
                <w:smallCaps w:val="0"/>
                <w:color w:val="auto"/>
                <w:szCs w:val="21"/>
              </w:rPr>
              <w:t>贮存设施所有者或运营者应建立贮存设施环境管理制度、管理人员岗位职责制度、设施运行操作制度、人员岗位培训制度等。</w:t>
            </w:r>
          </w:p>
          <w:p w14:paraId="6FAC3F40">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smallCaps w:val="0"/>
                <w:color w:val="auto"/>
                <w:szCs w:val="21"/>
              </w:rPr>
            </w:pPr>
            <w:r>
              <w:rPr>
                <w:rFonts w:hint="eastAsia" w:ascii="Times New Roman" w:hAnsi="Times New Roman" w:eastAsia="宋体" w:cs="Times New Roman"/>
                <w:smallCaps w:val="0"/>
                <w:color w:val="auto"/>
                <w:szCs w:val="21"/>
                <w:lang w:val="en-US" w:eastAsia="zh-CN"/>
              </w:rPr>
              <w:t>F.</w:t>
            </w:r>
            <w:r>
              <w:rPr>
                <w:rFonts w:hint="eastAsia" w:ascii="Times New Roman" w:hAnsi="Times New Roman" w:eastAsia="宋体" w:cs="Times New Roman"/>
                <w:smallCaps w:val="0"/>
                <w:color w:val="auto"/>
                <w:szCs w:val="21"/>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17E7D7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smallCaps w:val="0"/>
                <w:color w:val="auto"/>
                <w:szCs w:val="21"/>
                <w:lang w:val="en-US" w:eastAsia="zh-CN"/>
              </w:rPr>
              <w:t>G.</w:t>
            </w:r>
            <w:r>
              <w:rPr>
                <w:rFonts w:hint="eastAsia" w:ascii="Times New Roman" w:hAnsi="Times New Roman" w:eastAsia="宋体" w:cs="Times New Roman"/>
                <w:smallCaps w:val="0"/>
                <w:color w:val="auto"/>
                <w:szCs w:val="21"/>
              </w:rPr>
              <w:t>贮存设施所有者或运营者应建立贮存设施全部档案，包括设计、施工、验收、运行、监测和环境应急等，应按国家有关档案管理的法律法规进行整理和归档。</w:t>
            </w:r>
          </w:p>
          <w:p w14:paraId="421E8B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③</w:t>
            </w:r>
            <w:r>
              <w:rPr>
                <w:rFonts w:hint="default" w:ascii="Times New Roman" w:hAnsi="Times New Roman" w:eastAsia="宋体" w:cs="Times New Roman"/>
                <w:b/>
                <w:smallCaps w:val="0"/>
                <w:color w:val="auto"/>
                <w:szCs w:val="21"/>
              </w:rPr>
              <w:t>危险废物运输过程污染防治措施分析</w:t>
            </w:r>
          </w:p>
          <w:p w14:paraId="19A5064D">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smallCaps w:val="0"/>
                <w:color w:val="auto"/>
                <w:szCs w:val="21"/>
              </w:rPr>
            </w:pPr>
            <w:r>
              <w:rPr>
                <w:rFonts w:hint="eastAsia" w:ascii="Times New Roman" w:hAnsi="Times New Roman" w:eastAsia="宋体" w:cs="Times New Roman"/>
                <w:smallCaps w:val="0"/>
                <w:color w:val="auto"/>
                <w:szCs w:val="21"/>
                <w:lang w:val="en-US" w:eastAsia="zh-CN"/>
              </w:rPr>
              <w:t>A.</w:t>
            </w:r>
            <w:r>
              <w:rPr>
                <w:rFonts w:hint="default" w:ascii="Times New Roman" w:hAnsi="Times New Roman" w:eastAsia="宋体" w:cs="Times New Roman"/>
                <w:smallCaps w:val="0"/>
                <w:color w:val="auto"/>
                <w:szCs w:val="21"/>
              </w:rPr>
              <w:t>危险废物的运输车辆须经主管单位检查，并持有有关单位签发的许可证，负责运输的司机应通过培训，持有证明文件。</w:t>
            </w:r>
          </w:p>
          <w:p w14:paraId="62F95019">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smallCaps w:val="0"/>
                <w:color w:val="auto"/>
                <w:szCs w:val="21"/>
              </w:rPr>
            </w:pPr>
            <w:r>
              <w:rPr>
                <w:rFonts w:hint="eastAsia" w:ascii="Times New Roman" w:hAnsi="Times New Roman" w:eastAsia="宋体" w:cs="Times New Roman"/>
                <w:smallCaps w:val="0"/>
                <w:color w:val="auto"/>
                <w:szCs w:val="21"/>
                <w:lang w:val="en-US" w:eastAsia="zh-CN"/>
              </w:rPr>
              <w:t>B.</w:t>
            </w:r>
            <w:r>
              <w:rPr>
                <w:rFonts w:hint="default" w:ascii="Times New Roman" w:hAnsi="Times New Roman" w:eastAsia="宋体" w:cs="Times New Roman"/>
                <w:smallCaps w:val="0"/>
                <w:color w:val="auto"/>
                <w:szCs w:val="21"/>
              </w:rPr>
              <w:t>承载危险废物的车辆须有明显的标志或适当的危险符号，以引起注意。</w:t>
            </w:r>
          </w:p>
          <w:p w14:paraId="0846D6B7">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smallCaps w:val="0"/>
                <w:color w:val="auto"/>
                <w:szCs w:val="21"/>
              </w:rPr>
            </w:pPr>
            <w:r>
              <w:rPr>
                <w:rFonts w:hint="eastAsia" w:ascii="Times New Roman" w:hAnsi="Times New Roman" w:eastAsia="宋体" w:cs="Times New Roman"/>
                <w:smallCaps w:val="0"/>
                <w:color w:val="auto"/>
                <w:szCs w:val="21"/>
                <w:lang w:val="en-US" w:eastAsia="zh-CN"/>
              </w:rPr>
              <w:t>C.</w:t>
            </w:r>
            <w:r>
              <w:rPr>
                <w:rFonts w:hint="default" w:ascii="Times New Roman" w:hAnsi="Times New Roman" w:eastAsia="宋体" w:cs="Times New Roman"/>
                <w:smallCaps w:val="0"/>
                <w:color w:val="auto"/>
                <w:szCs w:val="21"/>
              </w:rPr>
              <w:t>载有危险废物的车辆在公路上行驶时，需持有运输许可证，其上应注明废物来源、性质和运往地点。</w:t>
            </w:r>
          </w:p>
          <w:p w14:paraId="279A7C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smallCaps w:val="0"/>
                <w:color w:val="auto"/>
                <w:szCs w:val="21"/>
                <w:lang w:val="en-US" w:eastAsia="zh-CN"/>
              </w:rPr>
              <w:t>D.</w:t>
            </w:r>
            <w:r>
              <w:rPr>
                <w:rFonts w:hint="default" w:ascii="Times New Roman" w:hAnsi="Times New Roman" w:eastAsia="宋体" w:cs="Times New Roman"/>
                <w:smallCaps w:val="0"/>
                <w:color w:val="auto"/>
                <w:szCs w:val="21"/>
              </w:rPr>
              <w:t>组织危险废物的运输单位，在事先需</w:t>
            </w:r>
            <w:r>
              <w:rPr>
                <w:rFonts w:hint="eastAsia" w:cs="Times New Roman"/>
                <w:smallCaps w:val="0"/>
                <w:color w:val="auto"/>
                <w:szCs w:val="21"/>
                <w:lang w:eastAsia="zh-CN"/>
              </w:rPr>
              <w:t>做出</w:t>
            </w:r>
            <w:r>
              <w:rPr>
                <w:rFonts w:hint="default" w:ascii="Times New Roman" w:hAnsi="Times New Roman" w:eastAsia="宋体" w:cs="Times New Roman"/>
                <w:smallCaps w:val="0"/>
                <w:color w:val="auto"/>
                <w:szCs w:val="21"/>
              </w:rPr>
              <w:t>周密的运输计划和行驶路线，其中包括有效的废物泄漏情况下的应急措施。</w:t>
            </w:r>
          </w:p>
          <w:p w14:paraId="7AE5D5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④</w:t>
            </w:r>
            <w:r>
              <w:rPr>
                <w:rFonts w:hint="default" w:ascii="Times New Roman" w:hAnsi="Times New Roman" w:eastAsia="宋体" w:cs="Times New Roman"/>
                <w:b/>
                <w:bCs/>
                <w:color w:val="auto"/>
                <w:lang w:val="en-US" w:eastAsia="zh-CN"/>
              </w:rPr>
              <w:t>一般固废贮运要求</w:t>
            </w:r>
          </w:p>
          <w:p w14:paraId="228390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根据《一般工业固体废物贮存和填埋污染控制标准》（GB18599-2020），</w:t>
            </w:r>
            <w:r>
              <w:rPr>
                <w:rFonts w:hint="eastAsia" w:eastAsia="宋体" w:cs="Times New Roman"/>
                <w:b w:val="0"/>
                <w:bCs w:val="0"/>
                <w:color w:val="auto"/>
                <w:lang w:val="en-US" w:eastAsia="zh-CN"/>
              </w:rPr>
              <w:t>一般固废堆场应按照</w:t>
            </w:r>
            <w:r>
              <w:rPr>
                <w:rFonts w:hint="default" w:ascii="Times New Roman" w:hAnsi="Times New Roman" w:eastAsia="宋体" w:cs="Times New Roman"/>
                <w:b w:val="0"/>
                <w:bCs w:val="0"/>
                <w:color w:val="auto"/>
                <w:lang w:val="en-US" w:eastAsia="zh-CN"/>
              </w:rPr>
              <w:t>“防渗漏、防雨淋、防扬尘”环境保护要求进行建设。</w:t>
            </w:r>
          </w:p>
          <w:p w14:paraId="38DA31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A</w:t>
            </w:r>
            <w:r>
              <w:rPr>
                <w:rFonts w:hint="eastAsia"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不相容的一般工业固体废物应设置不同的分区进行贮存和填埋作业；</w:t>
            </w:r>
          </w:p>
          <w:p w14:paraId="1F548E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B</w:t>
            </w:r>
            <w:r>
              <w:rPr>
                <w:rFonts w:hint="eastAsia"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危险废物和生活垃圾不得进入一般工业固体废物贮存场及填埋场。国家及地方有关法律法规、标准另有规定的除外；</w:t>
            </w:r>
          </w:p>
          <w:p w14:paraId="16E916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C</w:t>
            </w:r>
            <w:r>
              <w:rPr>
                <w:rFonts w:hint="eastAsia"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易产生扬尘的贮存或填埋场应采取分区作业、覆盖、洒水等有效抑尘措施防止扬尘污染。尾矿库应采取均匀放矿、洒水抑尘等措施防止干滩扬尘污染。</w:t>
            </w:r>
          </w:p>
          <w:p w14:paraId="3CF4E6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eastAsia" w:eastAsia="宋体" w:cs="Times New Roman"/>
                <w:b w:val="0"/>
                <w:bCs w:val="0"/>
                <w:color w:val="auto"/>
                <w:lang w:val="en-US" w:eastAsia="zh-CN"/>
              </w:rPr>
              <w:t>D.产生工业固体废物的单位建立工业固体废物管理台账，如实记录工业固体废物的种类、数量、流向、贮存、利用、处置等信息，</w:t>
            </w:r>
            <w:r>
              <w:rPr>
                <w:rFonts w:hint="eastAsia" w:ascii="Times New Roman" w:hAnsi="Times New Roman" w:eastAsia="宋体" w:cs="Times New Roman"/>
                <w:smallCaps w:val="0"/>
                <w:color w:val="auto"/>
                <w:szCs w:val="21"/>
              </w:rPr>
              <w:t>并在“</w:t>
            </w:r>
            <w:r>
              <w:rPr>
                <w:rFonts w:hint="eastAsia" w:cs="Times New Roman"/>
                <w:smallCaps w:val="0"/>
                <w:color w:val="auto"/>
                <w:szCs w:val="21"/>
                <w:lang w:eastAsia="zh-CN"/>
              </w:rPr>
              <w:t>江苏省固体废物管理信息系统</w:t>
            </w:r>
            <w:r>
              <w:rPr>
                <w:rFonts w:hint="eastAsia" w:ascii="Times New Roman" w:hAnsi="Times New Roman" w:eastAsia="宋体" w:cs="Times New Roman"/>
                <w:smallCaps w:val="0"/>
                <w:color w:val="auto"/>
                <w:szCs w:val="21"/>
              </w:rPr>
              <w:t>”中备案</w:t>
            </w:r>
            <w:r>
              <w:rPr>
                <w:rFonts w:hint="eastAsia" w:ascii="Times New Roman" w:hAnsi="Times New Roman" w:eastAsia="宋体" w:cs="Times New Roman"/>
                <w:smallCaps w:val="0"/>
                <w:color w:val="auto"/>
                <w:szCs w:val="21"/>
                <w:lang w:eastAsia="zh-CN"/>
              </w:rPr>
              <w:t>，</w:t>
            </w:r>
            <w:r>
              <w:rPr>
                <w:rFonts w:hint="eastAsia" w:eastAsia="宋体" w:cs="Times New Roman"/>
                <w:b w:val="0"/>
                <w:bCs w:val="0"/>
                <w:color w:val="auto"/>
                <w:lang w:val="en-US" w:eastAsia="zh-CN"/>
              </w:rPr>
              <w:t>可以实现工业固体废物可追溯、可查询的目的，推动企业提升固体废物管理水平。</w:t>
            </w:r>
          </w:p>
          <w:p w14:paraId="095A1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5、地下水、土壤</w:t>
            </w:r>
          </w:p>
          <w:p w14:paraId="385E8A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（一）污染防治措施</w:t>
            </w:r>
          </w:p>
          <w:p w14:paraId="2A378F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为避免本项目生产过程中对地下水及土壤的危害，采取以下措施：</w:t>
            </w:r>
          </w:p>
          <w:p w14:paraId="50220C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①源头上控制对土壤的污染</w:t>
            </w:r>
          </w:p>
          <w:p w14:paraId="4FD28A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实施清洁生产和循环经济，减少污染物的排放量。从设计、管理各种工艺设备和物料运输线路上，防止和减少污染物的跑冒滴漏；合理布局，减少污染物泄漏途径。</w:t>
            </w:r>
          </w:p>
          <w:p w14:paraId="456E12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②</w:t>
            </w:r>
            <w:bookmarkStart w:id="15" w:name="_Hlk82091839"/>
            <w:r>
              <w:rPr>
                <w:rFonts w:hint="eastAsia" w:ascii="Times New Roman" w:hAnsi="Times New Roman" w:eastAsia="宋体" w:cs="Times New Roman"/>
                <w:b w:val="0"/>
                <w:bCs w:val="0"/>
                <w:color w:val="auto"/>
                <w:lang w:val="en-US" w:eastAsia="zh-CN"/>
              </w:rPr>
              <w:t>简单防渗区为办公区域，进行一般地面硬化。</w:t>
            </w:r>
          </w:p>
          <w:bookmarkEnd w:id="15"/>
          <w:p w14:paraId="2340D1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③</w:t>
            </w:r>
            <w:r>
              <w:rPr>
                <w:rFonts w:hint="default" w:ascii="Times New Roman" w:hAnsi="Times New Roman" w:eastAsia="宋体" w:cs="Times New Roman"/>
                <w:b w:val="0"/>
                <w:bCs w:val="0"/>
                <w:color w:val="auto"/>
                <w:lang w:val="en-US" w:eastAsia="zh-CN"/>
              </w:rPr>
              <w:t>一般防渗区</w:t>
            </w:r>
          </w:p>
          <w:p w14:paraId="411BE5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一般污染防渗区包括：厂区内</w:t>
            </w:r>
            <w:r>
              <w:rPr>
                <w:rFonts w:hint="eastAsia" w:ascii="Times New Roman" w:hAnsi="Times New Roman" w:eastAsia="宋体" w:cs="Times New Roman"/>
                <w:b w:val="0"/>
                <w:bCs w:val="0"/>
                <w:color w:val="auto"/>
                <w:lang w:val="en-US" w:eastAsia="zh-CN"/>
              </w:rPr>
              <w:t>生产</w:t>
            </w:r>
            <w:r>
              <w:rPr>
                <w:rFonts w:hint="default" w:ascii="Times New Roman" w:hAnsi="Times New Roman" w:eastAsia="宋体" w:cs="Times New Roman"/>
                <w:b w:val="0"/>
                <w:bCs w:val="0"/>
                <w:color w:val="auto"/>
                <w:lang w:val="en-US" w:eastAsia="zh-CN"/>
              </w:rPr>
              <w:t>区域，自上而下采用人工大理石或水泥防渗结构，车间地面全部进行混凝硬化。根据《环境影响评价技术导则 地下水环境》（HJ610-2016），主要防渗技术要求为：等效黏土防渗层Mb≥1.5m，K≤10</w:t>
            </w:r>
            <w:r>
              <w:rPr>
                <w:rFonts w:hint="default" w:ascii="Times New Roman" w:hAnsi="Times New Roman" w:eastAsia="宋体" w:cs="Times New Roman"/>
                <w:b w:val="0"/>
                <w:bCs w:val="0"/>
                <w:color w:val="auto"/>
                <w:vertAlign w:val="superscript"/>
                <w:lang w:val="en-US" w:eastAsia="zh-CN"/>
              </w:rPr>
              <w:t>-7</w:t>
            </w:r>
            <w:r>
              <w:rPr>
                <w:rFonts w:hint="default" w:ascii="Times New Roman" w:hAnsi="Times New Roman" w:eastAsia="宋体" w:cs="Times New Roman"/>
                <w:b w:val="0"/>
                <w:bCs w:val="0"/>
                <w:color w:val="auto"/>
                <w:lang w:val="en-US" w:eastAsia="zh-CN"/>
              </w:rPr>
              <w:t>cm/s；或参照GB16889执行。</w:t>
            </w:r>
          </w:p>
          <w:p w14:paraId="173DC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④重点防渗区</w:t>
            </w:r>
          </w:p>
          <w:p w14:paraId="30733D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重点防渗区为危废仓库、</w:t>
            </w:r>
            <w:r>
              <w:rPr>
                <w:rFonts w:hint="eastAsia" w:cs="Times New Roman"/>
                <w:b w:val="0"/>
                <w:bCs w:val="0"/>
                <w:color w:val="auto"/>
                <w:lang w:val="en-US" w:eastAsia="zh-CN"/>
              </w:rPr>
              <w:t>炼胶房、</w:t>
            </w:r>
            <w:r>
              <w:rPr>
                <w:rFonts w:hint="eastAsia" w:ascii="Times New Roman" w:hAnsi="Times New Roman" w:eastAsia="宋体" w:cs="Times New Roman"/>
                <w:b w:val="0"/>
                <w:bCs w:val="0"/>
                <w:color w:val="auto"/>
                <w:lang w:val="en-US" w:eastAsia="zh-CN"/>
              </w:rPr>
              <w:t>原辅料</w:t>
            </w:r>
            <w:r>
              <w:rPr>
                <w:rFonts w:hint="eastAsia" w:cs="Times New Roman"/>
                <w:b w:val="0"/>
                <w:bCs w:val="0"/>
                <w:color w:val="auto"/>
                <w:lang w:val="en-US" w:eastAsia="zh-CN"/>
              </w:rPr>
              <w:t>堆放区等</w:t>
            </w:r>
            <w:r>
              <w:rPr>
                <w:rFonts w:hint="eastAsia" w:ascii="Times New Roman" w:hAnsi="Times New Roman" w:eastAsia="宋体" w:cs="Times New Roman"/>
                <w:b w:val="0"/>
                <w:bCs w:val="0"/>
                <w:color w:val="auto"/>
                <w:lang w:val="en-US" w:eastAsia="zh-CN"/>
              </w:rPr>
              <w:t>，按照《省生态环境厅关于印发江苏省固体废物全过程环境监管工作意见的通知》（苏环办〔2024〕16号）</w:t>
            </w:r>
            <w:r>
              <w:rPr>
                <w:rFonts w:hint="eastAsia" w:cs="Times New Roman"/>
                <w:b w:val="0"/>
                <w:bCs w:val="0"/>
                <w:color w:val="auto"/>
                <w:lang w:val="en-US" w:eastAsia="zh-CN"/>
              </w:rPr>
              <w:t>、</w:t>
            </w:r>
            <w:r>
              <w:rPr>
                <w:rFonts w:hint="eastAsia" w:ascii="Times New Roman" w:hAnsi="Times New Roman" w:eastAsia="宋体" w:cs="Times New Roman"/>
                <w:b w:val="0"/>
                <w:bCs w:val="0"/>
                <w:color w:val="auto"/>
                <w:lang w:val="en-US" w:eastAsia="zh-CN"/>
              </w:rPr>
              <w:t>《危险废物贮存污染控制标准》（GB18597-2023）等相关要求，对墙体及地面做防腐、防渗措施，地面基础必须防渗，防渗层为2mm厚高密度聚乙烯，或至少2mm厚</w:t>
            </w:r>
            <w:r>
              <w:rPr>
                <w:rFonts w:hint="eastAsia" w:cs="Times New Roman"/>
                <w:b w:val="0"/>
                <w:bCs w:val="0"/>
                <w:color w:val="auto"/>
                <w:lang w:val="en-US" w:eastAsia="zh-CN"/>
              </w:rPr>
              <w:t>的其他</w:t>
            </w:r>
            <w:r>
              <w:rPr>
                <w:rFonts w:hint="eastAsia" w:ascii="Times New Roman" w:hAnsi="Times New Roman" w:eastAsia="宋体" w:cs="Times New Roman"/>
                <w:b w:val="0"/>
                <w:bCs w:val="0"/>
                <w:color w:val="auto"/>
                <w:lang w:val="en-US" w:eastAsia="zh-CN"/>
              </w:rPr>
              <w:t>人工材料，渗透系数≤10</w:t>
            </w:r>
            <w:r>
              <w:rPr>
                <w:rFonts w:hint="eastAsia" w:ascii="Times New Roman" w:hAnsi="Times New Roman" w:eastAsia="宋体" w:cs="Times New Roman"/>
                <w:b w:val="0"/>
                <w:bCs w:val="0"/>
                <w:color w:val="auto"/>
                <w:vertAlign w:val="superscript"/>
                <w:lang w:val="en-US" w:eastAsia="zh-CN"/>
              </w:rPr>
              <w:t>-10</w:t>
            </w:r>
            <w:r>
              <w:rPr>
                <w:rFonts w:hint="eastAsia" w:ascii="Times New Roman" w:hAnsi="Times New Roman" w:eastAsia="宋体" w:cs="Times New Roman"/>
                <w:b w:val="0"/>
                <w:bCs w:val="0"/>
                <w:color w:val="auto"/>
                <w:lang w:val="en-US" w:eastAsia="zh-CN"/>
              </w:rPr>
              <w:t>cm/s。</w:t>
            </w:r>
          </w:p>
          <w:p w14:paraId="2FD2E0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⑤</w:t>
            </w:r>
            <w:r>
              <w:rPr>
                <w:rFonts w:hint="default" w:ascii="Times New Roman" w:hAnsi="Times New Roman" w:eastAsia="宋体" w:cs="Times New Roman"/>
                <w:b w:val="0"/>
                <w:bCs w:val="0"/>
                <w:color w:val="auto"/>
                <w:lang w:val="en-US" w:eastAsia="zh-CN"/>
              </w:rPr>
              <w:t>绿化及管理</w:t>
            </w:r>
          </w:p>
          <w:p w14:paraId="27A23F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厂区占地范围内应采取绿化措施，以种植具有较强吸附能力的植物为主。同时建立跟踪监测制度，制定跟踪监测计划，以便及时发现问题，采取措施。</w:t>
            </w:r>
          </w:p>
          <w:p w14:paraId="34BDA0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项目采取以上措施，可有效防止本项目生产过程中对地下水及土壤产生污染。</w:t>
            </w:r>
          </w:p>
          <w:p w14:paraId="5E15BF6A">
            <w:pPr>
              <w:pStyle w:val="25"/>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22"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二</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地下水、土壤污染分析</w:t>
            </w:r>
          </w:p>
          <w:p w14:paraId="0E6306D7">
            <w:pPr>
              <w:pStyle w:val="25"/>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危废仓库、</w:t>
            </w:r>
            <w:r>
              <w:rPr>
                <w:rFonts w:hint="eastAsia" w:ascii="Times New Roman" w:hAnsi="Times New Roman" w:eastAsia="宋体" w:cs="Times New Roman"/>
                <w:color w:val="auto"/>
                <w:sz w:val="21"/>
                <w:szCs w:val="21"/>
                <w:lang w:val="en-US" w:eastAsia="zh-CN"/>
              </w:rPr>
              <w:t>炼胶</w:t>
            </w:r>
            <w:r>
              <w:rPr>
                <w:rFonts w:hint="default" w:ascii="Times New Roman" w:hAnsi="Times New Roman" w:eastAsia="宋体" w:cs="Times New Roman"/>
                <w:color w:val="auto"/>
                <w:sz w:val="21"/>
                <w:szCs w:val="21"/>
                <w:lang w:val="en-US" w:eastAsia="zh-CN"/>
              </w:rPr>
              <w:t>房</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原辅料</w:t>
            </w:r>
            <w:r>
              <w:rPr>
                <w:rFonts w:hint="eastAsia" w:ascii="Times New Roman" w:hAnsi="Times New Roman" w:eastAsia="宋体" w:cs="Times New Roman"/>
                <w:color w:val="auto"/>
                <w:sz w:val="21"/>
                <w:szCs w:val="21"/>
                <w:lang w:val="en-US" w:eastAsia="zh-CN"/>
              </w:rPr>
              <w:t>堆放区</w:t>
            </w:r>
            <w:r>
              <w:rPr>
                <w:rFonts w:hint="default" w:ascii="Times New Roman" w:hAnsi="Times New Roman" w:eastAsia="宋体" w:cs="Times New Roman"/>
                <w:color w:val="auto"/>
                <w:sz w:val="21"/>
                <w:szCs w:val="21"/>
              </w:rPr>
              <w:t>设置防渗措施，</w:t>
            </w:r>
            <w:r>
              <w:rPr>
                <w:rFonts w:hint="default" w:ascii="Times New Roman" w:hAnsi="Times New Roman" w:eastAsia="宋体" w:cs="Times New Roman"/>
                <w:color w:val="auto"/>
                <w:sz w:val="21"/>
                <w:szCs w:val="21"/>
                <w:lang w:val="en-US" w:eastAsia="zh-CN"/>
              </w:rPr>
              <w:t>一般情况下，不会对</w:t>
            </w:r>
            <w:r>
              <w:rPr>
                <w:rFonts w:hint="default" w:ascii="Times New Roman" w:hAnsi="Times New Roman" w:eastAsia="宋体" w:cs="Times New Roman"/>
                <w:color w:val="auto"/>
                <w:sz w:val="21"/>
                <w:szCs w:val="21"/>
              </w:rPr>
              <w:t>地下水、土壤</w:t>
            </w:r>
            <w:r>
              <w:rPr>
                <w:rFonts w:hint="default" w:ascii="Times New Roman" w:hAnsi="Times New Roman" w:eastAsia="宋体" w:cs="Times New Roman"/>
                <w:color w:val="auto"/>
                <w:sz w:val="21"/>
                <w:szCs w:val="21"/>
                <w:lang w:val="en-US" w:eastAsia="zh-CN"/>
              </w:rPr>
              <w:t>产生污染影响</w:t>
            </w:r>
            <w:r>
              <w:rPr>
                <w:rFonts w:hint="default" w:ascii="Times New Roman" w:hAnsi="Times New Roman" w:eastAsia="宋体" w:cs="Times New Roman"/>
                <w:color w:val="auto"/>
                <w:sz w:val="21"/>
                <w:szCs w:val="21"/>
              </w:rPr>
              <w:t>。项目发生火灾事故时，产生的消防</w:t>
            </w:r>
            <w:r>
              <w:rPr>
                <w:rFonts w:hint="default" w:ascii="Times New Roman" w:hAnsi="Times New Roman" w:eastAsia="宋体" w:cs="Times New Roman"/>
                <w:color w:val="auto"/>
                <w:sz w:val="21"/>
                <w:szCs w:val="21"/>
                <w:lang w:val="en-US" w:eastAsia="zh-CN"/>
              </w:rPr>
              <w:t>尾</w:t>
            </w:r>
            <w:r>
              <w:rPr>
                <w:rFonts w:hint="default" w:ascii="Times New Roman" w:hAnsi="Times New Roman" w:eastAsia="宋体" w:cs="Times New Roman"/>
                <w:color w:val="auto"/>
                <w:sz w:val="21"/>
                <w:szCs w:val="21"/>
              </w:rPr>
              <w:t>水</w:t>
            </w:r>
            <w:r>
              <w:rPr>
                <w:rFonts w:hint="default" w:ascii="Times New Roman" w:hAnsi="Times New Roman" w:eastAsia="宋体" w:cs="Times New Roman"/>
                <w:color w:val="auto"/>
                <w:sz w:val="21"/>
                <w:szCs w:val="21"/>
                <w:lang w:val="en-US" w:eastAsia="zh-CN"/>
              </w:rPr>
              <w:t>可能有</w:t>
            </w:r>
            <w:r>
              <w:rPr>
                <w:rFonts w:hint="default" w:ascii="Times New Roman" w:hAnsi="Times New Roman" w:eastAsia="宋体" w:cs="Times New Roman"/>
                <w:color w:val="auto"/>
                <w:sz w:val="21"/>
                <w:szCs w:val="21"/>
              </w:rPr>
              <w:t>渗透污染</w:t>
            </w:r>
            <w:r>
              <w:rPr>
                <w:rFonts w:hint="default" w:ascii="Times New Roman" w:hAnsi="Times New Roman" w:eastAsia="宋体" w:cs="Times New Roman"/>
                <w:color w:val="auto"/>
                <w:sz w:val="21"/>
                <w:szCs w:val="21"/>
                <w:lang w:val="en-US" w:eastAsia="zh-CN"/>
              </w:rPr>
              <w:t>土壤及</w:t>
            </w:r>
            <w:r>
              <w:rPr>
                <w:rFonts w:hint="default" w:ascii="Times New Roman" w:hAnsi="Times New Roman" w:eastAsia="宋体" w:cs="Times New Roman"/>
                <w:color w:val="auto"/>
                <w:sz w:val="21"/>
                <w:szCs w:val="21"/>
              </w:rPr>
              <w:t>地下水的风险。</w:t>
            </w:r>
          </w:p>
          <w:p w14:paraId="25FC68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6、环境风险</w:t>
            </w:r>
          </w:p>
          <w:p w14:paraId="36ABA8F3">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eastAsia="zh-CN"/>
              </w:rPr>
              <w:t>（</w:t>
            </w:r>
            <w:r>
              <w:rPr>
                <w:rFonts w:hint="eastAsia" w:ascii="Times New Roman" w:hAnsi="Times New Roman" w:cs="Times New Roman"/>
                <w:b/>
                <w:bCs/>
                <w:color w:val="auto"/>
                <w:lang w:val="en-US" w:eastAsia="zh-CN"/>
              </w:rPr>
              <w:t>1</w:t>
            </w:r>
            <w:r>
              <w:rPr>
                <w:rFonts w:hint="eastAsia" w:ascii="Times New Roman" w:hAnsi="Times New Roman" w:cs="Times New Roman"/>
                <w:b/>
                <w:bCs/>
                <w:color w:val="auto"/>
                <w:lang w:eastAsia="zh-CN"/>
              </w:rPr>
              <w:t>）</w:t>
            </w:r>
            <w:r>
              <w:rPr>
                <w:rFonts w:hint="eastAsia" w:ascii="Times New Roman" w:hAnsi="Times New Roman" w:cs="Times New Roman"/>
                <w:b/>
                <w:bCs/>
                <w:color w:val="auto"/>
                <w:lang w:val="en-US" w:eastAsia="zh-CN"/>
              </w:rPr>
              <w:t>风险调查</w:t>
            </w:r>
          </w:p>
          <w:p w14:paraId="4896F057">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根据</w:t>
            </w:r>
            <w:r>
              <w:rPr>
                <w:rFonts w:hint="default" w:ascii="Times New Roman" w:hAnsi="Times New Roman" w:cs="Times New Roman"/>
                <w:color w:val="auto"/>
              </w:rPr>
              <w:t>《建设项目环境风险评价技术导则》（HJ l69-2018）附录B表B.1内容，本项目涉及的风险物质主要</w:t>
            </w:r>
            <w:r>
              <w:rPr>
                <w:rFonts w:hint="eastAsia" w:ascii="Times New Roman" w:hAnsi="Times New Roman" w:cs="Times New Roman"/>
                <w:color w:val="auto"/>
                <w:lang w:val="en-US" w:eastAsia="zh-CN"/>
              </w:rPr>
              <w:t>为</w:t>
            </w:r>
            <w:r>
              <w:rPr>
                <w:rFonts w:hint="eastAsia" w:cs="Times New Roman"/>
                <w:color w:val="auto"/>
                <w:lang w:val="en-US" w:eastAsia="zh-CN"/>
              </w:rPr>
              <w:t>液态物料</w:t>
            </w:r>
            <w:r>
              <w:rPr>
                <w:rFonts w:hint="eastAsia" w:ascii="Times New Roman" w:hAnsi="Times New Roman" w:cs="Times New Roman"/>
                <w:color w:val="auto"/>
                <w:lang w:val="en-US" w:eastAsia="zh-CN"/>
              </w:rPr>
              <w:t>泄漏以及</w:t>
            </w:r>
            <w:r>
              <w:rPr>
                <w:rFonts w:hint="default" w:ascii="Times New Roman" w:hAnsi="Times New Roman" w:cs="Times New Roman"/>
                <w:color w:val="auto"/>
              </w:rPr>
              <w:t>爆炸/火灾伴生的一氧化碳</w:t>
            </w:r>
            <w:r>
              <w:rPr>
                <w:rFonts w:hint="eastAsia" w:ascii="Times New Roman" w:hAnsi="Times New Roman" w:cs="Times New Roman"/>
                <w:color w:val="auto"/>
                <w:lang w:val="en-US" w:eastAsia="zh-CN"/>
              </w:rPr>
              <w:t>等</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具体情况如下：</w:t>
            </w:r>
          </w:p>
          <w:p w14:paraId="0E2B6019">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①风险源调查</w:t>
            </w:r>
          </w:p>
          <w:p w14:paraId="76B194A2">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b/>
                <w:bCs/>
                <w:color w:val="auto"/>
                <w:lang w:val="en-US" w:eastAsia="zh-CN"/>
              </w:rPr>
            </w:pPr>
            <w:r>
              <w:rPr>
                <w:rFonts w:hint="eastAsia" w:ascii="Times New Roman" w:hAnsi="Times New Roman" w:cs="Times New Roman"/>
                <w:b w:val="0"/>
                <w:bCs w:val="0"/>
                <w:color w:val="auto"/>
                <w:lang w:val="en-US" w:eastAsia="zh-CN"/>
              </w:rPr>
              <w:t>涉环境风险物质如下表。</w:t>
            </w:r>
          </w:p>
          <w:p w14:paraId="6C817AAC">
            <w:pPr>
              <w:pStyle w:val="2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29</w:t>
            </w:r>
            <w:r>
              <w:rPr>
                <w:rFonts w:hint="default" w:ascii="Times New Roman" w:hAnsi="Times New Roman" w:eastAsia="宋体" w:cs="Times New Roman"/>
                <w:b/>
                <w:bCs/>
                <w:color w:val="auto"/>
                <w:sz w:val="21"/>
                <w:szCs w:val="21"/>
              </w:rPr>
              <w:t xml:space="preserve">  其他危险物质识别依据一览表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5"/>
              <w:gridCol w:w="3557"/>
              <w:gridCol w:w="4397"/>
            </w:tblGrid>
            <w:tr w14:paraId="77F0C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85" w:type="dxa"/>
                  <w:noWrap w:val="0"/>
                  <w:vAlign w:val="center"/>
                </w:tcPr>
                <w:p w14:paraId="0FDFE3B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序号</w:t>
                  </w:r>
                </w:p>
              </w:tc>
              <w:tc>
                <w:tcPr>
                  <w:tcW w:w="3557" w:type="dxa"/>
                  <w:noWrap w:val="0"/>
                  <w:vAlign w:val="center"/>
                </w:tcPr>
                <w:p w14:paraId="7B23154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危险物质名称</w:t>
                  </w:r>
                </w:p>
              </w:tc>
              <w:tc>
                <w:tcPr>
                  <w:tcW w:w="4397" w:type="dxa"/>
                  <w:noWrap w:val="0"/>
                  <w:vAlign w:val="center"/>
                </w:tcPr>
                <w:p w14:paraId="4B7ECD2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分布情况及最大存在量</w:t>
                  </w:r>
                  <w:r>
                    <w:rPr>
                      <w:rFonts w:hint="eastAsia" w:eastAsia="仿宋" w:cs="Times New Roman"/>
                      <w:color w:val="auto"/>
                      <w:szCs w:val="21"/>
                      <w:lang w:val="en-US" w:eastAsia="zh-CN"/>
                    </w:rPr>
                    <w:t>，t</w:t>
                  </w:r>
                </w:p>
              </w:tc>
            </w:tr>
            <w:tr w14:paraId="3B119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85" w:type="dxa"/>
                  <w:noWrap w:val="0"/>
                  <w:vAlign w:val="center"/>
                </w:tcPr>
                <w:p w14:paraId="2F9A04D9">
                  <w:pPr>
                    <w:keepNext w:val="0"/>
                    <w:keepLines w:val="0"/>
                    <w:widowControl/>
                    <w:numPr>
                      <w:ilvl w:val="0"/>
                      <w:numId w:val="14"/>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3557" w:type="dxa"/>
                  <w:noWrap w:val="0"/>
                  <w:vAlign w:val="center"/>
                </w:tcPr>
                <w:p w14:paraId="222DE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切削液</w:t>
                  </w:r>
                </w:p>
              </w:tc>
              <w:tc>
                <w:tcPr>
                  <w:tcW w:w="4397" w:type="dxa"/>
                  <w:noWrap w:val="0"/>
                  <w:vAlign w:val="center"/>
                </w:tcPr>
                <w:p w14:paraId="587F431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原辅料堆放区，0.4</w:t>
                  </w:r>
                </w:p>
              </w:tc>
            </w:tr>
            <w:tr w14:paraId="7ED822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85" w:type="dxa"/>
                  <w:noWrap w:val="0"/>
                  <w:vAlign w:val="center"/>
                </w:tcPr>
                <w:p w14:paraId="23BB2304">
                  <w:pPr>
                    <w:keepNext w:val="0"/>
                    <w:keepLines w:val="0"/>
                    <w:widowControl/>
                    <w:numPr>
                      <w:ilvl w:val="0"/>
                      <w:numId w:val="14"/>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3557" w:type="dxa"/>
                  <w:shd w:val="clear" w:color="auto" w:fill="auto"/>
                  <w:noWrap w:val="0"/>
                  <w:vAlign w:val="center"/>
                </w:tcPr>
                <w:p w14:paraId="7EDD81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胶粘剂</w:t>
                  </w:r>
                </w:p>
              </w:tc>
              <w:tc>
                <w:tcPr>
                  <w:tcW w:w="4397" w:type="dxa"/>
                  <w:shd w:val="clear" w:color="auto" w:fill="auto"/>
                  <w:noWrap w:val="0"/>
                  <w:vAlign w:val="center"/>
                </w:tcPr>
                <w:p w14:paraId="74E1189D">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0"/>
                      <w:szCs w:val="21"/>
                      <w:lang w:eastAsia="zh-CN"/>
                    </w:rPr>
                    <w:t>原辅料堆放区</w:t>
                  </w:r>
                  <w:r>
                    <w:rPr>
                      <w:rFonts w:hint="eastAsia" w:ascii="Times New Roman" w:hAnsi="Times New Roman" w:eastAsia="仿宋" w:cs="Times New Roman"/>
                      <w:color w:val="auto"/>
                      <w:szCs w:val="21"/>
                      <w:lang w:val="en-US" w:eastAsia="zh-CN"/>
                    </w:rPr>
                    <w:t>，</w:t>
                  </w:r>
                  <w:r>
                    <w:rPr>
                      <w:rFonts w:hint="eastAsia" w:eastAsia="仿宋" w:cs="Times New Roman"/>
                      <w:color w:val="auto"/>
                      <w:szCs w:val="21"/>
                      <w:lang w:val="en-US" w:eastAsia="zh-CN"/>
                    </w:rPr>
                    <w:t>0.05</w:t>
                  </w:r>
                </w:p>
              </w:tc>
            </w:tr>
            <w:tr w14:paraId="1BEBE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85" w:type="dxa"/>
                  <w:noWrap w:val="0"/>
                  <w:vAlign w:val="center"/>
                </w:tcPr>
                <w:p w14:paraId="2BAF9BEC">
                  <w:pPr>
                    <w:keepNext w:val="0"/>
                    <w:keepLines w:val="0"/>
                    <w:widowControl/>
                    <w:numPr>
                      <w:ilvl w:val="0"/>
                      <w:numId w:val="14"/>
                    </w:numPr>
                    <w:suppressLineNumbers w:val="0"/>
                    <w:tabs>
                      <w:tab w:val="left" w:pos="420"/>
                      <w:tab w:val="clear" w:pos="0"/>
                    </w:tabs>
                    <w:spacing w:before="0" w:beforeAutospacing="0" w:after="0" w:afterAutospacing="0"/>
                    <w:ind w:left="0" w:leftChars="0" w:right="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3557" w:type="dxa"/>
                  <w:shd w:val="clear" w:color="auto" w:fill="auto"/>
                  <w:noWrap w:val="0"/>
                  <w:vAlign w:val="center"/>
                </w:tcPr>
                <w:p w14:paraId="017AA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废切削液</w:t>
                  </w:r>
                </w:p>
              </w:tc>
              <w:tc>
                <w:tcPr>
                  <w:tcW w:w="4397" w:type="dxa"/>
                  <w:shd w:val="clear" w:color="auto" w:fill="auto"/>
                  <w:noWrap w:val="0"/>
                  <w:vAlign w:val="center"/>
                </w:tcPr>
                <w:p w14:paraId="428A4280">
                  <w:pPr>
                    <w:keepNext w:val="0"/>
                    <w:keepLines w:val="0"/>
                    <w:suppressLineNumbers w:val="0"/>
                    <w:spacing w:before="0" w:beforeAutospacing="0" w:after="0" w:afterAutospacing="0"/>
                    <w:ind w:left="0" w:leftChars="0" w:right="0" w:rightChars="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危废仓库，0.025</w:t>
                  </w:r>
                </w:p>
              </w:tc>
            </w:tr>
            <w:tr w14:paraId="4B419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85" w:type="dxa"/>
                  <w:noWrap w:val="0"/>
                  <w:vAlign w:val="center"/>
                </w:tcPr>
                <w:p w14:paraId="4704F07F">
                  <w:pPr>
                    <w:keepNext w:val="0"/>
                    <w:keepLines w:val="0"/>
                    <w:widowControl/>
                    <w:numPr>
                      <w:ilvl w:val="0"/>
                      <w:numId w:val="14"/>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3557" w:type="dxa"/>
                  <w:shd w:val="clear" w:color="auto" w:fill="auto"/>
                  <w:noWrap w:val="0"/>
                  <w:vAlign w:val="center"/>
                </w:tcPr>
                <w:p w14:paraId="4AF397C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含胶劳保用品</w:t>
                  </w:r>
                </w:p>
              </w:tc>
              <w:tc>
                <w:tcPr>
                  <w:tcW w:w="4397" w:type="dxa"/>
                  <w:noWrap w:val="0"/>
                  <w:vAlign w:val="center"/>
                </w:tcPr>
                <w:p w14:paraId="1E2853E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危废仓库</w:t>
                  </w:r>
                  <w:r>
                    <w:rPr>
                      <w:rFonts w:hint="eastAsia" w:ascii="Times New Roman" w:hAnsi="Times New Roman" w:eastAsia="仿宋" w:cs="Times New Roman"/>
                      <w:color w:val="auto"/>
                      <w:szCs w:val="21"/>
                      <w:lang w:val="en-US" w:eastAsia="zh-CN"/>
                    </w:rPr>
                    <w:t>，</w:t>
                  </w:r>
                  <w:r>
                    <w:rPr>
                      <w:rFonts w:hint="eastAsia" w:eastAsia="仿宋" w:cs="Times New Roman"/>
                      <w:color w:val="auto"/>
                      <w:kern w:val="0"/>
                      <w:sz w:val="21"/>
                      <w:szCs w:val="21"/>
                      <w:lang w:val="en-US" w:eastAsia="zh-CN" w:bidi="ar-SA"/>
                    </w:rPr>
                    <w:t>0.0125</w:t>
                  </w:r>
                </w:p>
              </w:tc>
            </w:tr>
            <w:tr w14:paraId="4A819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85" w:type="dxa"/>
                  <w:noWrap w:val="0"/>
                  <w:vAlign w:val="center"/>
                </w:tcPr>
                <w:p w14:paraId="6C429BA1">
                  <w:pPr>
                    <w:keepNext w:val="0"/>
                    <w:keepLines w:val="0"/>
                    <w:widowControl/>
                    <w:numPr>
                      <w:ilvl w:val="0"/>
                      <w:numId w:val="14"/>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3557" w:type="dxa"/>
                  <w:shd w:val="clear" w:color="auto" w:fill="auto"/>
                  <w:noWrap w:val="0"/>
                  <w:vAlign w:val="center"/>
                </w:tcPr>
                <w:p w14:paraId="4D6F519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喷淋废液</w:t>
                  </w:r>
                </w:p>
              </w:tc>
              <w:tc>
                <w:tcPr>
                  <w:tcW w:w="4397" w:type="dxa"/>
                  <w:noWrap w:val="0"/>
                  <w:vAlign w:val="center"/>
                </w:tcPr>
                <w:p w14:paraId="62FAF91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危废仓库，</w:t>
                  </w:r>
                  <w:r>
                    <w:rPr>
                      <w:rFonts w:hint="eastAsia" w:eastAsia="仿宋" w:cs="Times New Roman"/>
                      <w:color w:val="auto"/>
                      <w:szCs w:val="21"/>
                      <w:lang w:val="en-US" w:eastAsia="zh-CN"/>
                    </w:rPr>
                    <w:t>0.5</w:t>
                  </w:r>
                </w:p>
              </w:tc>
            </w:tr>
            <w:tr w14:paraId="3ED82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85" w:type="dxa"/>
                  <w:noWrap w:val="0"/>
                  <w:vAlign w:val="center"/>
                </w:tcPr>
                <w:p w14:paraId="34AFFC27">
                  <w:pPr>
                    <w:keepNext w:val="0"/>
                    <w:keepLines w:val="0"/>
                    <w:widowControl/>
                    <w:numPr>
                      <w:ilvl w:val="0"/>
                      <w:numId w:val="14"/>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3557" w:type="dxa"/>
                  <w:shd w:val="clear" w:color="auto" w:fill="auto"/>
                  <w:noWrap w:val="0"/>
                  <w:vAlign w:val="center"/>
                </w:tcPr>
                <w:p w14:paraId="6E509DF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废活性炭</w:t>
                  </w:r>
                </w:p>
              </w:tc>
              <w:tc>
                <w:tcPr>
                  <w:tcW w:w="4397" w:type="dxa"/>
                  <w:noWrap w:val="0"/>
                  <w:vAlign w:val="center"/>
                </w:tcPr>
                <w:p w14:paraId="55CDA9A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危废仓库，</w:t>
                  </w:r>
                  <w:r>
                    <w:rPr>
                      <w:rFonts w:hint="eastAsia" w:eastAsia="仿宋" w:cs="Times New Roman"/>
                      <w:color w:val="auto"/>
                      <w:szCs w:val="21"/>
                      <w:lang w:val="en-US" w:eastAsia="zh-CN"/>
                    </w:rPr>
                    <w:t>1</w:t>
                  </w:r>
                </w:p>
              </w:tc>
            </w:tr>
            <w:tr w14:paraId="009B4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85" w:type="dxa"/>
                  <w:noWrap w:val="0"/>
                  <w:vAlign w:val="center"/>
                </w:tcPr>
                <w:p w14:paraId="2C2233BF">
                  <w:pPr>
                    <w:keepNext w:val="0"/>
                    <w:keepLines w:val="0"/>
                    <w:widowControl/>
                    <w:numPr>
                      <w:ilvl w:val="0"/>
                      <w:numId w:val="14"/>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3557" w:type="dxa"/>
                  <w:shd w:val="clear" w:color="auto" w:fill="auto"/>
                  <w:noWrap w:val="0"/>
                  <w:vAlign w:val="center"/>
                </w:tcPr>
                <w:p w14:paraId="32BB727A">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废包装桶</w:t>
                  </w:r>
                </w:p>
              </w:tc>
              <w:tc>
                <w:tcPr>
                  <w:tcW w:w="4397" w:type="dxa"/>
                  <w:noWrap w:val="0"/>
                  <w:vAlign w:val="center"/>
                </w:tcPr>
                <w:p w14:paraId="0849221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危废仓库，0.</w:t>
                  </w:r>
                  <w:r>
                    <w:rPr>
                      <w:rFonts w:hint="eastAsia" w:eastAsia="仿宋" w:cs="Times New Roman"/>
                      <w:color w:val="auto"/>
                      <w:szCs w:val="21"/>
                      <w:lang w:val="en-US" w:eastAsia="zh-CN"/>
                    </w:rPr>
                    <w:t>0055</w:t>
                  </w:r>
                </w:p>
              </w:tc>
            </w:tr>
          </w:tbl>
          <w:p w14:paraId="599FF30D">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②环境敏感目标调查</w:t>
            </w:r>
          </w:p>
          <w:p w14:paraId="0CF5A962">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s="Times New Roman"/>
                <w:color w:val="auto"/>
                <w:lang w:val="en-US" w:eastAsia="zh-CN"/>
              </w:rPr>
            </w:pPr>
            <w:r>
              <w:rPr>
                <w:rFonts w:hint="eastAsia" w:cs="Times New Roman"/>
                <w:color w:val="auto"/>
                <w:lang w:val="en-US" w:eastAsia="zh-CN"/>
              </w:rPr>
              <w:t>本项目附近环境敏感目标见</w:t>
            </w:r>
            <w:r>
              <w:rPr>
                <w:rFonts w:hint="eastAsia" w:ascii="Times New Roman" w:hAnsi="Times New Roman" w:eastAsia="宋体" w:cs="Times New Roman"/>
                <w:color w:val="auto"/>
                <w:lang w:val="en-US" w:eastAsia="zh-CN"/>
              </w:rPr>
              <w:t>表3-5</w:t>
            </w:r>
            <w:r>
              <w:rPr>
                <w:rFonts w:hint="eastAsia" w:cs="Times New Roman"/>
                <w:color w:val="auto"/>
                <w:lang w:val="en-US" w:eastAsia="zh-CN"/>
              </w:rPr>
              <w:t>。</w:t>
            </w:r>
          </w:p>
          <w:p w14:paraId="411A54A4">
            <w:pPr>
              <w:keepNext w:val="0"/>
              <w:keepLines w:val="0"/>
              <w:suppressLineNumbers w:val="0"/>
              <w:adjustRightInd w:val="0"/>
              <w:snapToGrid w:val="0"/>
              <w:spacing w:before="0" w:beforeAutospacing="0" w:after="0" w:afterAutospacing="0" w:line="360" w:lineRule="auto"/>
              <w:ind w:left="0" w:right="0" w:firstLine="422" w:firstLineChars="200"/>
              <w:jc w:val="both"/>
              <w:rPr>
                <w:rFonts w:hint="default" w:cs="Times New Roman"/>
                <w:b/>
                <w:bCs/>
                <w:color w:val="auto"/>
                <w:lang w:val="en-US" w:eastAsia="zh-CN"/>
              </w:rPr>
            </w:pPr>
            <w:r>
              <w:rPr>
                <w:rFonts w:hint="eastAsia" w:cs="Times New Roman"/>
                <w:b/>
                <w:bCs/>
                <w:color w:val="auto"/>
                <w:lang w:val="en-US" w:eastAsia="zh-CN"/>
              </w:rPr>
              <w:t>③风险物质调查</w:t>
            </w:r>
          </w:p>
          <w:p w14:paraId="08102A17">
            <w:pPr>
              <w:keepNext w:val="0"/>
              <w:keepLines w:val="0"/>
              <w:numPr>
                <w:ilvl w:val="0"/>
                <w:numId w:val="0"/>
              </w:numPr>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根据《建设项目环境风险评价技术导则》（HJ169-2018）对本项目所涉及的原辅材料进行环境风险物质识别。对列入《建设项目环境风险评价技术导则》（HJ169-2018）附录B中</w:t>
            </w:r>
            <w:r>
              <w:rPr>
                <w:rFonts w:hint="eastAsia" w:ascii="Times New Roman" w:hAnsi="Times New Roman" w:cs="Times New Roman"/>
                <w:color w:val="auto"/>
                <w:lang w:val="en-US" w:eastAsia="zh-CN"/>
              </w:rPr>
              <w:t>“</w:t>
            </w:r>
            <w:r>
              <w:rPr>
                <w:rFonts w:hint="default" w:ascii="Times New Roman" w:hAnsi="Times New Roman" w:cs="Times New Roman"/>
                <w:color w:val="auto"/>
              </w:rPr>
              <w:t>表B.1 突发环境事件风险物质及临界量</w:t>
            </w:r>
            <w:r>
              <w:rPr>
                <w:rFonts w:hint="eastAsia" w:ascii="Times New Roman" w:hAnsi="Times New Roman" w:cs="Times New Roman"/>
                <w:color w:val="auto"/>
                <w:lang w:val="en-US" w:eastAsia="zh-CN"/>
              </w:rPr>
              <w:t>”</w:t>
            </w:r>
            <w:r>
              <w:rPr>
                <w:rFonts w:hint="default" w:ascii="Times New Roman" w:hAnsi="Times New Roman" w:cs="Times New Roman"/>
                <w:color w:val="auto"/>
              </w:rPr>
              <w:t>的物质直接判定为环境风险物质，对未列入B.1，但根据风险调查需要分析计算的危险物质，则根据其特性分别参考《化学品分类和标签规范 第28部分：对水生环境的危害》（GB30000.28-2013）及《化学品分类和标签规范 第18部分：急性毒性》（GB30000.18-2013）确定。根据《建设项目环境风险评价技术导则》（HJ169-2018）附录B中表B.2，则其他危险物质识别依据见下表：</w:t>
            </w:r>
          </w:p>
          <w:p w14:paraId="4791E408">
            <w:pPr>
              <w:pStyle w:val="2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30</w:t>
            </w:r>
            <w:r>
              <w:rPr>
                <w:rFonts w:hint="default" w:ascii="Times New Roman" w:hAnsi="Times New Roman" w:eastAsia="宋体" w:cs="Times New Roman"/>
                <w:b/>
                <w:bCs/>
                <w:color w:val="auto"/>
                <w:sz w:val="21"/>
                <w:szCs w:val="21"/>
              </w:rPr>
              <w:t xml:space="preserve">  其他危险物质识别依据一览表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55"/>
              <w:gridCol w:w="5810"/>
              <w:gridCol w:w="2227"/>
            </w:tblGrid>
            <w:tr w14:paraId="5D686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855" w:type="dxa"/>
                  <w:noWrap w:val="0"/>
                  <w:vAlign w:val="center"/>
                </w:tcPr>
                <w:p w14:paraId="710F9D8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序号</w:t>
                  </w:r>
                </w:p>
              </w:tc>
              <w:tc>
                <w:tcPr>
                  <w:tcW w:w="5810" w:type="dxa"/>
                  <w:noWrap w:val="0"/>
                  <w:vAlign w:val="center"/>
                </w:tcPr>
                <w:p w14:paraId="23F2679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物质分类</w:t>
                  </w:r>
                </w:p>
              </w:tc>
              <w:tc>
                <w:tcPr>
                  <w:tcW w:w="2227" w:type="dxa"/>
                  <w:noWrap w:val="0"/>
                  <w:vAlign w:val="center"/>
                </w:tcPr>
                <w:p w14:paraId="4330A4F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临界量（t）</w:t>
                  </w:r>
                </w:p>
              </w:tc>
            </w:tr>
            <w:tr w14:paraId="35517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855" w:type="dxa"/>
                  <w:noWrap w:val="0"/>
                  <w:vAlign w:val="center"/>
                </w:tcPr>
                <w:p w14:paraId="1DB1720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5810" w:type="dxa"/>
                  <w:noWrap w:val="0"/>
                  <w:vAlign w:val="center"/>
                </w:tcPr>
                <w:p w14:paraId="0A7F3C6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健康危险急性毒性物质（类别1）</w:t>
                  </w:r>
                </w:p>
              </w:tc>
              <w:tc>
                <w:tcPr>
                  <w:tcW w:w="2227" w:type="dxa"/>
                  <w:noWrap w:val="0"/>
                  <w:vAlign w:val="center"/>
                </w:tcPr>
                <w:p w14:paraId="679CAB5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w:t>
                  </w:r>
                </w:p>
              </w:tc>
            </w:tr>
            <w:tr w14:paraId="48D75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855" w:type="dxa"/>
                  <w:noWrap w:val="0"/>
                  <w:vAlign w:val="center"/>
                </w:tcPr>
                <w:p w14:paraId="604D140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5810" w:type="dxa"/>
                  <w:noWrap w:val="0"/>
                  <w:vAlign w:val="center"/>
                </w:tcPr>
                <w:p w14:paraId="06CBD1B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健康危险急性毒性物质（类别2、类别3）</w:t>
                  </w:r>
                </w:p>
              </w:tc>
              <w:tc>
                <w:tcPr>
                  <w:tcW w:w="2227" w:type="dxa"/>
                  <w:noWrap w:val="0"/>
                  <w:vAlign w:val="center"/>
                </w:tcPr>
                <w:p w14:paraId="6A8D023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w:t>
                  </w:r>
                </w:p>
              </w:tc>
            </w:tr>
            <w:tr w14:paraId="76C2D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855" w:type="dxa"/>
                  <w:noWrap w:val="0"/>
                  <w:vAlign w:val="center"/>
                </w:tcPr>
                <w:p w14:paraId="08ED95C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5810" w:type="dxa"/>
                  <w:noWrap w:val="0"/>
                  <w:vAlign w:val="center"/>
                </w:tcPr>
                <w:p w14:paraId="04B0122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危害水环境物质（急性毒性类别1）</w:t>
                  </w:r>
                </w:p>
              </w:tc>
              <w:tc>
                <w:tcPr>
                  <w:tcW w:w="2227" w:type="dxa"/>
                  <w:noWrap w:val="0"/>
                  <w:vAlign w:val="center"/>
                </w:tcPr>
                <w:p w14:paraId="2015FC9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w:t>
                  </w:r>
                </w:p>
              </w:tc>
            </w:tr>
          </w:tbl>
          <w:p w14:paraId="2471E47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b w:val="0"/>
                <w:bCs w:val="0"/>
                <w:color w:val="auto"/>
              </w:rPr>
            </w:pPr>
            <w:r>
              <w:rPr>
                <w:rFonts w:hint="default" w:ascii="Times New Roman" w:hAnsi="Times New Roman" w:cs="Times New Roman"/>
                <w:b w:val="0"/>
                <w:bCs w:val="0"/>
                <w:color w:val="auto"/>
              </w:rPr>
              <w:t>根据《化学品分类和标签规范 第28部分：对水生环境的危害》（GB30000.28-2013）及《化学品分类和标签规范 第18部分：急性毒性》（GB30000.18-2013），则危害水生物质的环境分类标准及健康危险急性毒性物质危害分类及确定各类别的LC</w:t>
            </w:r>
            <w:r>
              <w:rPr>
                <w:rFonts w:hint="default" w:ascii="Times New Roman" w:hAnsi="Times New Roman" w:cs="Times New Roman"/>
                <w:b w:val="0"/>
                <w:bCs w:val="0"/>
                <w:color w:val="auto"/>
                <w:vertAlign w:val="subscript"/>
              </w:rPr>
              <w:t>50</w:t>
            </w:r>
            <w:r>
              <w:rPr>
                <w:rFonts w:hint="default" w:ascii="Times New Roman" w:hAnsi="Times New Roman" w:cs="Times New Roman"/>
                <w:b w:val="0"/>
                <w:bCs w:val="0"/>
                <w:color w:val="auto"/>
              </w:rPr>
              <w:t>/LD</w:t>
            </w:r>
            <w:r>
              <w:rPr>
                <w:rFonts w:hint="default" w:ascii="Times New Roman" w:hAnsi="Times New Roman" w:cs="Times New Roman"/>
                <w:b w:val="0"/>
                <w:bCs w:val="0"/>
                <w:color w:val="auto"/>
                <w:vertAlign w:val="subscript"/>
              </w:rPr>
              <w:t>50</w:t>
            </w:r>
            <w:r>
              <w:rPr>
                <w:rFonts w:hint="default" w:ascii="Times New Roman" w:hAnsi="Times New Roman" w:cs="Times New Roman"/>
                <w:b w:val="0"/>
                <w:bCs w:val="0"/>
                <w:color w:val="auto"/>
              </w:rPr>
              <w:t>值见下表：</w:t>
            </w:r>
          </w:p>
          <w:p w14:paraId="4E417522">
            <w:pPr>
              <w:pStyle w:val="2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31</w:t>
            </w:r>
            <w:r>
              <w:rPr>
                <w:rFonts w:hint="default" w:ascii="Times New Roman" w:hAnsi="Times New Roman" w:eastAsia="宋体" w:cs="Times New Roman"/>
                <w:b/>
                <w:bCs/>
                <w:color w:val="auto"/>
                <w:sz w:val="21"/>
                <w:szCs w:val="21"/>
              </w:rPr>
              <w:t xml:space="preserve">  其他危险物质分类标准一览表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73"/>
              <w:gridCol w:w="1474"/>
              <w:gridCol w:w="1490"/>
              <w:gridCol w:w="1481"/>
              <w:gridCol w:w="1479"/>
              <w:gridCol w:w="1490"/>
            </w:tblGrid>
            <w:tr w14:paraId="096C1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3" w:type="dxa"/>
                  <w:noWrap w:val="0"/>
                  <w:vAlign w:val="center"/>
                </w:tcPr>
                <w:p w14:paraId="0EDB87E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危险物质类别</w:t>
                  </w:r>
                </w:p>
              </w:tc>
              <w:tc>
                <w:tcPr>
                  <w:tcW w:w="1474" w:type="dxa"/>
                  <w:noWrap w:val="0"/>
                  <w:vAlign w:val="center"/>
                </w:tcPr>
                <w:p w14:paraId="231D302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接触途径</w:t>
                  </w:r>
                </w:p>
              </w:tc>
              <w:tc>
                <w:tcPr>
                  <w:tcW w:w="1490" w:type="dxa"/>
                  <w:noWrap w:val="0"/>
                  <w:vAlign w:val="center"/>
                </w:tcPr>
                <w:p w14:paraId="6B139C1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单位</w:t>
                  </w:r>
                </w:p>
              </w:tc>
              <w:tc>
                <w:tcPr>
                  <w:tcW w:w="1481" w:type="dxa"/>
                  <w:noWrap w:val="0"/>
                  <w:vAlign w:val="center"/>
                </w:tcPr>
                <w:p w14:paraId="427CF65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类别1</w:t>
                  </w:r>
                </w:p>
              </w:tc>
              <w:tc>
                <w:tcPr>
                  <w:tcW w:w="1479" w:type="dxa"/>
                  <w:noWrap w:val="0"/>
                  <w:vAlign w:val="center"/>
                </w:tcPr>
                <w:p w14:paraId="04104FB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类别2</w:t>
                  </w:r>
                </w:p>
              </w:tc>
              <w:tc>
                <w:tcPr>
                  <w:tcW w:w="1490" w:type="dxa"/>
                  <w:noWrap w:val="0"/>
                  <w:vAlign w:val="center"/>
                </w:tcPr>
                <w:p w14:paraId="73B1BC2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类别3</w:t>
                  </w:r>
                </w:p>
              </w:tc>
            </w:tr>
            <w:tr w14:paraId="18F2B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3" w:type="dxa"/>
                  <w:vMerge w:val="restart"/>
                  <w:noWrap w:val="0"/>
                  <w:vAlign w:val="center"/>
                </w:tcPr>
                <w:p w14:paraId="28B7424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健康危险急性毒性物质</w:t>
                  </w:r>
                </w:p>
              </w:tc>
              <w:tc>
                <w:tcPr>
                  <w:tcW w:w="1474" w:type="dxa"/>
                  <w:noWrap w:val="0"/>
                  <w:vAlign w:val="center"/>
                </w:tcPr>
                <w:p w14:paraId="61BF421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经口</w:t>
                  </w:r>
                </w:p>
              </w:tc>
              <w:tc>
                <w:tcPr>
                  <w:tcW w:w="1490" w:type="dxa"/>
                  <w:noWrap w:val="0"/>
                  <w:vAlign w:val="center"/>
                </w:tcPr>
                <w:p w14:paraId="070CC94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mg/kg</w:t>
                  </w:r>
                </w:p>
              </w:tc>
              <w:tc>
                <w:tcPr>
                  <w:tcW w:w="1481" w:type="dxa"/>
                  <w:noWrap w:val="0"/>
                  <w:vAlign w:val="center"/>
                </w:tcPr>
                <w:p w14:paraId="0EA625F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w:t>
                  </w:r>
                </w:p>
              </w:tc>
              <w:tc>
                <w:tcPr>
                  <w:tcW w:w="1479" w:type="dxa"/>
                  <w:noWrap w:val="0"/>
                  <w:vAlign w:val="center"/>
                </w:tcPr>
                <w:p w14:paraId="40BA1BF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w:t>
                  </w:r>
                </w:p>
              </w:tc>
              <w:tc>
                <w:tcPr>
                  <w:tcW w:w="1490" w:type="dxa"/>
                  <w:noWrap w:val="0"/>
                  <w:vAlign w:val="center"/>
                </w:tcPr>
                <w:p w14:paraId="67D8B9B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300</w:t>
                  </w:r>
                </w:p>
              </w:tc>
            </w:tr>
            <w:tr w14:paraId="78350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3" w:type="dxa"/>
                  <w:vMerge w:val="continue"/>
                  <w:noWrap w:val="0"/>
                  <w:vAlign w:val="center"/>
                </w:tcPr>
                <w:p w14:paraId="77F558B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c>
                <w:tcPr>
                  <w:tcW w:w="1474" w:type="dxa"/>
                  <w:noWrap w:val="0"/>
                  <w:vAlign w:val="center"/>
                </w:tcPr>
                <w:p w14:paraId="6B44474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经皮肤</w:t>
                  </w:r>
                </w:p>
              </w:tc>
              <w:tc>
                <w:tcPr>
                  <w:tcW w:w="1490" w:type="dxa"/>
                  <w:noWrap w:val="0"/>
                  <w:vAlign w:val="center"/>
                </w:tcPr>
                <w:p w14:paraId="57C21CE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mg/kg</w:t>
                  </w:r>
                </w:p>
              </w:tc>
              <w:tc>
                <w:tcPr>
                  <w:tcW w:w="1481" w:type="dxa"/>
                  <w:noWrap w:val="0"/>
                  <w:vAlign w:val="center"/>
                </w:tcPr>
                <w:p w14:paraId="5C774CA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w:t>
                  </w:r>
                </w:p>
              </w:tc>
              <w:tc>
                <w:tcPr>
                  <w:tcW w:w="1479" w:type="dxa"/>
                  <w:noWrap w:val="0"/>
                  <w:vAlign w:val="center"/>
                </w:tcPr>
                <w:p w14:paraId="7C33A48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200</w:t>
                  </w:r>
                </w:p>
              </w:tc>
              <w:tc>
                <w:tcPr>
                  <w:tcW w:w="1490" w:type="dxa"/>
                  <w:noWrap w:val="0"/>
                  <w:vAlign w:val="center"/>
                </w:tcPr>
                <w:p w14:paraId="04E5072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1000</w:t>
                  </w:r>
                </w:p>
              </w:tc>
            </w:tr>
            <w:tr w14:paraId="407B6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3" w:type="dxa"/>
                  <w:vMerge w:val="continue"/>
                  <w:noWrap w:val="0"/>
                  <w:vAlign w:val="center"/>
                </w:tcPr>
                <w:p w14:paraId="559F8FF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c>
                <w:tcPr>
                  <w:tcW w:w="1474" w:type="dxa"/>
                  <w:noWrap w:val="0"/>
                  <w:vAlign w:val="center"/>
                </w:tcPr>
                <w:p w14:paraId="63D4261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气体</w:t>
                  </w:r>
                </w:p>
              </w:tc>
              <w:tc>
                <w:tcPr>
                  <w:tcW w:w="1490" w:type="dxa"/>
                  <w:noWrap w:val="0"/>
                  <w:vAlign w:val="center"/>
                </w:tcPr>
                <w:p w14:paraId="5C7EA35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ml/L</w:t>
                  </w:r>
                </w:p>
              </w:tc>
              <w:tc>
                <w:tcPr>
                  <w:tcW w:w="1481" w:type="dxa"/>
                  <w:noWrap w:val="0"/>
                  <w:vAlign w:val="center"/>
                </w:tcPr>
                <w:p w14:paraId="7C74BCA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0.1</w:t>
                  </w:r>
                </w:p>
              </w:tc>
              <w:tc>
                <w:tcPr>
                  <w:tcW w:w="1479" w:type="dxa"/>
                  <w:noWrap w:val="0"/>
                  <w:vAlign w:val="center"/>
                </w:tcPr>
                <w:p w14:paraId="6BE3340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w:t>
                  </w:r>
                </w:p>
              </w:tc>
              <w:tc>
                <w:tcPr>
                  <w:tcW w:w="1490" w:type="dxa"/>
                  <w:noWrap w:val="0"/>
                  <w:vAlign w:val="center"/>
                </w:tcPr>
                <w:p w14:paraId="5CF038EC">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2.5</w:t>
                  </w:r>
                </w:p>
              </w:tc>
            </w:tr>
            <w:tr w14:paraId="6260C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3" w:type="dxa"/>
                  <w:vMerge w:val="continue"/>
                  <w:noWrap w:val="0"/>
                  <w:vAlign w:val="center"/>
                </w:tcPr>
                <w:p w14:paraId="7AC6CE7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c>
                <w:tcPr>
                  <w:tcW w:w="1474" w:type="dxa"/>
                  <w:noWrap w:val="0"/>
                  <w:vAlign w:val="center"/>
                </w:tcPr>
                <w:p w14:paraId="11499E3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蒸气</w:t>
                  </w:r>
                </w:p>
              </w:tc>
              <w:tc>
                <w:tcPr>
                  <w:tcW w:w="1490" w:type="dxa"/>
                  <w:noWrap w:val="0"/>
                  <w:vAlign w:val="center"/>
                </w:tcPr>
                <w:p w14:paraId="144DF90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mg/L</w:t>
                  </w:r>
                </w:p>
              </w:tc>
              <w:tc>
                <w:tcPr>
                  <w:tcW w:w="1481" w:type="dxa"/>
                  <w:noWrap w:val="0"/>
                  <w:vAlign w:val="center"/>
                </w:tcPr>
                <w:p w14:paraId="312FE9F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w:t>
                  </w:r>
                </w:p>
              </w:tc>
              <w:tc>
                <w:tcPr>
                  <w:tcW w:w="1479" w:type="dxa"/>
                  <w:noWrap w:val="0"/>
                  <w:vAlign w:val="center"/>
                </w:tcPr>
                <w:p w14:paraId="17BC0A6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w:t>
                  </w:r>
                </w:p>
              </w:tc>
              <w:tc>
                <w:tcPr>
                  <w:tcW w:w="1490" w:type="dxa"/>
                  <w:noWrap w:val="0"/>
                  <w:vAlign w:val="center"/>
                </w:tcPr>
                <w:p w14:paraId="566F92C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w:t>
                  </w:r>
                </w:p>
              </w:tc>
            </w:tr>
            <w:tr w14:paraId="0CCA2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3" w:type="dxa"/>
                  <w:vMerge w:val="continue"/>
                  <w:noWrap w:val="0"/>
                  <w:vAlign w:val="center"/>
                </w:tcPr>
                <w:p w14:paraId="58CA1B5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p>
              </w:tc>
              <w:tc>
                <w:tcPr>
                  <w:tcW w:w="1474" w:type="dxa"/>
                  <w:noWrap w:val="0"/>
                  <w:vAlign w:val="center"/>
                </w:tcPr>
                <w:p w14:paraId="6CF7D3F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粉尘和烟雾</w:t>
                  </w:r>
                </w:p>
              </w:tc>
              <w:tc>
                <w:tcPr>
                  <w:tcW w:w="1490" w:type="dxa"/>
                  <w:noWrap w:val="0"/>
                  <w:vAlign w:val="center"/>
                </w:tcPr>
                <w:p w14:paraId="5A4491A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mg/L</w:t>
                  </w:r>
                </w:p>
              </w:tc>
              <w:tc>
                <w:tcPr>
                  <w:tcW w:w="1481" w:type="dxa"/>
                  <w:noWrap w:val="0"/>
                  <w:vAlign w:val="center"/>
                </w:tcPr>
                <w:p w14:paraId="71851DD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0.05</w:t>
                  </w:r>
                </w:p>
              </w:tc>
              <w:tc>
                <w:tcPr>
                  <w:tcW w:w="1479" w:type="dxa"/>
                  <w:noWrap w:val="0"/>
                  <w:vAlign w:val="center"/>
                </w:tcPr>
                <w:p w14:paraId="7C2D48A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w:t>
                  </w:r>
                </w:p>
              </w:tc>
              <w:tc>
                <w:tcPr>
                  <w:tcW w:w="1490" w:type="dxa"/>
                  <w:noWrap w:val="0"/>
                  <w:vAlign w:val="center"/>
                </w:tcPr>
                <w:p w14:paraId="7BB45FE9">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w:t>
                  </w:r>
                </w:p>
              </w:tc>
            </w:tr>
            <w:tr w14:paraId="666842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3" w:type="dxa"/>
                  <w:noWrap w:val="0"/>
                  <w:vAlign w:val="center"/>
                </w:tcPr>
                <w:p w14:paraId="16F9791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危害水环境物质</w:t>
                  </w:r>
                </w:p>
              </w:tc>
              <w:tc>
                <w:tcPr>
                  <w:tcW w:w="7414" w:type="dxa"/>
                  <w:gridSpan w:val="5"/>
                  <w:noWrap w:val="0"/>
                  <w:vAlign w:val="center"/>
                </w:tcPr>
                <w:p w14:paraId="606FC08E">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类别1：</w:t>
                  </w:r>
                </w:p>
                <w:p w14:paraId="2B0959EE">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96h LC</w:t>
                  </w:r>
                  <w:r>
                    <w:rPr>
                      <w:rFonts w:hint="default" w:ascii="Times New Roman" w:hAnsi="Times New Roman" w:eastAsia="仿宋" w:cs="Times New Roman"/>
                      <w:color w:val="auto"/>
                      <w:szCs w:val="21"/>
                      <w:vertAlign w:val="subscript"/>
                    </w:rPr>
                    <w:t>50</w:t>
                  </w:r>
                  <w:r>
                    <w:rPr>
                      <w:rFonts w:hint="default" w:ascii="Times New Roman" w:hAnsi="Times New Roman" w:eastAsia="仿宋" w:cs="Times New Roman"/>
                      <w:color w:val="auto"/>
                      <w:szCs w:val="21"/>
                    </w:rPr>
                    <w:t>（鱼类）≤1mg/L和/或</w:t>
                  </w:r>
                </w:p>
                <w:p w14:paraId="699CCF1A">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48h EC</w:t>
                  </w:r>
                  <w:r>
                    <w:rPr>
                      <w:rFonts w:hint="default" w:ascii="Times New Roman" w:hAnsi="Times New Roman" w:eastAsia="仿宋" w:cs="Times New Roman"/>
                      <w:color w:val="auto"/>
                      <w:szCs w:val="21"/>
                      <w:vertAlign w:val="subscript"/>
                    </w:rPr>
                    <w:t>50</w:t>
                  </w:r>
                  <w:r>
                    <w:rPr>
                      <w:rFonts w:hint="default" w:ascii="Times New Roman" w:hAnsi="Times New Roman" w:eastAsia="仿宋" w:cs="Times New Roman"/>
                      <w:color w:val="auto"/>
                      <w:szCs w:val="21"/>
                    </w:rPr>
                    <w:t>（甲壳纲动物）≤1mg/L和/或</w:t>
                  </w:r>
                </w:p>
                <w:p w14:paraId="6EA3E8EB">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72或96h Er（藻类或其他水生生物）≤1mg/L</w:t>
                  </w:r>
                </w:p>
              </w:tc>
            </w:tr>
          </w:tbl>
          <w:p w14:paraId="198763DA">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b/>
                <w:bCs/>
                <w:color w:val="auto"/>
                <w:lang w:val="en-US" w:eastAsia="zh-CN"/>
              </w:rPr>
            </w:pPr>
            <w:r>
              <w:rPr>
                <w:rFonts w:hint="eastAsia" w:cs="Times New Roman"/>
                <w:color w:val="auto"/>
                <w:lang w:val="en-US" w:eastAsia="zh-CN"/>
              </w:rPr>
              <w:t>本项目</w:t>
            </w:r>
            <w:r>
              <w:rPr>
                <w:rFonts w:hint="default" w:ascii="Times New Roman" w:hAnsi="Times New Roman" w:cs="Times New Roman"/>
                <w:color w:val="auto"/>
              </w:rPr>
              <w:t>涉及的危险物质</w:t>
            </w:r>
            <w:r>
              <w:rPr>
                <w:rFonts w:hint="default" w:ascii="Times New Roman" w:hAnsi="Times New Roman" w:cs="Times New Roman"/>
                <w:color w:val="auto"/>
                <w:lang w:eastAsia="zh-CN"/>
              </w:rPr>
              <w:t>及其</w:t>
            </w:r>
            <w:r>
              <w:rPr>
                <w:rFonts w:hint="default" w:ascii="Times New Roman" w:hAnsi="Times New Roman" w:cs="Times New Roman"/>
                <w:color w:val="auto"/>
              </w:rPr>
              <w:t>最大存在总量情况见下表：</w:t>
            </w:r>
          </w:p>
          <w:p w14:paraId="1ECC8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w:t>
            </w:r>
            <w:r>
              <w:rPr>
                <w:rFonts w:hint="eastAsia" w:ascii="Times New Roman" w:hAnsi="Times New Roman" w:eastAsia="宋体" w:cs="Times New Roman"/>
                <w:b/>
                <w:color w:val="auto"/>
                <w:kern w:val="0"/>
                <w:sz w:val="21"/>
                <w:szCs w:val="21"/>
                <w:lang w:val="en-US" w:eastAsia="zh-CN"/>
              </w:rPr>
              <w:t>3</w:t>
            </w:r>
            <w:r>
              <w:rPr>
                <w:rFonts w:hint="eastAsia" w:cs="Times New Roman"/>
                <w:b/>
                <w:color w:val="auto"/>
                <w:kern w:val="0"/>
                <w:sz w:val="21"/>
                <w:szCs w:val="21"/>
                <w:lang w:val="en-US" w:eastAsia="zh-CN"/>
              </w:rPr>
              <w:t>2</w:t>
            </w:r>
            <w:r>
              <w:rPr>
                <w:rFonts w:hint="default" w:ascii="Times New Roman" w:hAnsi="Times New Roman" w:eastAsia="宋体" w:cs="Times New Roman"/>
                <w:b/>
                <w:color w:val="auto"/>
                <w:kern w:val="0"/>
                <w:sz w:val="21"/>
                <w:szCs w:val="21"/>
              </w:rPr>
              <w:t xml:space="preserve">  危险物质最大存在总量及其分布情况一览表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26"/>
              <w:gridCol w:w="1962"/>
              <w:gridCol w:w="2234"/>
              <w:gridCol w:w="1982"/>
              <w:gridCol w:w="1873"/>
            </w:tblGrid>
            <w:tr w14:paraId="46495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5" w:type="pct"/>
                  <w:noWrap w:val="0"/>
                  <w:vAlign w:val="center"/>
                </w:tcPr>
                <w:p w14:paraId="6B9DA278">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序号</w:t>
                  </w:r>
                </w:p>
              </w:tc>
              <w:tc>
                <w:tcPr>
                  <w:tcW w:w="2363" w:type="pct"/>
                  <w:gridSpan w:val="2"/>
                  <w:noWrap w:val="0"/>
                  <w:vAlign w:val="center"/>
                </w:tcPr>
                <w:p w14:paraId="6597B01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物质名称</w:t>
                  </w:r>
                </w:p>
              </w:tc>
              <w:tc>
                <w:tcPr>
                  <w:tcW w:w="1116" w:type="pct"/>
                  <w:noWrap w:val="0"/>
                  <w:vAlign w:val="center"/>
                </w:tcPr>
                <w:p w14:paraId="737B5B5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最大储存量（t）</w:t>
                  </w:r>
                </w:p>
              </w:tc>
              <w:tc>
                <w:tcPr>
                  <w:tcW w:w="1054" w:type="pct"/>
                  <w:noWrap w:val="0"/>
                  <w:vAlign w:val="center"/>
                </w:tcPr>
                <w:p w14:paraId="45BCEFB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临界量（t）</w:t>
                  </w:r>
                </w:p>
              </w:tc>
            </w:tr>
            <w:tr w14:paraId="3358B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5" w:type="pct"/>
                  <w:shd w:val="clear" w:color="auto" w:fill="auto"/>
                  <w:noWrap w:val="0"/>
                  <w:vAlign w:val="center"/>
                </w:tcPr>
                <w:p w14:paraId="6415053D">
                  <w:pPr>
                    <w:keepNext w:val="0"/>
                    <w:keepLines w:val="0"/>
                    <w:widowControl/>
                    <w:numPr>
                      <w:ilvl w:val="0"/>
                      <w:numId w:val="15"/>
                    </w:numPr>
                    <w:suppressLineNumbers w:val="0"/>
                    <w:tabs>
                      <w:tab w:val="left" w:pos="420"/>
                      <w:tab w:val="clear" w:pos="0"/>
                    </w:tabs>
                    <w:spacing w:before="0" w:beforeAutospacing="0" w:after="0" w:afterAutospacing="0"/>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363" w:type="pct"/>
                  <w:gridSpan w:val="2"/>
                  <w:noWrap w:val="0"/>
                  <w:vAlign w:val="center"/>
                </w:tcPr>
                <w:p w14:paraId="36B7B0AE">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切削液</w:t>
                  </w:r>
                </w:p>
              </w:tc>
              <w:tc>
                <w:tcPr>
                  <w:tcW w:w="1116" w:type="pct"/>
                  <w:noWrap w:val="0"/>
                  <w:vAlign w:val="center"/>
                </w:tcPr>
                <w:p w14:paraId="1199110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0.025</w:t>
                  </w:r>
                </w:p>
              </w:tc>
              <w:tc>
                <w:tcPr>
                  <w:tcW w:w="1054" w:type="pct"/>
                  <w:noWrap w:val="0"/>
                  <w:vAlign w:val="center"/>
                </w:tcPr>
                <w:p w14:paraId="33C3D73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2500</w:t>
                  </w:r>
                </w:p>
              </w:tc>
            </w:tr>
            <w:tr w14:paraId="4C902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5" w:type="pct"/>
                  <w:shd w:val="clear" w:color="auto" w:fill="auto"/>
                  <w:noWrap w:val="0"/>
                  <w:vAlign w:val="center"/>
                </w:tcPr>
                <w:p w14:paraId="1B431BB1">
                  <w:pPr>
                    <w:keepNext w:val="0"/>
                    <w:keepLines w:val="0"/>
                    <w:widowControl/>
                    <w:numPr>
                      <w:ilvl w:val="0"/>
                      <w:numId w:val="15"/>
                    </w:numPr>
                    <w:suppressLineNumbers w:val="0"/>
                    <w:tabs>
                      <w:tab w:val="left" w:pos="420"/>
                      <w:tab w:val="clear" w:pos="0"/>
                    </w:tabs>
                    <w:spacing w:before="0" w:beforeAutospacing="0" w:after="0" w:afterAutospacing="0"/>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2363" w:type="pct"/>
                  <w:gridSpan w:val="2"/>
                  <w:noWrap w:val="0"/>
                  <w:vAlign w:val="center"/>
                </w:tcPr>
                <w:p w14:paraId="6AAE1E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胶粘剂</w:t>
                  </w:r>
                </w:p>
              </w:tc>
              <w:tc>
                <w:tcPr>
                  <w:tcW w:w="1116" w:type="pct"/>
                  <w:noWrap w:val="0"/>
                  <w:vAlign w:val="center"/>
                </w:tcPr>
                <w:p w14:paraId="7F3D89E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0.4</w:t>
                  </w:r>
                </w:p>
              </w:tc>
              <w:tc>
                <w:tcPr>
                  <w:tcW w:w="1054" w:type="pct"/>
                  <w:noWrap w:val="0"/>
                  <w:vAlign w:val="center"/>
                </w:tcPr>
                <w:p w14:paraId="6DA81444">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50</w:t>
                  </w:r>
                </w:p>
              </w:tc>
            </w:tr>
            <w:tr w14:paraId="4881D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5" w:type="pct"/>
                  <w:shd w:val="clear" w:color="auto" w:fill="auto"/>
                  <w:noWrap w:val="0"/>
                  <w:vAlign w:val="center"/>
                </w:tcPr>
                <w:p w14:paraId="2039EE90">
                  <w:pPr>
                    <w:keepNext w:val="0"/>
                    <w:keepLines w:val="0"/>
                    <w:widowControl/>
                    <w:numPr>
                      <w:ilvl w:val="0"/>
                      <w:numId w:val="15"/>
                    </w:numPr>
                    <w:suppressLineNumbers w:val="0"/>
                    <w:tabs>
                      <w:tab w:val="left" w:pos="420"/>
                      <w:tab w:val="clear" w:pos="0"/>
                    </w:tabs>
                    <w:spacing w:before="0" w:beforeAutospacing="0" w:after="0" w:afterAutospacing="0"/>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1105" w:type="pct"/>
                  <w:vMerge w:val="restart"/>
                  <w:noWrap w:val="0"/>
                  <w:vAlign w:val="center"/>
                </w:tcPr>
                <w:p w14:paraId="1593FE3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危险废物</w:t>
                  </w:r>
                </w:p>
              </w:tc>
              <w:tc>
                <w:tcPr>
                  <w:tcW w:w="1258" w:type="pct"/>
                  <w:noWrap w:val="0"/>
                  <w:vAlign w:val="center"/>
                </w:tcPr>
                <w:p w14:paraId="08335F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废切削液</w:t>
                  </w:r>
                </w:p>
              </w:tc>
              <w:tc>
                <w:tcPr>
                  <w:tcW w:w="1116" w:type="pct"/>
                  <w:noWrap w:val="0"/>
                  <w:vAlign w:val="center"/>
                </w:tcPr>
                <w:p w14:paraId="02F19ACE">
                  <w:pPr>
                    <w:keepNext w:val="0"/>
                    <w:keepLines w:val="0"/>
                    <w:suppressLineNumbers w:val="0"/>
                    <w:spacing w:before="0" w:beforeAutospacing="0" w:after="0" w:afterAutospacing="0"/>
                    <w:ind w:left="0" w:right="0"/>
                    <w:jc w:val="center"/>
                    <w:rPr>
                      <w:rFonts w:hint="default" w:eastAsia="仿宋" w:cs="Times New Roman"/>
                      <w:color w:val="auto"/>
                      <w:szCs w:val="21"/>
                      <w:lang w:val="en-US" w:eastAsia="zh-CN"/>
                    </w:rPr>
                  </w:pPr>
                  <w:r>
                    <w:rPr>
                      <w:rFonts w:hint="eastAsia" w:eastAsia="仿宋" w:cs="Times New Roman"/>
                      <w:color w:val="auto"/>
                      <w:szCs w:val="21"/>
                      <w:lang w:val="en-US" w:eastAsia="zh-CN"/>
                    </w:rPr>
                    <w:t>0.025</w:t>
                  </w:r>
                </w:p>
              </w:tc>
              <w:tc>
                <w:tcPr>
                  <w:tcW w:w="1054" w:type="pct"/>
                  <w:noWrap w:val="0"/>
                  <w:vAlign w:val="center"/>
                </w:tcPr>
                <w:p w14:paraId="39B69B3E">
                  <w:pPr>
                    <w:keepNext w:val="0"/>
                    <w:keepLines w:val="0"/>
                    <w:suppressLineNumbers w:val="0"/>
                    <w:spacing w:before="0" w:beforeAutospacing="0" w:after="0" w:afterAutospacing="0"/>
                    <w:ind w:left="0" w:right="0"/>
                    <w:jc w:val="center"/>
                    <w:rPr>
                      <w:rFonts w:hint="default" w:eastAsia="仿宋" w:cs="Times New Roman"/>
                      <w:color w:val="auto"/>
                      <w:szCs w:val="21"/>
                      <w:lang w:val="en-US" w:eastAsia="zh-CN"/>
                    </w:rPr>
                  </w:pPr>
                  <w:r>
                    <w:rPr>
                      <w:rFonts w:hint="eastAsia" w:eastAsia="仿宋" w:cs="Times New Roman"/>
                      <w:color w:val="auto"/>
                      <w:szCs w:val="21"/>
                      <w:lang w:val="en-US" w:eastAsia="zh-CN"/>
                    </w:rPr>
                    <w:t>2500</w:t>
                  </w:r>
                </w:p>
              </w:tc>
            </w:tr>
            <w:tr w14:paraId="69BB4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5" w:type="pct"/>
                  <w:shd w:val="clear" w:color="auto" w:fill="auto"/>
                  <w:noWrap w:val="0"/>
                  <w:vAlign w:val="center"/>
                </w:tcPr>
                <w:p w14:paraId="7A5D4E70">
                  <w:pPr>
                    <w:keepNext w:val="0"/>
                    <w:keepLines w:val="0"/>
                    <w:widowControl/>
                    <w:numPr>
                      <w:ilvl w:val="0"/>
                      <w:numId w:val="15"/>
                    </w:numPr>
                    <w:suppressLineNumbers w:val="0"/>
                    <w:tabs>
                      <w:tab w:val="left" w:pos="420"/>
                      <w:tab w:val="clear" w:pos="0"/>
                    </w:tabs>
                    <w:spacing w:before="0" w:beforeAutospacing="0" w:after="0" w:afterAutospacing="0"/>
                    <w:ind w:left="0" w:leftChars="0" w:right="0" w:rightChars="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1105" w:type="pct"/>
                  <w:vMerge w:val="continue"/>
                  <w:noWrap w:val="0"/>
                  <w:vAlign w:val="center"/>
                </w:tcPr>
                <w:p w14:paraId="15AAC74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p>
              </w:tc>
              <w:tc>
                <w:tcPr>
                  <w:tcW w:w="1258" w:type="pct"/>
                  <w:shd w:val="clear" w:color="auto" w:fill="auto"/>
                  <w:noWrap w:val="0"/>
                  <w:vAlign w:val="center"/>
                </w:tcPr>
                <w:p w14:paraId="3C7E52C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含胶劳保用品</w:t>
                  </w:r>
                </w:p>
              </w:tc>
              <w:tc>
                <w:tcPr>
                  <w:tcW w:w="1116" w:type="pct"/>
                  <w:noWrap w:val="0"/>
                  <w:vAlign w:val="center"/>
                </w:tcPr>
                <w:p w14:paraId="4A9BA9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0.0125</w:t>
                  </w:r>
                </w:p>
              </w:tc>
              <w:tc>
                <w:tcPr>
                  <w:tcW w:w="1054" w:type="pct"/>
                  <w:noWrap w:val="0"/>
                  <w:vAlign w:val="center"/>
                </w:tcPr>
                <w:p w14:paraId="581EF58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100</w:t>
                  </w:r>
                </w:p>
              </w:tc>
            </w:tr>
            <w:tr w14:paraId="41257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5" w:type="pct"/>
                  <w:shd w:val="clear" w:color="auto" w:fill="auto"/>
                  <w:noWrap w:val="0"/>
                  <w:vAlign w:val="center"/>
                </w:tcPr>
                <w:p w14:paraId="103920F8">
                  <w:pPr>
                    <w:keepNext w:val="0"/>
                    <w:keepLines w:val="0"/>
                    <w:widowControl/>
                    <w:numPr>
                      <w:ilvl w:val="0"/>
                      <w:numId w:val="15"/>
                    </w:numPr>
                    <w:suppressLineNumbers w:val="0"/>
                    <w:tabs>
                      <w:tab w:val="left" w:pos="420"/>
                      <w:tab w:val="clear" w:pos="0"/>
                    </w:tabs>
                    <w:spacing w:before="0" w:beforeAutospacing="0" w:after="0" w:afterAutospacing="0"/>
                    <w:ind w:left="0" w:leftChars="0" w:right="0" w:rightChars="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1105" w:type="pct"/>
                  <w:vMerge w:val="continue"/>
                  <w:noWrap w:val="0"/>
                  <w:vAlign w:val="center"/>
                </w:tcPr>
                <w:p w14:paraId="5CCA8B12">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p>
              </w:tc>
              <w:tc>
                <w:tcPr>
                  <w:tcW w:w="1258" w:type="pct"/>
                  <w:shd w:val="clear" w:color="auto" w:fill="auto"/>
                  <w:noWrap w:val="0"/>
                  <w:vAlign w:val="center"/>
                </w:tcPr>
                <w:p w14:paraId="32EF245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喷淋废液</w:t>
                  </w:r>
                </w:p>
              </w:tc>
              <w:tc>
                <w:tcPr>
                  <w:tcW w:w="1116" w:type="pct"/>
                  <w:noWrap w:val="0"/>
                  <w:vAlign w:val="center"/>
                </w:tcPr>
                <w:p w14:paraId="08BD4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0.5</w:t>
                  </w:r>
                </w:p>
              </w:tc>
              <w:tc>
                <w:tcPr>
                  <w:tcW w:w="1054" w:type="pct"/>
                  <w:noWrap w:val="0"/>
                  <w:vAlign w:val="center"/>
                </w:tcPr>
                <w:p w14:paraId="64C3546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100</w:t>
                  </w:r>
                </w:p>
              </w:tc>
            </w:tr>
            <w:tr w14:paraId="54398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5" w:type="pct"/>
                  <w:shd w:val="clear" w:color="auto" w:fill="auto"/>
                  <w:noWrap w:val="0"/>
                  <w:vAlign w:val="center"/>
                </w:tcPr>
                <w:p w14:paraId="4DBF6C4F">
                  <w:pPr>
                    <w:keepNext w:val="0"/>
                    <w:keepLines w:val="0"/>
                    <w:widowControl/>
                    <w:numPr>
                      <w:ilvl w:val="0"/>
                      <w:numId w:val="15"/>
                    </w:numPr>
                    <w:suppressLineNumbers w:val="0"/>
                    <w:tabs>
                      <w:tab w:val="left" w:pos="420"/>
                      <w:tab w:val="clear" w:pos="0"/>
                    </w:tabs>
                    <w:spacing w:before="0" w:beforeAutospacing="0" w:after="0" w:afterAutospacing="0"/>
                    <w:ind w:left="0" w:leftChars="0" w:right="0" w:rightChars="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1105" w:type="pct"/>
                  <w:vMerge w:val="continue"/>
                  <w:noWrap w:val="0"/>
                  <w:vAlign w:val="center"/>
                </w:tcPr>
                <w:p w14:paraId="7BEE6CB9">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p>
              </w:tc>
              <w:tc>
                <w:tcPr>
                  <w:tcW w:w="1258" w:type="pct"/>
                  <w:shd w:val="clear" w:color="auto" w:fill="auto"/>
                  <w:noWrap w:val="0"/>
                  <w:vAlign w:val="center"/>
                </w:tcPr>
                <w:p w14:paraId="6A65CAD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废活性炭</w:t>
                  </w:r>
                </w:p>
              </w:tc>
              <w:tc>
                <w:tcPr>
                  <w:tcW w:w="1116" w:type="pct"/>
                  <w:noWrap w:val="0"/>
                  <w:vAlign w:val="center"/>
                </w:tcPr>
                <w:p w14:paraId="79E09B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w:t>
                  </w:r>
                </w:p>
              </w:tc>
              <w:tc>
                <w:tcPr>
                  <w:tcW w:w="1054" w:type="pct"/>
                  <w:noWrap w:val="0"/>
                  <w:vAlign w:val="center"/>
                </w:tcPr>
                <w:p w14:paraId="2DF3CE5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100</w:t>
                  </w:r>
                </w:p>
              </w:tc>
            </w:tr>
            <w:tr w14:paraId="6D7A3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5" w:type="pct"/>
                  <w:noWrap w:val="0"/>
                  <w:vAlign w:val="center"/>
                </w:tcPr>
                <w:p w14:paraId="4651C7DF">
                  <w:pPr>
                    <w:keepNext w:val="0"/>
                    <w:keepLines w:val="0"/>
                    <w:widowControl/>
                    <w:numPr>
                      <w:ilvl w:val="0"/>
                      <w:numId w:val="15"/>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1105" w:type="pct"/>
                  <w:vMerge w:val="continue"/>
                  <w:noWrap w:val="0"/>
                  <w:vAlign w:val="center"/>
                </w:tcPr>
                <w:p w14:paraId="3F2F61C2">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lang w:val="en-US" w:eastAsia="zh-CN" w:bidi="ar-SA"/>
                    </w:rPr>
                  </w:pPr>
                </w:p>
              </w:tc>
              <w:tc>
                <w:tcPr>
                  <w:tcW w:w="1258" w:type="pct"/>
                  <w:shd w:val="clear" w:color="auto" w:fill="auto"/>
                  <w:noWrap w:val="0"/>
                  <w:vAlign w:val="center"/>
                </w:tcPr>
                <w:p w14:paraId="28E2D09E">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废包装桶</w:t>
                  </w:r>
                </w:p>
              </w:tc>
              <w:tc>
                <w:tcPr>
                  <w:tcW w:w="1116" w:type="pct"/>
                  <w:noWrap w:val="0"/>
                  <w:vAlign w:val="center"/>
                </w:tcPr>
                <w:p w14:paraId="2B72883F">
                  <w:pPr>
                    <w:keepNext w:val="0"/>
                    <w:keepLines w:val="0"/>
                    <w:widowControl/>
                    <w:suppressLineNumbers w:val="0"/>
                    <w:spacing w:before="0" w:beforeAutospacing="0" w:after="0" w:afterAutospacing="0"/>
                    <w:ind w:left="0" w:right="0"/>
                    <w:jc w:val="center"/>
                    <w:textAlignment w:val="center"/>
                    <w:rPr>
                      <w:rFonts w:hint="default" w:eastAsia="仿宋" w:cs="Times New Roman"/>
                      <w:color w:val="auto"/>
                      <w:szCs w:val="21"/>
                      <w:highlight w:val="none"/>
                      <w:lang w:val="en-US" w:eastAsia="zh-CN"/>
                    </w:rPr>
                  </w:pPr>
                  <w:r>
                    <w:rPr>
                      <w:rFonts w:hint="eastAsia" w:eastAsia="仿宋" w:cs="Times New Roman"/>
                      <w:color w:val="auto"/>
                      <w:szCs w:val="21"/>
                      <w:highlight w:val="none"/>
                      <w:lang w:val="en-US" w:eastAsia="zh-CN"/>
                    </w:rPr>
                    <w:t>0.0055</w:t>
                  </w:r>
                </w:p>
              </w:tc>
              <w:tc>
                <w:tcPr>
                  <w:tcW w:w="1054" w:type="pct"/>
                  <w:noWrap w:val="0"/>
                  <w:vAlign w:val="center"/>
                </w:tcPr>
                <w:p w14:paraId="5F5FDFC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100</w:t>
                  </w:r>
                </w:p>
              </w:tc>
            </w:tr>
            <w:tr w14:paraId="2412C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70" w:type="pct"/>
                  <w:gridSpan w:val="2"/>
                  <w:noWrap w:val="0"/>
                  <w:vAlign w:val="center"/>
                </w:tcPr>
                <w:p w14:paraId="05324146">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Q=∑q</w:t>
                  </w:r>
                  <w:r>
                    <w:rPr>
                      <w:rFonts w:hint="default" w:ascii="Times New Roman" w:hAnsi="Times New Roman" w:eastAsia="仿宋" w:cs="Times New Roman"/>
                      <w:color w:val="auto"/>
                      <w:szCs w:val="21"/>
                      <w:vertAlign w:val="subscript"/>
                      <w:lang w:val="en-US" w:eastAsia="zh-CN"/>
                    </w:rPr>
                    <w:t>n</w:t>
                  </w:r>
                  <w:r>
                    <w:rPr>
                      <w:rFonts w:hint="default" w:ascii="Times New Roman" w:hAnsi="Times New Roman" w:eastAsia="仿宋" w:cs="Times New Roman"/>
                      <w:color w:val="auto"/>
                      <w:szCs w:val="21"/>
                      <w:lang w:val="en-US" w:eastAsia="zh-CN"/>
                    </w:rPr>
                    <w:t>/Q</w:t>
                  </w:r>
                  <w:r>
                    <w:rPr>
                      <w:rFonts w:hint="default" w:ascii="Times New Roman" w:hAnsi="Times New Roman" w:eastAsia="仿宋" w:cs="Times New Roman"/>
                      <w:color w:val="auto"/>
                      <w:szCs w:val="21"/>
                      <w:vertAlign w:val="subscript"/>
                      <w:lang w:val="en-US" w:eastAsia="zh-CN"/>
                    </w:rPr>
                    <w:t>n</w:t>
                  </w:r>
                </w:p>
              </w:tc>
              <w:tc>
                <w:tcPr>
                  <w:tcW w:w="3429" w:type="pct"/>
                  <w:gridSpan w:val="3"/>
                  <w:noWrap w:val="0"/>
                  <w:vAlign w:val="center"/>
                </w:tcPr>
                <w:p w14:paraId="78589C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0.0232</w:t>
                  </w:r>
                </w:p>
              </w:tc>
            </w:tr>
          </w:tbl>
          <w:p w14:paraId="4537E5BD">
            <w:pPr>
              <w:keepNext w:val="0"/>
              <w:keepLines w:val="0"/>
              <w:numPr>
                <w:ilvl w:val="0"/>
                <w:numId w:val="0"/>
              </w:numPr>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由上表可知，Q＜1，风险评价工作等级为简单分析。</w:t>
            </w:r>
          </w:p>
          <w:p w14:paraId="7C7FC512">
            <w:pPr>
              <w:keepNext w:val="0"/>
              <w:keepLines w:val="0"/>
              <w:numPr>
                <w:ilvl w:val="0"/>
                <w:numId w:val="16"/>
              </w:numPr>
              <w:suppressLineNumbers w:val="0"/>
              <w:adjustRightInd w:val="0"/>
              <w:snapToGrid w:val="0"/>
              <w:spacing w:before="0" w:beforeAutospacing="0" w:after="0" w:afterAutospacing="0" w:line="360" w:lineRule="auto"/>
              <w:ind w:left="0" w:right="0" w:firstLine="422" w:firstLineChars="200"/>
              <w:jc w:val="left"/>
              <w:rPr>
                <w:rFonts w:hint="eastAsia" w:cs="Times New Roman"/>
                <w:b/>
                <w:bCs/>
                <w:color w:val="auto"/>
                <w:lang w:val="en-US" w:eastAsia="zh-CN"/>
              </w:rPr>
            </w:pPr>
            <w:r>
              <w:rPr>
                <w:rFonts w:hint="eastAsia" w:cs="Times New Roman"/>
                <w:b/>
                <w:bCs/>
                <w:color w:val="auto"/>
                <w:lang w:val="en-US" w:eastAsia="zh-CN"/>
              </w:rPr>
              <w:t>风险识别</w:t>
            </w:r>
          </w:p>
          <w:p w14:paraId="503D2E11">
            <w:pPr>
              <w:keepNext w:val="0"/>
              <w:keepLines w:val="0"/>
              <w:numPr>
                <w:ilvl w:val="0"/>
                <w:numId w:val="0"/>
              </w:numPr>
              <w:suppressLineNumbers w:val="0"/>
              <w:adjustRightInd w:val="0"/>
              <w:snapToGrid w:val="0"/>
              <w:spacing w:before="0" w:beforeAutospacing="0" w:after="0" w:afterAutospacing="0" w:line="360" w:lineRule="auto"/>
              <w:ind w:left="0" w:right="0" w:firstLine="422" w:firstLineChars="200"/>
              <w:jc w:val="left"/>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①物质危险性识别</w:t>
            </w:r>
          </w:p>
          <w:p w14:paraId="219BEF43">
            <w:pPr>
              <w:keepNext w:val="0"/>
              <w:keepLines w:val="0"/>
              <w:suppressLineNumbers w:val="0"/>
              <w:snapToGrid w:val="0"/>
              <w:spacing w:before="0" w:beforeAutospacing="0" w:after="0" w:afterAutospacing="0"/>
              <w:ind w:left="0" w:right="0" w:firstLine="316" w:firstLineChars="15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表4-3</w:t>
            </w:r>
            <w:r>
              <w:rPr>
                <w:rFonts w:hint="eastAsia" w:cs="Times New Roman"/>
                <w:b/>
                <w:bCs/>
                <w:color w:val="auto"/>
                <w:kern w:val="2"/>
                <w:sz w:val="21"/>
                <w:szCs w:val="21"/>
                <w:lang w:val="en-US" w:eastAsia="zh-CN" w:bidi="ar-SA"/>
              </w:rPr>
              <w:t>3</w:t>
            </w:r>
            <w:r>
              <w:rPr>
                <w:rFonts w:hint="eastAsia" w:ascii="Times New Roman" w:hAnsi="Times New Roman" w:eastAsia="宋体" w:cs="Times New Roman"/>
                <w:b/>
                <w:bCs/>
                <w:color w:val="auto"/>
                <w:kern w:val="2"/>
                <w:sz w:val="21"/>
                <w:szCs w:val="21"/>
                <w:lang w:val="en-US" w:eastAsia="zh-CN" w:bidi="ar-SA"/>
              </w:rPr>
              <w:t xml:space="preserve">  危险物质危险性类别一览表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2313"/>
              <w:gridCol w:w="1668"/>
              <w:gridCol w:w="1917"/>
              <w:gridCol w:w="1917"/>
            </w:tblGrid>
            <w:tr w14:paraId="3FEF8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tcBorders>
                    <w:tl2br w:val="nil"/>
                    <w:tr2bl w:val="nil"/>
                  </w:tcBorders>
                  <w:noWrap w:val="0"/>
                  <w:vAlign w:val="center"/>
                </w:tcPr>
                <w:p w14:paraId="35BA33B0">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rPr>
                  </w:pPr>
                  <w:r>
                    <w:rPr>
                      <w:rFonts w:hint="eastAsia" w:ascii="Times New Roman" w:hAnsi="Times New Roman" w:eastAsia="仿宋" w:cs="Times New Roman"/>
                      <w:color w:val="auto"/>
                      <w:szCs w:val="21"/>
                    </w:rPr>
                    <w:t>序号</w:t>
                  </w:r>
                </w:p>
              </w:tc>
              <w:tc>
                <w:tcPr>
                  <w:tcW w:w="2313" w:type="dxa"/>
                  <w:tcBorders>
                    <w:tl2br w:val="nil"/>
                    <w:tr2bl w:val="nil"/>
                  </w:tcBorders>
                  <w:noWrap w:val="0"/>
                  <w:vAlign w:val="center"/>
                </w:tcPr>
                <w:p w14:paraId="11EFB0AB">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eastAsia="zh-CN"/>
                    </w:rPr>
                  </w:pPr>
                  <w:r>
                    <w:rPr>
                      <w:rFonts w:hint="eastAsia" w:ascii="Times New Roman" w:hAnsi="Times New Roman" w:eastAsia="仿宋" w:cs="Times New Roman"/>
                      <w:color w:val="auto"/>
                      <w:szCs w:val="21"/>
                      <w:lang w:val="en-US" w:eastAsia="zh-CN"/>
                    </w:rPr>
                    <w:t>物质名称</w:t>
                  </w:r>
                </w:p>
              </w:tc>
              <w:tc>
                <w:tcPr>
                  <w:tcW w:w="1668" w:type="dxa"/>
                  <w:tcBorders>
                    <w:tl2br w:val="nil"/>
                    <w:tr2bl w:val="nil"/>
                  </w:tcBorders>
                  <w:noWrap w:val="0"/>
                  <w:vAlign w:val="center"/>
                </w:tcPr>
                <w:p w14:paraId="3D78D49B">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燃爆性</w:t>
                  </w:r>
                </w:p>
              </w:tc>
              <w:tc>
                <w:tcPr>
                  <w:tcW w:w="1917" w:type="dxa"/>
                  <w:tcBorders>
                    <w:tl2br w:val="nil"/>
                    <w:tr2bl w:val="nil"/>
                  </w:tcBorders>
                  <w:noWrap w:val="0"/>
                  <w:vAlign w:val="center"/>
                </w:tcPr>
                <w:p w14:paraId="5D53ABE3">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有毒有害性</w:t>
                  </w:r>
                </w:p>
              </w:tc>
              <w:tc>
                <w:tcPr>
                  <w:tcW w:w="1917" w:type="dxa"/>
                  <w:tcBorders>
                    <w:tl2br w:val="nil"/>
                    <w:tr2bl w:val="nil"/>
                  </w:tcBorders>
                  <w:noWrap w:val="0"/>
                  <w:vAlign w:val="center"/>
                </w:tcPr>
                <w:p w14:paraId="33AFF1A1">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分布情况</w:t>
                  </w:r>
                </w:p>
              </w:tc>
            </w:tr>
            <w:tr w14:paraId="6C3D1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tcBorders>
                    <w:tl2br w:val="nil"/>
                    <w:tr2bl w:val="nil"/>
                  </w:tcBorders>
                  <w:noWrap w:val="0"/>
                  <w:vAlign w:val="center"/>
                </w:tcPr>
                <w:p w14:paraId="29EE148A">
                  <w:pPr>
                    <w:keepNext w:val="0"/>
                    <w:keepLines w:val="0"/>
                    <w:widowControl/>
                    <w:numPr>
                      <w:ilvl w:val="0"/>
                      <w:numId w:val="17"/>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2313" w:type="dxa"/>
                  <w:tcBorders>
                    <w:tl2br w:val="nil"/>
                    <w:tr2bl w:val="nil"/>
                  </w:tcBorders>
                  <w:shd w:val="clear" w:color="auto" w:fill="auto"/>
                  <w:noWrap w:val="0"/>
                  <w:vAlign w:val="center"/>
                </w:tcPr>
                <w:p w14:paraId="63903B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切削液</w:t>
                  </w:r>
                </w:p>
              </w:tc>
              <w:tc>
                <w:tcPr>
                  <w:tcW w:w="1668" w:type="dxa"/>
                  <w:tcBorders>
                    <w:tl2br w:val="nil"/>
                    <w:tr2bl w:val="nil"/>
                  </w:tcBorders>
                  <w:shd w:val="clear" w:color="auto" w:fill="auto"/>
                  <w:noWrap w:val="0"/>
                  <w:vAlign w:val="center"/>
                </w:tcPr>
                <w:p w14:paraId="2E523A22">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w:t>
                  </w:r>
                </w:p>
              </w:tc>
              <w:tc>
                <w:tcPr>
                  <w:tcW w:w="1917" w:type="dxa"/>
                  <w:tcBorders>
                    <w:tl2br w:val="nil"/>
                    <w:tr2bl w:val="nil"/>
                  </w:tcBorders>
                  <w:shd w:val="clear" w:color="auto" w:fill="auto"/>
                  <w:noWrap w:val="0"/>
                  <w:vAlign w:val="center"/>
                </w:tcPr>
                <w:p w14:paraId="2BD83DAD">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vertAlign w:val="baseline"/>
                      <w:lang w:val="en-US" w:eastAsia="zh-CN"/>
                    </w:rPr>
                    <w:t>有毒</w:t>
                  </w:r>
                </w:p>
              </w:tc>
              <w:tc>
                <w:tcPr>
                  <w:tcW w:w="1917" w:type="dxa"/>
                  <w:tcBorders>
                    <w:tl2br w:val="nil"/>
                    <w:tr2bl w:val="nil"/>
                  </w:tcBorders>
                  <w:shd w:val="clear" w:color="auto" w:fill="auto"/>
                  <w:noWrap w:val="0"/>
                  <w:vAlign w:val="center"/>
                </w:tcPr>
                <w:p w14:paraId="3450AED8">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0"/>
                      <w:szCs w:val="21"/>
                      <w:lang w:eastAsia="zh-CN"/>
                    </w:rPr>
                    <w:t>原辅料堆放区</w:t>
                  </w:r>
                </w:p>
              </w:tc>
            </w:tr>
            <w:tr w14:paraId="7F6BC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tcBorders>
                    <w:tl2br w:val="nil"/>
                    <w:tr2bl w:val="nil"/>
                  </w:tcBorders>
                  <w:noWrap w:val="0"/>
                  <w:vAlign w:val="center"/>
                </w:tcPr>
                <w:p w14:paraId="7E4EB889">
                  <w:pPr>
                    <w:keepNext w:val="0"/>
                    <w:keepLines w:val="0"/>
                    <w:widowControl/>
                    <w:numPr>
                      <w:ilvl w:val="0"/>
                      <w:numId w:val="17"/>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2313" w:type="dxa"/>
                  <w:tcBorders>
                    <w:tl2br w:val="nil"/>
                    <w:tr2bl w:val="nil"/>
                  </w:tcBorders>
                  <w:shd w:val="clear" w:color="auto" w:fill="auto"/>
                  <w:noWrap w:val="0"/>
                  <w:vAlign w:val="center"/>
                </w:tcPr>
                <w:p w14:paraId="4CBD0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胶粘剂</w:t>
                  </w:r>
                </w:p>
              </w:tc>
              <w:tc>
                <w:tcPr>
                  <w:tcW w:w="1668" w:type="dxa"/>
                  <w:tcBorders>
                    <w:tl2br w:val="nil"/>
                    <w:tr2bl w:val="nil"/>
                  </w:tcBorders>
                  <w:shd w:val="clear" w:color="auto" w:fill="auto"/>
                  <w:noWrap w:val="0"/>
                  <w:vAlign w:val="center"/>
                </w:tcPr>
                <w:p w14:paraId="69FEC9B5">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w:t>
                  </w:r>
                </w:p>
              </w:tc>
              <w:tc>
                <w:tcPr>
                  <w:tcW w:w="1917" w:type="dxa"/>
                  <w:tcBorders>
                    <w:tl2br w:val="nil"/>
                    <w:tr2bl w:val="nil"/>
                  </w:tcBorders>
                  <w:shd w:val="clear" w:color="auto" w:fill="auto"/>
                  <w:noWrap w:val="0"/>
                  <w:vAlign w:val="center"/>
                </w:tcPr>
                <w:p w14:paraId="008B5B09">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vertAlign w:val="baseline"/>
                      <w:lang w:val="en-US" w:eastAsia="zh-CN"/>
                    </w:rPr>
                    <w:t>有毒</w:t>
                  </w:r>
                </w:p>
              </w:tc>
              <w:tc>
                <w:tcPr>
                  <w:tcW w:w="1917" w:type="dxa"/>
                  <w:tcBorders>
                    <w:tl2br w:val="nil"/>
                    <w:tr2bl w:val="nil"/>
                  </w:tcBorders>
                  <w:shd w:val="clear" w:color="auto" w:fill="auto"/>
                  <w:noWrap w:val="0"/>
                  <w:vAlign w:val="center"/>
                </w:tcPr>
                <w:p w14:paraId="69D36150">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0"/>
                      <w:szCs w:val="21"/>
                      <w:lang w:eastAsia="zh-CN"/>
                    </w:rPr>
                    <w:t>原辅料堆放区</w:t>
                  </w:r>
                </w:p>
              </w:tc>
            </w:tr>
            <w:tr w14:paraId="7A4D8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tcBorders>
                    <w:tl2br w:val="nil"/>
                    <w:tr2bl w:val="nil"/>
                  </w:tcBorders>
                  <w:noWrap w:val="0"/>
                  <w:vAlign w:val="center"/>
                </w:tcPr>
                <w:p w14:paraId="78080A43">
                  <w:pPr>
                    <w:keepNext w:val="0"/>
                    <w:keepLines w:val="0"/>
                    <w:widowControl/>
                    <w:numPr>
                      <w:ilvl w:val="0"/>
                      <w:numId w:val="17"/>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2313" w:type="dxa"/>
                  <w:tcBorders>
                    <w:tl2br w:val="nil"/>
                    <w:tr2bl w:val="nil"/>
                  </w:tcBorders>
                  <w:shd w:val="clear" w:color="auto" w:fill="auto"/>
                  <w:noWrap w:val="0"/>
                  <w:vAlign w:val="center"/>
                </w:tcPr>
                <w:p w14:paraId="2EF2C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废切削液</w:t>
                  </w:r>
                </w:p>
              </w:tc>
              <w:tc>
                <w:tcPr>
                  <w:tcW w:w="1668" w:type="dxa"/>
                  <w:tcBorders>
                    <w:tl2br w:val="nil"/>
                    <w:tr2bl w:val="nil"/>
                  </w:tcBorders>
                  <w:noWrap w:val="0"/>
                  <w:vAlign w:val="center"/>
                </w:tcPr>
                <w:p w14:paraId="45AB60C3">
                  <w:pPr>
                    <w:keepNext w:val="0"/>
                    <w:keepLines w:val="0"/>
                    <w:suppressLineNumbers w:val="0"/>
                    <w:spacing w:before="0" w:beforeAutospacing="0" w:after="0" w:afterAutospacing="0"/>
                    <w:ind w:left="0" w:right="0"/>
                    <w:jc w:val="center"/>
                    <w:rPr>
                      <w:rFonts w:hint="default" w:eastAsia="仿宋" w:cs="Times New Roman"/>
                      <w:color w:val="auto"/>
                      <w:szCs w:val="21"/>
                      <w:lang w:val="en-US" w:eastAsia="zh-CN"/>
                    </w:rPr>
                  </w:pPr>
                  <w:r>
                    <w:rPr>
                      <w:rFonts w:hint="eastAsia" w:eastAsia="仿宋" w:cs="Times New Roman"/>
                      <w:color w:val="auto"/>
                      <w:szCs w:val="21"/>
                      <w:lang w:val="en-US" w:eastAsia="zh-CN"/>
                    </w:rPr>
                    <w:t>/</w:t>
                  </w:r>
                </w:p>
              </w:tc>
              <w:tc>
                <w:tcPr>
                  <w:tcW w:w="1917" w:type="dxa"/>
                  <w:tcBorders>
                    <w:tl2br w:val="nil"/>
                    <w:tr2bl w:val="nil"/>
                  </w:tcBorders>
                  <w:shd w:val="clear" w:color="auto" w:fill="auto"/>
                  <w:noWrap w:val="0"/>
                  <w:vAlign w:val="center"/>
                </w:tcPr>
                <w:p w14:paraId="6518E53F">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有毒</w:t>
                  </w:r>
                </w:p>
              </w:tc>
              <w:tc>
                <w:tcPr>
                  <w:tcW w:w="1917" w:type="dxa"/>
                  <w:tcBorders>
                    <w:tl2br w:val="nil"/>
                    <w:tr2bl w:val="nil"/>
                  </w:tcBorders>
                  <w:shd w:val="clear" w:color="auto" w:fill="auto"/>
                  <w:noWrap w:val="0"/>
                  <w:vAlign w:val="center"/>
                </w:tcPr>
                <w:p w14:paraId="08E27259">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危废仓库</w:t>
                  </w:r>
                </w:p>
              </w:tc>
            </w:tr>
            <w:tr w14:paraId="502A0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tcBorders>
                    <w:tl2br w:val="nil"/>
                    <w:tr2bl w:val="nil"/>
                  </w:tcBorders>
                  <w:noWrap w:val="0"/>
                  <w:vAlign w:val="center"/>
                </w:tcPr>
                <w:p w14:paraId="76B3AAA2">
                  <w:pPr>
                    <w:keepNext w:val="0"/>
                    <w:keepLines w:val="0"/>
                    <w:widowControl/>
                    <w:numPr>
                      <w:ilvl w:val="0"/>
                      <w:numId w:val="17"/>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2313" w:type="dxa"/>
                  <w:tcBorders>
                    <w:tl2br w:val="nil"/>
                    <w:tr2bl w:val="nil"/>
                  </w:tcBorders>
                  <w:shd w:val="clear" w:color="auto" w:fill="auto"/>
                  <w:noWrap w:val="0"/>
                  <w:vAlign w:val="center"/>
                </w:tcPr>
                <w:p w14:paraId="0DFB74C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含胶劳保用品</w:t>
                  </w:r>
                </w:p>
              </w:tc>
              <w:tc>
                <w:tcPr>
                  <w:tcW w:w="1668" w:type="dxa"/>
                  <w:tcBorders>
                    <w:tl2br w:val="nil"/>
                    <w:tr2bl w:val="nil"/>
                  </w:tcBorders>
                  <w:noWrap w:val="0"/>
                  <w:vAlign w:val="center"/>
                </w:tcPr>
                <w:p w14:paraId="6F632CC0">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可燃</w:t>
                  </w:r>
                </w:p>
              </w:tc>
              <w:tc>
                <w:tcPr>
                  <w:tcW w:w="1917" w:type="dxa"/>
                  <w:tcBorders>
                    <w:tl2br w:val="nil"/>
                    <w:tr2bl w:val="nil"/>
                  </w:tcBorders>
                  <w:noWrap w:val="0"/>
                  <w:vAlign w:val="center"/>
                </w:tcPr>
                <w:p w14:paraId="4AE1317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有毒</w:t>
                  </w:r>
                </w:p>
              </w:tc>
              <w:tc>
                <w:tcPr>
                  <w:tcW w:w="1917" w:type="dxa"/>
                  <w:tcBorders>
                    <w:tl2br w:val="nil"/>
                    <w:tr2bl w:val="nil"/>
                  </w:tcBorders>
                  <w:shd w:val="clear" w:color="auto" w:fill="auto"/>
                  <w:noWrap w:val="0"/>
                  <w:vAlign w:val="center"/>
                </w:tcPr>
                <w:p w14:paraId="3526530F">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危废仓库</w:t>
                  </w:r>
                </w:p>
              </w:tc>
            </w:tr>
            <w:tr w14:paraId="25F8D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tcBorders>
                    <w:tl2br w:val="nil"/>
                    <w:tr2bl w:val="nil"/>
                  </w:tcBorders>
                  <w:noWrap w:val="0"/>
                  <w:vAlign w:val="center"/>
                </w:tcPr>
                <w:p w14:paraId="28199C64">
                  <w:pPr>
                    <w:keepNext w:val="0"/>
                    <w:keepLines w:val="0"/>
                    <w:widowControl/>
                    <w:numPr>
                      <w:ilvl w:val="0"/>
                      <w:numId w:val="17"/>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2313" w:type="dxa"/>
                  <w:tcBorders>
                    <w:tl2br w:val="nil"/>
                    <w:tr2bl w:val="nil"/>
                  </w:tcBorders>
                  <w:shd w:val="clear" w:color="auto" w:fill="auto"/>
                  <w:noWrap w:val="0"/>
                  <w:vAlign w:val="center"/>
                </w:tcPr>
                <w:p w14:paraId="11BF0DB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喷淋废液</w:t>
                  </w:r>
                </w:p>
              </w:tc>
              <w:tc>
                <w:tcPr>
                  <w:tcW w:w="1668" w:type="dxa"/>
                  <w:tcBorders>
                    <w:tl2br w:val="nil"/>
                    <w:tr2bl w:val="nil"/>
                  </w:tcBorders>
                  <w:noWrap w:val="0"/>
                  <w:vAlign w:val="center"/>
                </w:tcPr>
                <w:p w14:paraId="3F051A1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c>
                <w:tcPr>
                  <w:tcW w:w="1917" w:type="dxa"/>
                  <w:tcBorders>
                    <w:tl2br w:val="nil"/>
                    <w:tr2bl w:val="nil"/>
                  </w:tcBorders>
                  <w:noWrap w:val="0"/>
                  <w:vAlign w:val="center"/>
                </w:tcPr>
                <w:p w14:paraId="2B059A5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有毒</w:t>
                  </w:r>
                </w:p>
              </w:tc>
              <w:tc>
                <w:tcPr>
                  <w:tcW w:w="1917" w:type="dxa"/>
                  <w:tcBorders>
                    <w:tl2br w:val="nil"/>
                    <w:tr2bl w:val="nil"/>
                  </w:tcBorders>
                  <w:shd w:val="clear" w:color="auto" w:fill="auto"/>
                  <w:noWrap w:val="0"/>
                  <w:vAlign w:val="center"/>
                </w:tcPr>
                <w:p w14:paraId="29808AEA">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危废仓库</w:t>
                  </w:r>
                </w:p>
              </w:tc>
            </w:tr>
            <w:tr w14:paraId="6222A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tcBorders>
                    <w:tl2br w:val="nil"/>
                    <w:tr2bl w:val="nil"/>
                  </w:tcBorders>
                  <w:noWrap w:val="0"/>
                  <w:vAlign w:val="center"/>
                </w:tcPr>
                <w:p w14:paraId="774C390D">
                  <w:pPr>
                    <w:keepNext w:val="0"/>
                    <w:keepLines w:val="0"/>
                    <w:widowControl/>
                    <w:numPr>
                      <w:ilvl w:val="0"/>
                      <w:numId w:val="17"/>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2313" w:type="dxa"/>
                  <w:tcBorders>
                    <w:tl2br w:val="nil"/>
                    <w:tr2bl w:val="nil"/>
                  </w:tcBorders>
                  <w:shd w:val="clear" w:color="auto" w:fill="auto"/>
                  <w:noWrap w:val="0"/>
                  <w:vAlign w:val="center"/>
                </w:tcPr>
                <w:p w14:paraId="6E02E19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废活性炭</w:t>
                  </w:r>
                </w:p>
              </w:tc>
              <w:tc>
                <w:tcPr>
                  <w:tcW w:w="1668" w:type="dxa"/>
                  <w:tcBorders>
                    <w:tl2br w:val="nil"/>
                    <w:tr2bl w:val="nil"/>
                  </w:tcBorders>
                  <w:noWrap w:val="0"/>
                  <w:vAlign w:val="center"/>
                </w:tcPr>
                <w:p w14:paraId="0F491C88">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可燃</w:t>
                  </w:r>
                </w:p>
              </w:tc>
              <w:tc>
                <w:tcPr>
                  <w:tcW w:w="1917" w:type="dxa"/>
                  <w:tcBorders>
                    <w:tl2br w:val="nil"/>
                    <w:tr2bl w:val="nil"/>
                  </w:tcBorders>
                  <w:noWrap w:val="0"/>
                  <w:vAlign w:val="center"/>
                </w:tcPr>
                <w:p w14:paraId="590BFF6D">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有毒</w:t>
                  </w:r>
                </w:p>
              </w:tc>
              <w:tc>
                <w:tcPr>
                  <w:tcW w:w="1917" w:type="dxa"/>
                  <w:tcBorders>
                    <w:tl2br w:val="nil"/>
                    <w:tr2bl w:val="nil"/>
                  </w:tcBorders>
                  <w:shd w:val="clear" w:color="auto" w:fill="auto"/>
                  <w:noWrap w:val="0"/>
                  <w:vAlign w:val="center"/>
                </w:tcPr>
                <w:p w14:paraId="0C30633E">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危废仓库</w:t>
                  </w:r>
                </w:p>
              </w:tc>
            </w:tr>
            <w:tr w14:paraId="51669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tcBorders>
                    <w:tl2br w:val="nil"/>
                    <w:tr2bl w:val="nil"/>
                  </w:tcBorders>
                  <w:noWrap w:val="0"/>
                  <w:vAlign w:val="center"/>
                </w:tcPr>
                <w:p w14:paraId="3FC4C0F6">
                  <w:pPr>
                    <w:keepNext w:val="0"/>
                    <w:keepLines w:val="0"/>
                    <w:widowControl/>
                    <w:numPr>
                      <w:ilvl w:val="0"/>
                      <w:numId w:val="17"/>
                    </w:numPr>
                    <w:suppressLineNumbers w:val="0"/>
                    <w:tabs>
                      <w:tab w:val="left" w:pos="420"/>
                      <w:tab w:val="clear" w:pos="0"/>
                    </w:tabs>
                    <w:spacing w:before="0" w:beforeAutospacing="0" w:after="0" w:afterAutospacing="0"/>
                    <w:ind w:left="0" w:leftChars="0" w:right="0" w:firstLine="0" w:firstLineChars="0"/>
                    <w:jc w:val="center"/>
                    <w:textAlignment w:val="center"/>
                    <w:rPr>
                      <w:rFonts w:hint="eastAsia" w:ascii="Times New Roman" w:hAnsi="Times New Roman" w:eastAsia="仿宋" w:cs="Times New Roman"/>
                      <w:color w:val="auto"/>
                      <w:kern w:val="0"/>
                      <w:sz w:val="21"/>
                      <w:szCs w:val="21"/>
                      <w:lang w:val="en-US" w:eastAsia="zh-CN" w:bidi="ar-SA"/>
                    </w:rPr>
                  </w:pPr>
                </w:p>
              </w:tc>
              <w:tc>
                <w:tcPr>
                  <w:tcW w:w="2313" w:type="dxa"/>
                  <w:tcBorders>
                    <w:tl2br w:val="nil"/>
                    <w:tr2bl w:val="nil"/>
                  </w:tcBorders>
                  <w:shd w:val="clear" w:color="auto" w:fill="auto"/>
                  <w:noWrap w:val="0"/>
                  <w:vAlign w:val="center"/>
                </w:tcPr>
                <w:p w14:paraId="156ABA09">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废包装桶</w:t>
                  </w:r>
                </w:p>
              </w:tc>
              <w:tc>
                <w:tcPr>
                  <w:tcW w:w="1668" w:type="dxa"/>
                  <w:tcBorders>
                    <w:tl2br w:val="nil"/>
                    <w:tr2bl w:val="nil"/>
                  </w:tcBorders>
                  <w:noWrap w:val="0"/>
                  <w:vAlign w:val="center"/>
                </w:tcPr>
                <w:p w14:paraId="7A90589D">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c>
                <w:tcPr>
                  <w:tcW w:w="1917" w:type="dxa"/>
                  <w:tcBorders>
                    <w:tl2br w:val="nil"/>
                    <w:tr2bl w:val="nil"/>
                  </w:tcBorders>
                  <w:noWrap w:val="0"/>
                  <w:vAlign w:val="center"/>
                </w:tcPr>
                <w:p w14:paraId="443BF87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有毒</w:t>
                  </w:r>
                </w:p>
              </w:tc>
              <w:tc>
                <w:tcPr>
                  <w:tcW w:w="1917" w:type="dxa"/>
                  <w:tcBorders>
                    <w:tl2br w:val="nil"/>
                    <w:tr2bl w:val="nil"/>
                  </w:tcBorders>
                  <w:shd w:val="clear" w:color="auto" w:fill="auto"/>
                  <w:noWrap w:val="0"/>
                  <w:vAlign w:val="center"/>
                </w:tcPr>
                <w:p w14:paraId="0CCE735F">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危废仓库</w:t>
                  </w:r>
                </w:p>
              </w:tc>
            </w:tr>
          </w:tbl>
          <w:p w14:paraId="04E6D23E">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ascii="Times New Roman" w:hAnsi="Times New Roman" w:cs="Times New Roman"/>
                <w:b/>
                <w:bCs/>
                <w:color w:val="auto"/>
              </w:rPr>
            </w:pPr>
            <w:r>
              <w:rPr>
                <w:rFonts w:hint="default" w:ascii="Times New Roman" w:hAnsi="Times New Roman" w:cs="Times New Roman"/>
                <w:b/>
                <w:bCs/>
                <w:color w:val="auto"/>
              </w:rPr>
              <w:t>②生产系统危险性识别</w:t>
            </w:r>
          </w:p>
          <w:p w14:paraId="5C3152EE">
            <w:pPr>
              <w:keepNext w:val="0"/>
              <w:keepLines w:val="0"/>
              <w:numPr>
                <w:ilvl w:val="0"/>
                <w:numId w:val="0"/>
              </w:numPr>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按照工艺流程和平面布置功能区划划分危险单元，危险单元主要有</w:t>
            </w:r>
            <w:r>
              <w:rPr>
                <w:rFonts w:hint="eastAsia" w:cs="Times New Roman"/>
                <w:b w:val="0"/>
                <w:bCs w:val="0"/>
                <w:color w:val="auto"/>
                <w:lang w:val="en-US" w:eastAsia="zh-CN"/>
              </w:rPr>
              <w:t>炼胶房</w:t>
            </w:r>
            <w:r>
              <w:rPr>
                <w:rFonts w:hint="default" w:ascii="Times New Roman" w:hAnsi="Times New Roman" w:cs="Times New Roman"/>
                <w:b w:val="0"/>
                <w:bCs w:val="0"/>
                <w:color w:val="auto"/>
                <w:lang w:val="en-US" w:eastAsia="zh-CN"/>
              </w:rPr>
              <w:t>、</w:t>
            </w:r>
            <w:r>
              <w:rPr>
                <w:rFonts w:hint="eastAsia" w:cs="Times New Roman"/>
                <w:b w:val="0"/>
                <w:bCs w:val="0"/>
                <w:color w:val="auto"/>
                <w:lang w:val="en-US" w:eastAsia="zh-CN"/>
              </w:rPr>
              <w:t>原辅料堆放区</w:t>
            </w:r>
            <w:r>
              <w:rPr>
                <w:rFonts w:hint="default" w:ascii="Times New Roman" w:hAnsi="Times New Roman" w:cs="Times New Roman"/>
                <w:b w:val="0"/>
                <w:bCs w:val="0"/>
                <w:color w:val="auto"/>
                <w:lang w:val="en-US" w:eastAsia="zh-CN"/>
              </w:rPr>
              <w:t>、废气收集治理系统</w:t>
            </w:r>
            <w:r>
              <w:rPr>
                <w:rFonts w:hint="eastAsia" w:ascii="Times New Roman" w:hAnsi="Times New Roman" w:cs="Times New Roman"/>
                <w:b w:val="0"/>
                <w:bCs w:val="0"/>
                <w:color w:val="auto"/>
                <w:lang w:val="en-US" w:eastAsia="zh-CN"/>
              </w:rPr>
              <w:t>、危废仓库。</w:t>
            </w:r>
          </w:p>
          <w:p w14:paraId="55CF857F">
            <w:pPr>
              <w:keepNext w:val="0"/>
              <w:keepLines w:val="0"/>
              <w:numPr>
                <w:ilvl w:val="0"/>
                <w:numId w:val="0"/>
              </w:numPr>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①</w:t>
            </w:r>
            <w:r>
              <w:rPr>
                <w:rFonts w:hint="eastAsia" w:cs="Times New Roman"/>
                <w:b w:val="0"/>
                <w:bCs w:val="0"/>
                <w:color w:val="auto"/>
                <w:lang w:val="en-US" w:eastAsia="zh-CN"/>
              </w:rPr>
              <w:t>炼胶房</w:t>
            </w:r>
          </w:p>
          <w:p w14:paraId="20E3B2AD">
            <w:pPr>
              <w:keepNext w:val="0"/>
              <w:keepLines w:val="0"/>
              <w:numPr>
                <w:ilvl w:val="0"/>
                <w:numId w:val="0"/>
              </w:numPr>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若发生机器损坏一方面影响正常工艺操作安全，另一方面物料泄漏挥发产生的有毒气体对大气环境造成一定的影响，同时存在燃爆危险。</w:t>
            </w:r>
          </w:p>
          <w:p w14:paraId="7FAD7A0F">
            <w:pPr>
              <w:keepNext w:val="0"/>
              <w:keepLines w:val="0"/>
              <w:numPr>
                <w:ilvl w:val="0"/>
                <w:numId w:val="0"/>
              </w:numPr>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②原辅料堆放区</w:t>
            </w:r>
          </w:p>
          <w:p w14:paraId="229C8B9E">
            <w:pPr>
              <w:keepNext w:val="0"/>
              <w:keepLines w:val="0"/>
              <w:numPr>
                <w:ilvl w:val="0"/>
                <w:numId w:val="0"/>
              </w:numPr>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厂内设置有专门的原料堆放区对各类原料进行存储。库内物料采用桶装</w:t>
            </w:r>
            <w:r>
              <w:rPr>
                <w:rFonts w:hint="eastAsia" w:cs="Times New Roman"/>
                <w:b w:val="0"/>
                <w:bCs w:val="0"/>
                <w:color w:val="auto"/>
                <w:lang w:val="en-US" w:eastAsia="zh-CN"/>
              </w:rPr>
              <w:t>、袋装</w:t>
            </w:r>
            <w:r>
              <w:rPr>
                <w:rFonts w:hint="eastAsia" w:ascii="Times New Roman" w:hAnsi="Times New Roman" w:cs="Times New Roman"/>
                <w:b w:val="0"/>
                <w:bCs w:val="0"/>
                <w:color w:val="auto"/>
                <w:lang w:val="en-US" w:eastAsia="zh-CN"/>
              </w:rPr>
              <w:t>和散装，在装卸、搬运过程中若操作不当，发生泄漏可能污染大气、地表水体及地下水体等，遇高温、火源，可能导致火灾、爆炸事故。</w:t>
            </w:r>
          </w:p>
          <w:p w14:paraId="64D53C34">
            <w:pPr>
              <w:keepNext w:val="0"/>
              <w:keepLines w:val="0"/>
              <w:numPr>
                <w:ilvl w:val="0"/>
                <w:numId w:val="0"/>
              </w:numPr>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cs="Times New Roman"/>
                <w:b w:val="0"/>
                <w:bCs w:val="0"/>
                <w:color w:val="auto"/>
                <w:lang w:val="en-US" w:eastAsia="zh-CN"/>
              </w:rPr>
            </w:pPr>
            <w:r>
              <w:rPr>
                <w:rFonts w:hint="eastAsia" w:cs="Times New Roman"/>
                <w:b w:val="0"/>
                <w:bCs w:val="0"/>
                <w:color w:val="auto"/>
                <w:lang w:val="en-US" w:eastAsia="zh-CN"/>
              </w:rPr>
              <w:t>③</w:t>
            </w:r>
            <w:r>
              <w:rPr>
                <w:rFonts w:hint="eastAsia" w:ascii="Times New Roman" w:hAnsi="Times New Roman" w:cs="Times New Roman"/>
                <w:b w:val="0"/>
                <w:bCs w:val="0"/>
                <w:color w:val="auto"/>
                <w:lang w:val="en-US" w:eastAsia="zh-CN"/>
              </w:rPr>
              <w:t>废气收集治理系统</w:t>
            </w:r>
          </w:p>
          <w:p w14:paraId="5A2F983D">
            <w:pPr>
              <w:keepNext w:val="0"/>
              <w:keepLines w:val="0"/>
              <w:numPr>
                <w:ilvl w:val="0"/>
                <w:numId w:val="0"/>
              </w:numPr>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本项目工艺废气使用</w:t>
            </w:r>
            <w:r>
              <w:rPr>
                <w:rFonts w:hint="eastAsia" w:cs="Times New Roman"/>
                <w:b w:val="0"/>
                <w:bCs w:val="0"/>
                <w:color w:val="auto"/>
                <w:lang w:val="en-US" w:eastAsia="zh-CN"/>
              </w:rPr>
              <w:t>“袋式除尘”装置、</w:t>
            </w:r>
            <w:r>
              <w:rPr>
                <w:rFonts w:hint="eastAsia" w:ascii="Times New Roman" w:hAnsi="Times New Roman" w:cs="Times New Roman"/>
                <w:b w:val="0"/>
                <w:bCs w:val="0"/>
                <w:color w:val="auto"/>
                <w:lang w:val="en-US" w:eastAsia="zh-CN"/>
              </w:rPr>
              <w:t>“</w:t>
            </w:r>
            <w:r>
              <w:rPr>
                <w:rFonts w:hint="eastAsia" w:cs="Times New Roman"/>
                <w:b w:val="0"/>
                <w:bCs w:val="0"/>
                <w:color w:val="auto"/>
                <w:lang w:val="en-US" w:eastAsia="zh-CN"/>
              </w:rPr>
              <w:t>脉冲除尘</w:t>
            </w:r>
            <w:r>
              <w:rPr>
                <w:rFonts w:hint="eastAsia" w:ascii="Times New Roman" w:hAnsi="Times New Roman" w:cs="Times New Roman"/>
                <w:b w:val="0"/>
                <w:bCs w:val="0"/>
                <w:color w:val="auto"/>
                <w:lang w:val="en-US" w:eastAsia="zh-CN"/>
              </w:rPr>
              <w:t>+</w:t>
            </w:r>
            <w:r>
              <w:rPr>
                <w:rFonts w:hint="eastAsia" w:cs="Times New Roman"/>
                <w:b w:val="0"/>
                <w:bCs w:val="0"/>
                <w:color w:val="auto"/>
                <w:lang w:val="en-US" w:eastAsia="zh-CN"/>
              </w:rPr>
              <w:t>水喷淋+除雾+两级活性炭吸附</w:t>
            </w:r>
            <w:r>
              <w:rPr>
                <w:rFonts w:hint="eastAsia" w:ascii="Times New Roman" w:hAnsi="Times New Roman" w:cs="Times New Roman"/>
                <w:b w:val="0"/>
                <w:bCs w:val="0"/>
                <w:color w:val="auto"/>
                <w:lang w:val="en-US" w:eastAsia="zh-CN"/>
              </w:rPr>
              <w:t>”装置进行处理，若</w:t>
            </w:r>
            <w:r>
              <w:rPr>
                <w:rFonts w:hint="eastAsia" w:cs="Times New Roman"/>
                <w:b w:val="0"/>
                <w:bCs w:val="0"/>
                <w:color w:val="auto"/>
                <w:lang w:val="en-US" w:eastAsia="zh-CN"/>
              </w:rPr>
              <w:t>布袋破损、喷淋水、</w:t>
            </w:r>
            <w:r>
              <w:rPr>
                <w:rFonts w:hint="eastAsia" w:ascii="Times New Roman" w:hAnsi="Times New Roman" w:cs="Times New Roman"/>
                <w:b w:val="0"/>
                <w:bCs w:val="0"/>
                <w:color w:val="auto"/>
                <w:lang w:val="en-US" w:eastAsia="zh-CN"/>
              </w:rPr>
              <w:t>活性炭未及时更换，可能导致废气超标排放，遇高温、火源，可能导致火灾、爆炸事故。</w:t>
            </w:r>
          </w:p>
          <w:p w14:paraId="6161A2F1">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cs="Times New Roman"/>
                <w:color w:val="auto"/>
                <w:lang w:val="en-US" w:eastAsia="zh-CN"/>
              </w:rPr>
            </w:pPr>
            <w:r>
              <w:rPr>
                <w:rFonts w:hint="eastAsia" w:cs="Times New Roman"/>
                <w:b w:val="0"/>
                <w:bCs w:val="0"/>
                <w:color w:val="auto"/>
                <w:lang w:val="en-US" w:eastAsia="zh-CN"/>
              </w:rPr>
              <w:t>④</w:t>
            </w:r>
            <w:r>
              <w:rPr>
                <w:rFonts w:hint="eastAsia" w:ascii="Times New Roman" w:hAnsi="Times New Roman" w:cs="Times New Roman"/>
                <w:b w:val="0"/>
                <w:bCs w:val="0"/>
                <w:color w:val="auto"/>
                <w:lang w:val="en-US" w:eastAsia="zh-CN"/>
              </w:rPr>
              <w:t>危废仓库</w:t>
            </w:r>
          </w:p>
          <w:p w14:paraId="67DDD1F3">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s="Times New Roman"/>
                <w:color w:val="auto"/>
                <w:lang w:val="en-US" w:eastAsia="zh-CN"/>
              </w:rPr>
            </w:pPr>
            <w:r>
              <w:rPr>
                <w:rFonts w:hint="eastAsia" w:ascii="Times New Roman" w:hAnsi="Times New Roman" w:cs="Times New Roman"/>
                <w:b w:val="0"/>
                <w:bCs w:val="0"/>
                <w:color w:val="auto"/>
                <w:lang w:val="en-US" w:eastAsia="zh-CN"/>
              </w:rPr>
              <w:t>固废堆放场所的废料泄漏，若存在地面防渗层或屋面破裂致雨水渗透的情况，则泄漏物可能通过地面渗漏，进而影响土壤和地下水，遇高温、火源，可能导致火灾、爆炸事故。</w:t>
            </w:r>
          </w:p>
          <w:p w14:paraId="775F6E4A">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（3）环境</w:t>
            </w:r>
            <w:r>
              <w:rPr>
                <w:rFonts w:hint="default" w:ascii="Times New Roman" w:hAnsi="Times New Roman" w:cs="Times New Roman"/>
                <w:b/>
                <w:bCs/>
                <w:color w:val="auto"/>
                <w:lang w:val="en-US" w:eastAsia="zh-CN"/>
              </w:rPr>
              <w:t>风险事故情形分析</w:t>
            </w:r>
          </w:p>
          <w:p w14:paraId="4393BB20">
            <w:pPr>
              <w:pStyle w:val="64"/>
              <w:keepNext w:val="0"/>
              <w:keepLines w:val="0"/>
              <w:suppressLineNumbers w:val="0"/>
              <w:tabs>
                <w:tab w:val="left" w:pos="3240"/>
              </w:tabs>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表4-3</w:t>
            </w:r>
            <w:r>
              <w:rPr>
                <w:rFonts w:hint="eastAsia" w:ascii="Times New Roman"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 xml:space="preserve">  环境</w:t>
            </w:r>
            <w:r>
              <w:rPr>
                <w:rFonts w:hint="default" w:ascii="Times New Roman" w:hAnsi="Times New Roman" w:eastAsia="宋体" w:cs="Times New Roman"/>
                <w:b/>
                <w:bCs/>
                <w:color w:val="auto"/>
                <w:sz w:val="21"/>
                <w:szCs w:val="21"/>
                <w:lang w:val="en-US" w:eastAsia="zh-CN"/>
              </w:rPr>
              <w:t>风险事故情形</w:t>
            </w:r>
            <w:r>
              <w:rPr>
                <w:rFonts w:hint="eastAsia" w:ascii="Times New Roman" w:hAnsi="Times New Roman" w:eastAsia="宋体" w:cs="Times New Roman"/>
                <w:b/>
                <w:bCs/>
                <w:color w:val="auto"/>
                <w:sz w:val="21"/>
                <w:szCs w:val="21"/>
                <w:lang w:val="en-US" w:eastAsia="zh-CN"/>
              </w:rPr>
              <w:t>分析</w:t>
            </w:r>
          </w:p>
          <w:tbl>
            <w:tblPr>
              <w:tblStyle w:val="28"/>
              <w:tblW w:w="0" w:type="auto"/>
              <w:tblInd w:w="2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80"/>
              <w:gridCol w:w="1480"/>
              <w:gridCol w:w="1480"/>
              <w:gridCol w:w="1481"/>
              <w:gridCol w:w="1420"/>
            </w:tblGrid>
            <w:tr w14:paraId="02AC6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0" w:type="dxa"/>
                  <w:tcBorders>
                    <w:tl2br w:val="nil"/>
                    <w:tr2bl w:val="nil"/>
                  </w:tcBorders>
                  <w:noWrap w:val="0"/>
                  <w:vAlign w:val="center"/>
                </w:tcPr>
                <w:p w14:paraId="52CD49B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风险单元</w:t>
                  </w:r>
                </w:p>
              </w:tc>
              <w:tc>
                <w:tcPr>
                  <w:tcW w:w="1480" w:type="dxa"/>
                  <w:tcBorders>
                    <w:tl2br w:val="nil"/>
                    <w:tr2bl w:val="nil"/>
                  </w:tcBorders>
                  <w:noWrap w:val="0"/>
                  <w:vAlign w:val="center"/>
                </w:tcPr>
                <w:p w14:paraId="2421870F">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风险源</w:t>
                  </w:r>
                </w:p>
              </w:tc>
              <w:tc>
                <w:tcPr>
                  <w:tcW w:w="1480" w:type="dxa"/>
                  <w:tcBorders>
                    <w:tl2br w:val="nil"/>
                    <w:tr2bl w:val="nil"/>
                  </w:tcBorders>
                  <w:noWrap w:val="0"/>
                  <w:vAlign w:val="center"/>
                </w:tcPr>
                <w:p w14:paraId="200DEA37">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风险物质</w:t>
                  </w:r>
                </w:p>
              </w:tc>
              <w:tc>
                <w:tcPr>
                  <w:tcW w:w="1480" w:type="dxa"/>
                  <w:tcBorders>
                    <w:tl2br w:val="nil"/>
                    <w:tr2bl w:val="nil"/>
                  </w:tcBorders>
                  <w:noWrap w:val="0"/>
                  <w:vAlign w:val="center"/>
                </w:tcPr>
                <w:p w14:paraId="42D0108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事故类型</w:t>
                  </w:r>
                </w:p>
              </w:tc>
              <w:tc>
                <w:tcPr>
                  <w:tcW w:w="1481" w:type="dxa"/>
                  <w:tcBorders>
                    <w:tl2br w:val="nil"/>
                    <w:tr2bl w:val="nil"/>
                  </w:tcBorders>
                  <w:noWrap w:val="0"/>
                  <w:vAlign w:val="center"/>
                </w:tcPr>
                <w:p w14:paraId="4F706C85">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可能扩散途径</w:t>
                  </w:r>
                </w:p>
              </w:tc>
              <w:tc>
                <w:tcPr>
                  <w:tcW w:w="1420" w:type="dxa"/>
                  <w:tcBorders>
                    <w:tl2br w:val="nil"/>
                    <w:tr2bl w:val="nil"/>
                  </w:tcBorders>
                  <w:noWrap w:val="0"/>
                  <w:vAlign w:val="center"/>
                </w:tcPr>
                <w:p w14:paraId="3A3A92F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受影响的水系/敏感保护目标</w:t>
                  </w:r>
                </w:p>
              </w:tc>
            </w:tr>
            <w:tr w14:paraId="0809E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0" w:type="dxa"/>
                  <w:tcBorders>
                    <w:tl2br w:val="nil"/>
                    <w:tr2bl w:val="nil"/>
                  </w:tcBorders>
                  <w:noWrap w:val="0"/>
                  <w:vAlign w:val="center"/>
                </w:tcPr>
                <w:p w14:paraId="55D55FF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炼胶房</w:t>
                  </w:r>
                </w:p>
              </w:tc>
              <w:tc>
                <w:tcPr>
                  <w:tcW w:w="1480" w:type="dxa"/>
                  <w:tcBorders>
                    <w:tl2br w:val="nil"/>
                    <w:tr2bl w:val="nil"/>
                  </w:tcBorders>
                  <w:noWrap w:val="0"/>
                  <w:vAlign w:val="center"/>
                </w:tcPr>
                <w:p w14:paraId="0DB1E90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涂胶</w:t>
                  </w:r>
                </w:p>
              </w:tc>
              <w:tc>
                <w:tcPr>
                  <w:tcW w:w="1480" w:type="dxa"/>
                  <w:vMerge w:val="restart"/>
                  <w:tcBorders>
                    <w:tl2br w:val="nil"/>
                    <w:tr2bl w:val="nil"/>
                  </w:tcBorders>
                  <w:noWrap w:val="0"/>
                  <w:vAlign w:val="center"/>
                </w:tcPr>
                <w:p w14:paraId="5EAF530E">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胶粘剂</w:t>
                  </w:r>
                  <w:r>
                    <w:rPr>
                      <w:rFonts w:hint="eastAsia" w:ascii="Times New Roman" w:hAnsi="Times New Roman" w:eastAsia="仿宋" w:cs="Times New Roman"/>
                      <w:color w:val="auto"/>
                      <w:szCs w:val="21"/>
                      <w:lang w:val="en-US" w:eastAsia="zh-CN"/>
                    </w:rPr>
                    <w:t>等</w:t>
                  </w:r>
                </w:p>
              </w:tc>
              <w:tc>
                <w:tcPr>
                  <w:tcW w:w="1480" w:type="dxa"/>
                  <w:vMerge w:val="restart"/>
                  <w:tcBorders>
                    <w:tl2br w:val="nil"/>
                    <w:tr2bl w:val="nil"/>
                  </w:tcBorders>
                  <w:noWrap w:val="0"/>
                  <w:vAlign w:val="center"/>
                </w:tcPr>
                <w:p w14:paraId="6E5D1D84">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物料泄漏、引发火灾/爆炸导致伴生/次生污染物排放</w:t>
                  </w:r>
                </w:p>
              </w:tc>
              <w:tc>
                <w:tcPr>
                  <w:tcW w:w="1481" w:type="dxa"/>
                  <w:vMerge w:val="restart"/>
                  <w:tcBorders>
                    <w:tl2br w:val="nil"/>
                    <w:tr2bl w:val="nil"/>
                  </w:tcBorders>
                  <w:noWrap w:val="0"/>
                  <w:vAlign w:val="center"/>
                </w:tcPr>
                <w:p w14:paraId="620F2240">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大气扩散、地表流散、土壤/地下水垂直入渗</w:t>
                  </w:r>
                </w:p>
              </w:tc>
              <w:tc>
                <w:tcPr>
                  <w:tcW w:w="1420" w:type="dxa"/>
                  <w:vMerge w:val="restart"/>
                  <w:tcBorders>
                    <w:tl2br w:val="nil"/>
                    <w:tr2bl w:val="nil"/>
                  </w:tcBorders>
                  <w:noWrap w:val="0"/>
                  <w:vAlign w:val="center"/>
                </w:tcPr>
                <w:p w14:paraId="203B41B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附近工业企业、居民点、河流、地下水、土壤</w:t>
                  </w:r>
                </w:p>
              </w:tc>
            </w:tr>
            <w:tr w14:paraId="13CA2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0" w:type="dxa"/>
                  <w:tcBorders>
                    <w:tl2br w:val="nil"/>
                    <w:tr2bl w:val="nil"/>
                  </w:tcBorders>
                  <w:noWrap w:val="0"/>
                  <w:vAlign w:val="center"/>
                </w:tcPr>
                <w:p w14:paraId="077DD022">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原辅料堆放区</w:t>
                  </w:r>
                </w:p>
              </w:tc>
              <w:tc>
                <w:tcPr>
                  <w:tcW w:w="1480" w:type="dxa"/>
                  <w:tcBorders>
                    <w:tl2br w:val="nil"/>
                    <w:tr2bl w:val="nil"/>
                  </w:tcBorders>
                  <w:noWrap w:val="0"/>
                  <w:vAlign w:val="center"/>
                </w:tcPr>
                <w:p w14:paraId="32AF1FA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原料贮存</w:t>
                  </w:r>
                </w:p>
              </w:tc>
              <w:tc>
                <w:tcPr>
                  <w:tcW w:w="1480" w:type="dxa"/>
                  <w:vMerge w:val="continue"/>
                  <w:tcBorders>
                    <w:tl2br w:val="nil"/>
                    <w:tr2bl w:val="nil"/>
                  </w:tcBorders>
                  <w:noWrap w:val="0"/>
                  <w:vAlign w:val="center"/>
                </w:tcPr>
                <w:p w14:paraId="4F90677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p>
              </w:tc>
              <w:tc>
                <w:tcPr>
                  <w:tcW w:w="1480" w:type="dxa"/>
                  <w:vMerge w:val="continue"/>
                  <w:tcBorders>
                    <w:tl2br w:val="nil"/>
                    <w:tr2bl w:val="nil"/>
                  </w:tcBorders>
                  <w:noWrap w:val="0"/>
                  <w:vAlign w:val="center"/>
                </w:tcPr>
                <w:p w14:paraId="2D7C867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p>
              </w:tc>
              <w:tc>
                <w:tcPr>
                  <w:tcW w:w="1481" w:type="dxa"/>
                  <w:vMerge w:val="continue"/>
                  <w:tcBorders>
                    <w:tl2br w:val="nil"/>
                    <w:tr2bl w:val="nil"/>
                  </w:tcBorders>
                  <w:noWrap w:val="0"/>
                  <w:vAlign w:val="center"/>
                </w:tcPr>
                <w:p w14:paraId="5C6F4AFC">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p>
              </w:tc>
              <w:tc>
                <w:tcPr>
                  <w:tcW w:w="1420" w:type="dxa"/>
                  <w:vMerge w:val="continue"/>
                  <w:tcBorders>
                    <w:tl2br w:val="nil"/>
                    <w:tr2bl w:val="nil"/>
                  </w:tcBorders>
                  <w:noWrap w:val="0"/>
                  <w:vAlign w:val="center"/>
                </w:tcPr>
                <w:p w14:paraId="538A89D6">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p>
              </w:tc>
            </w:tr>
            <w:tr w14:paraId="78E7C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0" w:type="dxa"/>
                  <w:tcBorders>
                    <w:tl2br w:val="nil"/>
                    <w:tr2bl w:val="nil"/>
                  </w:tcBorders>
                  <w:noWrap w:val="0"/>
                  <w:vAlign w:val="center"/>
                </w:tcPr>
                <w:p w14:paraId="5000BB7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危废仓库</w:t>
                  </w:r>
                </w:p>
              </w:tc>
              <w:tc>
                <w:tcPr>
                  <w:tcW w:w="1480" w:type="dxa"/>
                  <w:tcBorders>
                    <w:tl2br w:val="nil"/>
                    <w:tr2bl w:val="nil"/>
                  </w:tcBorders>
                  <w:noWrap w:val="0"/>
                  <w:vAlign w:val="center"/>
                </w:tcPr>
                <w:p w14:paraId="6F4FB763">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危废贮存</w:t>
                  </w:r>
                </w:p>
              </w:tc>
              <w:tc>
                <w:tcPr>
                  <w:tcW w:w="1480" w:type="dxa"/>
                  <w:tcBorders>
                    <w:tl2br w:val="nil"/>
                    <w:tr2bl w:val="nil"/>
                  </w:tcBorders>
                  <w:noWrap w:val="0"/>
                  <w:vAlign w:val="center"/>
                </w:tcPr>
                <w:p w14:paraId="52282E1C">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危险废物</w:t>
                  </w:r>
                </w:p>
              </w:tc>
              <w:tc>
                <w:tcPr>
                  <w:tcW w:w="1480" w:type="dxa"/>
                  <w:tcBorders>
                    <w:tl2br w:val="nil"/>
                    <w:tr2bl w:val="nil"/>
                  </w:tcBorders>
                  <w:noWrap w:val="0"/>
                  <w:vAlign w:val="center"/>
                </w:tcPr>
                <w:p w14:paraId="7B28A229">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有毒有害物质扩散、火灾/爆炸导致伴生/次生污染物排放</w:t>
                  </w:r>
                </w:p>
              </w:tc>
              <w:tc>
                <w:tcPr>
                  <w:tcW w:w="1481" w:type="dxa"/>
                  <w:vMerge w:val="continue"/>
                  <w:tcBorders>
                    <w:tl2br w:val="nil"/>
                    <w:tr2bl w:val="nil"/>
                  </w:tcBorders>
                  <w:noWrap w:val="0"/>
                  <w:vAlign w:val="center"/>
                </w:tcPr>
                <w:p w14:paraId="385990D6">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p>
              </w:tc>
              <w:tc>
                <w:tcPr>
                  <w:tcW w:w="1420" w:type="dxa"/>
                  <w:vMerge w:val="continue"/>
                  <w:tcBorders>
                    <w:tl2br w:val="nil"/>
                    <w:tr2bl w:val="nil"/>
                  </w:tcBorders>
                  <w:noWrap w:val="0"/>
                  <w:vAlign w:val="center"/>
                </w:tcPr>
                <w:p w14:paraId="1E7EF23B">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p>
              </w:tc>
            </w:tr>
            <w:tr w14:paraId="6E375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tcBorders>
                    <w:tl2br w:val="nil"/>
                    <w:tr2bl w:val="nil"/>
                  </w:tcBorders>
                  <w:noWrap w:val="0"/>
                  <w:vAlign w:val="center"/>
                </w:tcPr>
                <w:p w14:paraId="3A63C442">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eastAsia="zh-CN"/>
                    </w:rPr>
                    <w:t>环保装置</w:t>
                  </w:r>
                </w:p>
              </w:tc>
              <w:tc>
                <w:tcPr>
                  <w:tcW w:w="1480" w:type="dxa"/>
                  <w:tcBorders>
                    <w:tl2br w:val="nil"/>
                    <w:tr2bl w:val="nil"/>
                  </w:tcBorders>
                  <w:noWrap w:val="0"/>
                  <w:vAlign w:val="center"/>
                </w:tcPr>
                <w:p w14:paraId="7A8EC9EC">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废气设施</w:t>
                  </w:r>
                </w:p>
              </w:tc>
              <w:tc>
                <w:tcPr>
                  <w:tcW w:w="1480" w:type="dxa"/>
                  <w:tcBorders>
                    <w:tl2br w:val="nil"/>
                    <w:tr2bl w:val="nil"/>
                  </w:tcBorders>
                  <w:noWrap w:val="0"/>
                  <w:vAlign w:val="center"/>
                </w:tcPr>
                <w:p w14:paraId="3047FB8A">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颗粒物、非甲烷总烃、</w:t>
                  </w:r>
                  <w:r>
                    <w:rPr>
                      <w:rFonts w:hint="eastAsia" w:eastAsia="仿宋" w:cs="Times New Roman"/>
                      <w:color w:val="auto"/>
                      <w:sz w:val="21"/>
                      <w:szCs w:val="21"/>
                      <w:highlight w:val="none"/>
                      <w:lang w:val="en-US" w:eastAsia="zh-CN"/>
                    </w:rPr>
                    <w:t>二硫化碳等</w:t>
                  </w:r>
                </w:p>
              </w:tc>
              <w:tc>
                <w:tcPr>
                  <w:tcW w:w="1480" w:type="dxa"/>
                  <w:tcBorders>
                    <w:tl2br w:val="nil"/>
                    <w:tr2bl w:val="nil"/>
                  </w:tcBorders>
                  <w:noWrap w:val="0"/>
                  <w:vAlign w:val="center"/>
                </w:tcPr>
                <w:p w14:paraId="1AE8FDD0">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废气设施失灵，废气超标排放</w:t>
                  </w:r>
                </w:p>
              </w:tc>
              <w:tc>
                <w:tcPr>
                  <w:tcW w:w="1481" w:type="dxa"/>
                  <w:tcBorders>
                    <w:tl2br w:val="nil"/>
                    <w:tr2bl w:val="nil"/>
                  </w:tcBorders>
                  <w:noWrap w:val="0"/>
                  <w:vAlign w:val="center"/>
                </w:tcPr>
                <w:p w14:paraId="66B787BC">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Cs w:val="21"/>
                      <w:lang w:val="en-US" w:eastAsia="zh-CN"/>
                    </w:rPr>
                    <w:t>大气</w:t>
                  </w:r>
                  <w:r>
                    <w:rPr>
                      <w:rFonts w:hint="eastAsia" w:eastAsia="仿宋" w:cs="Times New Roman"/>
                      <w:color w:val="auto"/>
                      <w:szCs w:val="21"/>
                      <w:lang w:val="en-US" w:eastAsia="zh-CN"/>
                    </w:rPr>
                    <w:t>扩散</w:t>
                  </w:r>
                </w:p>
              </w:tc>
              <w:tc>
                <w:tcPr>
                  <w:tcW w:w="1420" w:type="dxa"/>
                  <w:tcBorders>
                    <w:tl2br w:val="nil"/>
                    <w:tr2bl w:val="nil"/>
                  </w:tcBorders>
                  <w:noWrap w:val="0"/>
                  <w:vAlign w:val="center"/>
                </w:tcPr>
                <w:p w14:paraId="01721C6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附近工业企业、居民点</w:t>
                  </w:r>
                </w:p>
              </w:tc>
            </w:tr>
          </w:tbl>
          <w:p w14:paraId="540E1259">
            <w:pPr>
              <w:keepNext w:val="0"/>
              <w:keepLines w:val="0"/>
              <w:suppressLineNumbers w:val="0"/>
              <w:tabs>
                <w:tab w:val="left" w:pos="921"/>
              </w:tabs>
              <w:adjustRightInd w:val="0"/>
              <w:snapToGrid w:val="0"/>
              <w:spacing w:before="0" w:beforeAutospacing="0" w:after="0" w:afterAutospacing="0" w:line="360" w:lineRule="auto"/>
              <w:ind w:left="0" w:right="0" w:firstLine="422" w:firstLineChars="200"/>
              <w:rPr>
                <w:rFonts w:hint="default" w:ascii="Times New Roman" w:hAnsi="Times New Roman" w:cs="Times New Roman"/>
                <w:b/>
                <w:bCs/>
                <w:color w:val="auto"/>
                <w:szCs w:val="21"/>
              </w:rPr>
            </w:pPr>
            <w:r>
              <w:rPr>
                <w:rFonts w:hint="default" w:ascii="Times New Roman" w:hAnsi="Times New Roman" w:cs="Times New Roman"/>
                <w:b/>
                <w:bCs/>
                <w:color w:val="auto"/>
                <w:szCs w:val="21"/>
              </w:rPr>
              <w:t>（4）环境风险管理</w:t>
            </w:r>
            <w:r>
              <w:rPr>
                <w:rFonts w:hint="eastAsia" w:cs="Times New Roman"/>
                <w:b/>
                <w:bCs/>
                <w:color w:val="auto"/>
                <w:szCs w:val="21"/>
                <w:lang w:val="en-US" w:eastAsia="zh-CN"/>
              </w:rPr>
              <w:t>-</w:t>
            </w:r>
            <w:r>
              <w:rPr>
                <w:rFonts w:hint="default" w:ascii="Times New Roman" w:hAnsi="Times New Roman" w:cs="Times New Roman"/>
                <w:b/>
                <w:bCs/>
                <w:color w:val="auto"/>
                <w:szCs w:val="21"/>
              </w:rPr>
              <w:t>环境风险防范措施</w:t>
            </w:r>
          </w:p>
          <w:p w14:paraId="3DAEB715">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①设备的安全管理：定期对设备进行安全检测，检测内容、时间、人员应有记录保存。安全检测应根据设备的安全性、危险性设定检测频次。</w:t>
            </w:r>
          </w:p>
          <w:p w14:paraId="7AEC2FE2">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②在储存输送系统及辅助设施中，在必要地方安装安全阀和防超压系统。</w:t>
            </w:r>
          </w:p>
          <w:p w14:paraId="09B01A30">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③在管道以及其他设备上，设置永久性接地装置；要有防雷装置，特别防止雷击。</w:t>
            </w:r>
          </w:p>
          <w:p w14:paraId="174D6FF8">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④应加强火源的管理，严禁烟火带入，对设备需进行维修焊接，应经安全部门确认、准许，并有记录。</w:t>
            </w:r>
          </w:p>
          <w:p w14:paraId="089BAD1D">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⑤危废仓库内设置防腐防渗防截流措施，配备消防砂、应急桶、灭火器等应急物资，一旦发生火灾或泄漏，第一时间进行现场处理。</w:t>
            </w:r>
          </w:p>
          <w:p w14:paraId="3C881FE8">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⑥原料仓库液体物料规范堆放，生产过程中严格按操作规程进行操作，一旦发生泄漏立即收集至应急收容桶中。</w:t>
            </w:r>
          </w:p>
          <w:p w14:paraId="4B7DB98C">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⑦定期对废气处理装置进行检修，除尘布袋</w:t>
            </w:r>
            <w:r>
              <w:rPr>
                <w:rFonts w:hint="eastAsia" w:cs="Times New Roman"/>
                <w:color w:val="auto"/>
                <w:sz w:val="21"/>
                <w:szCs w:val="21"/>
                <w:lang w:eastAsia="zh-CN"/>
              </w:rPr>
              <w:t>、</w:t>
            </w:r>
            <w:r>
              <w:rPr>
                <w:rFonts w:hint="eastAsia" w:cs="Times New Roman"/>
                <w:color w:val="auto"/>
                <w:sz w:val="21"/>
                <w:szCs w:val="21"/>
                <w:lang w:val="en-US" w:eastAsia="zh-CN"/>
              </w:rPr>
              <w:t>活性炭、喷淋水</w:t>
            </w:r>
            <w:r>
              <w:rPr>
                <w:rFonts w:hint="default" w:ascii="Times New Roman" w:hAnsi="Times New Roman" w:eastAsia="宋体" w:cs="Times New Roman"/>
                <w:color w:val="auto"/>
                <w:sz w:val="21"/>
                <w:szCs w:val="21"/>
                <w:lang w:eastAsia="zh-CN"/>
              </w:rPr>
              <w:t>定期更换，确保废气处理设施满足处理要求。</w:t>
            </w:r>
          </w:p>
          <w:p w14:paraId="45B773DE">
            <w:pPr>
              <w:pStyle w:val="22"/>
              <w:keepNext w:val="0"/>
              <w:keepLines w:val="0"/>
              <w:suppressLineNumbers w:val="0"/>
              <w:adjustRightInd w:val="0"/>
              <w:snapToGrid w:val="0"/>
              <w:spacing w:before="0" w:beforeAutospacing="0" w:after="0" w:afterAutospacing="0" w:line="360" w:lineRule="auto"/>
              <w:ind w:left="0" w:right="0" w:firstLine="420" w:firstLineChars="200"/>
              <w:jc w:val="both"/>
              <w:outlineLvl w:val="0"/>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eastAsia="zh-CN"/>
              </w:rPr>
              <w:t>⑧</w:t>
            </w:r>
            <w:r>
              <w:rPr>
                <w:rFonts w:hint="eastAsia" w:ascii="Times New Roman" w:hAnsi="Times New Roman" w:eastAsia="宋体" w:cs="Times New Roman"/>
                <w:b w:val="0"/>
                <w:bCs w:val="0"/>
                <w:color w:val="auto"/>
                <w:kern w:val="2"/>
                <w:sz w:val="21"/>
                <w:szCs w:val="21"/>
                <w:lang w:val="en-US" w:eastAsia="zh-CN" w:bidi="ar-SA"/>
              </w:rPr>
              <w:t>根据《关于做好安全生产专项整治工作实施方案》</w:t>
            </w:r>
            <w:r>
              <w:rPr>
                <w:rFonts w:hint="eastAsia" w:ascii="Times New Roman" w:hAnsi="Times New Roman" w:cs="Times New Roman"/>
                <w:b w:val="0"/>
                <w:bCs w:val="0"/>
                <w:color w:val="auto"/>
                <w:kern w:val="2"/>
                <w:sz w:val="21"/>
                <w:szCs w:val="21"/>
                <w:lang w:val="en-US" w:eastAsia="zh-CN" w:bidi="ar-SA"/>
              </w:rPr>
              <w:t>（苏环办〔2020〕16号）、</w:t>
            </w:r>
            <w:r>
              <w:rPr>
                <w:rFonts w:hint="eastAsia" w:ascii="Times New Roman" w:hAnsi="Times New Roman" w:eastAsia="宋体" w:cs="Times New Roman"/>
                <w:b w:val="0"/>
                <w:bCs w:val="0"/>
                <w:color w:val="auto"/>
                <w:kern w:val="2"/>
                <w:sz w:val="21"/>
                <w:szCs w:val="21"/>
                <w:lang w:val="en-US" w:eastAsia="zh-CN" w:bidi="ar-SA"/>
              </w:rPr>
              <w:t>《关于做好生态环境和应急管理部门联动工作的意见》（苏环办</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2020</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101号），本项目涉及的“袋式除尘”</w:t>
            </w:r>
            <w:r>
              <w:rPr>
                <w:rFonts w:hint="eastAsia" w:ascii="Times New Roman" w:hAnsi="Times New Roman" w:cs="Times New Roman"/>
                <w:b w:val="0"/>
                <w:bCs w:val="0"/>
                <w:color w:val="auto"/>
                <w:kern w:val="2"/>
                <w:sz w:val="21"/>
                <w:szCs w:val="21"/>
                <w:lang w:val="en-US" w:eastAsia="zh-CN" w:bidi="ar-SA"/>
              </w:rPr>
              <w:t>装置</w:t>
            </w:r>
            <w:r>
              <w:rPr>
                <w:rFonts w:hint="eastAsia"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脉冲除尘+水喷淋+除雾+两级活性炭吸附</w:t>
            </w:r>
            <w:r>
              <w:rPr>
                <w:rFonts w:hint="eastAsia" w:ascii="Times New Roman" w:hAnsi="Times New Roman" w:eastAsia="宋体" w:cs="Times New Roman"/>
                <w:color w:val="auto"/>
                <w:sz w:val="21"/>
                <w:szCs w:val="21"/>
                <w:lang w:eastAsia="zh-CN"/>
              </w:rPr>
              <w:t>”装置</w:t>
            </w:r>
            <w:r>
              <w:rPr>
                <w:rFonts w:hint="eastAsia" w:ascii="Times New Roman" w:hAnsi="Times New Roman" w:eastAsia="宋体" w:cs="Times New Roman"/>
                <w:b w:val="0"/>
                <w:bCs w:val="0"/>
                <w:color w:val="auto"/>
                <w:kern w:val="2"/>
                <w:sz w:val="21"/>
                <w:szCs w:val="21"/>
                <w:lang w:val="en-US" w:eastAsia="zh-CN" w:bidi="ar-SA"/>
              </w:rPr>
              <w:t>应开展安全风险识别，安评报告中应增加该部分内容，并纳入安全监管范围，做好安全防范措施。本项目</w:t>
            </w:r>
            <w:r>
              <w:rPr>
                <w:rFonts w:hint="eastAsia"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两级活性炭吸附</w:t>
            </w:r>
            <w:r>
              <w:rPr>
                <w:rFonts w:hint="eastAsia" w:ascii="Times New Roman" w:hAnsi="Times New Roman" w:eastAsia="宋体" w:cs="Times New Roman"/>
                <w:color w:val="auto"/>
                <w:sz w:val="21"/>
                <w:szCs w:val="21"/>
                <w:lang w:eastAsia="zh-CN"/>
              </w:rPr>
              <w:t>”装置</w:t>
            </w:r>
            <w:r>
              <w:rPr>
                <w:rFonts w:hint="eastAsia" w:ascii="Times New Roman" w:hAnsi="Times New Roman" w:eastAsia="宋体" w:cs="Times New Roman"/>
                <w:b w:val="0"/>
                <w:bCs w:val="0"/>
                <w:color w:val="auto"/>
                <w:kern w:val="2"/>
                <w:sz w:val="21"/>
                <w:szCs w:val="21"/>
                <w:lang w:val="en-US" w:eastAsia="zh-CN" w:bidi="ar-SA"/>
              </w:rPr>
              <w:t>将按照《催化燃烧法工业有机废气治理工程技术规范》（HJ2027-2013）《吸附法工业有机废气治理工程技术规范》（HJ2026-2013）等相关要求进行优化调整，活性炭吸附装置需要</w:t>
            </w:r>
            <w:r>
              <w:rPr>
                <w:rFonts w:hint="eastAsia" w:ascii="Times New Roman" w:hAnsi="Times New Roman" w:cs="Times New Roman"/>
                <w:b w:val="0"/>
                <w:bCs w:val="0"/>
                <w:color w:val="auto"/>
                <w:kern w:val="2"/>
                <w:sz w:val="21"/>
                <w:szCs w:val="21"/>
                <w:lang w:val="en-US" w:eastAsia="zh-CN" w:bidi="ar-SA"/>
              </w:rPr>
              <w:t>设置</w:t>
            </w:r>
            <w:r>
              <w:rPr>
                <w:rFonts w:hint="eastAsia" w:ascii="Times New Roman" w:hAnsi="Times New Roman" w:eastAsia="宋体" w:cs="Times New Roman"/>
                <w:b w:val="0"/>
                <w:bCs w:val="0"/>
                <w:color w:val="auto"/>
                <w:kern w:val="2"/>
                <w:sz w:val="21"/>
                <w:szCs w:val="21"/>
                <w:lang w:val="en-US" w:eastAsia="zh-CN" w:bidi="ar-SA"/>
              </w:rPr>
              <w:t>温度检测报警、应急降温、压差检测、泄压设施、防回火阀</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在正常生产运行过程中，企业需要加强</w:t>
            </w:r>
            <w:r>
              <w:rPr>
                <w:rFonts w:hint="eastAsia" w:ascii="Times New Roman" w:hAnsi="Times New Roman" w:eastAsia="宋体" w:cs="Times New Roman"/>
                <w:color w:val="auto"/>
                <w:sz w:val="21"/>
                <w:szCs w:val="21"/>
                <w:lang w:eastAsia="zh-CN"/>
              </w:rPr>
              <w:t>装置</w:t>
            </w:r>
            <w:r>
              <w:rPr>
                <w:rFonts w:hint="eastAsia" w:ascii="Times New Roman" w:hAnsi="Times New Roman" w:eastAsia="宋体" w:cs="Times New Roman"/>
                <w:b w:val="0"/>
                <w:bCs w:val="0"/>
                <w:color w:val="auto"/>
                <w:kern w:val="2"/>
                <w:sz w:val="21"/>
                <w:szCs w:val="21"/>
                <w:lang w:val="en-US" w:eastAsia="zh-CN" w:bidi="ar-SA"/>
              </w:rPr>
              <w:t>系统运行管理，确保</w:t>
            </w:r>
            <w:r>
              <w:rPr>
                <w:rFonts w:hint="eastAsia" w:ascii="Times New Roman" w:hAnsi="Times New Roman" w:eastAsia="宋体" w:cs="Times New Roman"/>
                <w:color w:val="auto"/>
                <w:sz w:val="21"/>
                <w:szCs w:val="21"/>
                <w:lang w:eastAsia="zh-CN"/>
              </w:rPr>
              <w:t>装置</w:t>
            </w:r>
            <w:r>
              <w:rPr>
                <w:rFonts w:hint="eastAsia" w:ascii="Times New Roman" w:hAnsi="Times New Roman" w:eastAsia="宋体" w:cs="Times New Roman"/>
                <w:b w:val="0"/>
                <w:bCs w:val="0"/>
                <w:color w:val="auto"/>
                <w:kern w:val="2"/>
                <w:sz w:val="21"/>
                <w:szCs w:val="21"/>
                <w:lang w:val="en-US" w:eastAsia="zh-CN" w:bidi="ar-SA"/>
              </w:rPr>
              <w:t>运行安全。</w:t>
            </w:r>
          </w:p>
          <w:p w14:paraId="54CE79B7">
            <w:pPr>
              <w:pStyle w:val="22"/>
              <w:keepNext w:val="0"/>
              <w:keepLines w:val="0"/>
              <w:suppressLineNumbers w:val="0"/>
              <w:adjustRightInd w:val="0"/>
              <w:snapToGrid w:val="0"/>
              <w:spacing w:before="0" w:beforeAutospacing="0" w:after="0" w:afterAutospacing="0" w:line="360" w:lineRule="auto"/>
              <w:ind w:left="0" w:right="0" w:firstLine="420" w:firstLineChars="200"/>
              <w:jc w:val="both"/>
              <w:outlineLvl w:val="0"/>
              <w:rPr>
                <w:rFonts w:hint="default" w:ascii="Times New Roman" w:hAnsi="Times New Roman" w:cs="Times New Roman"/>
                <w:b w:val="0"/>
                <w:bCs w:val="0"/>
                <w:color w:val="auto"/>
                <w:sz w:val="21"/>
                <w:szCs w:val="21"/>
                <w:lang w:eastAsia="zh-CN"/>
              </w:rPr>
            </w:pPr>
            <w:r>
              <w:rPr>
                <w:rFonts w:hint="default" w:ascii="Times New Roman" w:hAnsi="Times New Roman" w:eastAsia="宋体" w:cs="Times New Roman"/>
                <w:color w:val="auto"/>
                <w:sz w:val="21"/>
                <w:szCs w:val="21"/>
                <w:lang w:eastAsia="zh-CN"/>
              </w:rPr>
              <w:t>⑨</w:t>
            </w:r>
            <w:r>
              <w:rPr>
                <w:rFonts w:hint="default" w:ascii="Times New Roman" w:hAnsi="Times New Roman" w:cs="Times New Roman"/>
                <w:b w:val="0"/>
                <w:bCs w:val="0"/>
                <w:color w:val="auto"/>
                <w:sz w:val="21"/>
                <w:szCs w:val="21"/>
                <w:lang w:eastAsia="zh-CN"/>
              </w:rPr>
              <w:t>环境风险防控与应急措施</w:t>
            </w:r>
          </w:p>
          <w:p w14:paraId="5AD5C025">
            <w:pPr>
              <w:pStyle w:val="22"/>
              <w:keepNext w:val="0"/>
              <w:keepLines w:val="0"/>
              <w:suppressLineNumbers w:val="0"/>
              <w:adjustRightInd w:val="0"/>
              <w:snapToGrid w:val="0"/>
              <w:spacing w:before="0" w:beforeAutospacing="0" w:after="0" w:afterAutospacing="0" w:line="240" w:lineRule="auto"/>
              <w:ind w:left="0" w:right="0"/>
              <w:jc w:val="center"/>
              <w:outlineLvl w:val="0"/>
              <w:rPr>
                <w:rFonts w:hint="default" w:ascii="Times New Roman" w:hAnsi="Times New Roman" w:cs="Times New Roman"/>
                <w:b w:val="0"/>
                <w:bCs w:val="0"/>
                <w:color w:val="auto"/>
                <w:sz w:val="21"/>
                <w:szCs w:val="21"/>
                <w:lang w:eastAsia="zh-CN"/>
              </w:rPr>
            </w:pPr>
            <w:r>
              <w:rPr>
                <w:rFonts w:hint="default" w:ascii="Times New Roman" w:hAnsi="Times New Roman" w:cs="Times New Roman"/>
                <w:b/>
                <w:bCs/>
                <w:color w:val="auto"/>
                <w:sz w:val="21"/>
                <w:szCs w:val="21"/>
                <w:lang w:eastAsia="zh-CN"/>
              </w:rPr>
              <w:t>表4-</w:t>
            </w:r>
            <w:r>
              <w:rPr>
                <w:rFonts w:hint="eastAsia" w:ascii="Times New Roman" w:hAnsi="Times New Roman" w:cs="Times New Roman"/>
                <w:b/>
                <w:bCs/>
                <w:color w:val="auto"/>
                <w:sz w:val="21"/>
                <w:szCs w:val="21"/>
                <w:lang w:val="en-US" w:eastAsia="zh-CN"/>
              </w:rPr>
              <w:t xml:space="preserve">35 </w:t>
            </w:r>
            <w:r>
              <w:rPr>
                <w:rFonts w:hint="default" w:ascii="Times New Roman" w:hAnsi="Times New Roman" w:cs="Times New Roman"/>
                <w:b/>
                <w:bCs/>
                <w:color w:val="auto"/>
                <w:sz w:val="21"/>
                <w:szCs w:val="21"/>
                <w:lang w:eastAsia="zh-CN"/>
              </w:rPr>
              <w:t xml:space="preserve"> 突发环境事件三级防控体系表</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2488"/>
              <w:gridCol w:w="4137"/>
            </w:tblGrid>
            <w:tr w14:paraId="02522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7" w:type="dxa"/>
                  <w:tcBorders>
                    <w:tl2br w:val="nil"/>
                    <w:tr2bl w:val="nil"/>
                  </w:tcBorders>
                  <w:noWrap w:val="0"/>
                  <w:vAlign w:val="top"/>
                </w:tcPr>
                <w:p w14:paraId="2D03C469">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第一级：车间</w:t>
                  </w:r>
                </w:p>
              </w:tc>
              <w:tc>
                <w:tcPr>
                  <w:tcW w:w="2488" w:type="dxa"/>
                  <w:tcBorders>
                    <w:tl2br w:val="nil"/>
                    <w:tr2bl w:val="nil"/>
                  </w:tcBorders>
                  <w:noWrap w:val="0"/>
                  <w:vAlign w:val="top"/>
                </w:tcPr>
                <w:p w14:paraId="693546D9">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第二级：厂区内</w:t>
                  </w:r>
                </w:p>
              </w:tc>
              <w:tc>
                <w:tcPr>
                  <w:tcW w:w="4137" w:type="dxa"/>
                  <w:tcBorders>
                    <w:tl2br w:val="nil"/>
                    <w:tr2bl w:val="nil"/>
                  </w:tcBorders>
                  <w:noWrap w:val="0"/>
                  <w:vAlign w:val="top"/>
                </w:tcPr>
                <w:p w14:paraId="3A6A9E8B">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第三级：厂区外</w:t>
                  </w:r>
                </w:p>
              </w:tc>
            </w:tr>
            <w:tr w14:paraId="3162F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7" w:type="dxa"/>
                  <w:tcBorders>
                    <w:tl2br w:val="nil"/>
                    <w:tr2bl w:val="nil"/>
                  </w:tcBorders>
                  <w:noWrap w:val="0"/>
                  <w:vAlign w:val="top"/>
                </w:tcPr>
                <w:p w14:paraId="6A870C31">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前提：装置泄漏事故可控应急处置要点：</w:t>
                  </w:r>
                </w:p>
                <w:p w14:paraId="0A0803ED">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★启动III级应急响应；</w:t>
                  </w:r>
                </w:p>
                <w:p w14:paraId="02FAEB2E">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★上报生产主管；</w:t>
                  </w:r>
                </w:p>
                <w:p w14:paraId="770D017A">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★泄漏源控制，封堵泄漏点；</w:t>
                  </w:r>
                </w:p>
                <w:p w14:paraId="1FE3B919">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★隔离泄漏污染区；</w:t>
                  </w:r>
                </w:p>
                <w:p w14:paraId="65CFD9A1">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★泄漏物收集、转移并处理。</w:t>
                  </w:r>
                </w:p>
              </w:tc>
              <w:tc>
                <w:tcPr>
                  <w:tcW w:w="2488" w:type="dxa"/>
                  <w:tcBorders>
                    <w:tl2br w:val="nil"/>
                    <w:tr2bl w:val="nil"/>
                  </w:tcBorders>
                  <w:noWrap w:val="0"/>
                  <w:vAlign w:val="top"/>
                </w:tcPr>
                <w:p w14:paraId="3B61B7AE">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前提：装置泄漏事故不可控，流出装置外；小规模火灾事故。</w:t>
                  </w:r>
                </w:p>
                <w:p w14:paraId="372918AE">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应急处置要点：</w:t>
                  </w:r>
                </w:p>
                <w:p w14:paraId="20AA6D4E">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★启动Ⅱ级应急响应；</w:t>
                  </w:r>
                </w:p>
                <w:p w14:paraId="2C321741">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★上报企业应急管理办公室，上报区生态环境局；</w:t>
                  </w:r>
                </w:p>
                <w:p w14:paraId="0B8C8A0A">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★企业应急指挥部携应急物资赶赴现场进行应急处置；</w:t>
                  </w:r>
                </w:p>
                <w:p w14:paraId="314817B2">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★筑造临时围堰拦截泄漏物，避免泄漏物排出厂外；必要时进行疏散；</w:t>
                  </w:r>
                </w:p>
                <w:p w14:paraId="5A1D4D0C">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★泄漏物收集、转移并处理。</w:t>
                  </w:r>
                </w:p>
              </w:tc>
              <w:tc>
                <w:tcPr>
                  <w:tcW w:w="4137" w:type="dxa"/>
                  <w:tcBorders>
                    <w:tl2br w:val="nil"/>
                    <w:tr2bl w:val="nil"/>
                  </w:tcBorders>
                  <w:noWrap w:val="0"/>
                  <w:vAlign w:val="top"/>
                </w:tcPr>
                <w:p w14:paraId="2FB36136">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前提：泄漏事故不可控，流出厂外，大规模火灾事故。</w:t>
                  </w:r>
                </w:p>
                <w:p w14:paraId="529B7B64">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应急处置要点：</w:t>
                  </w:r>
                </w:p>
                <w:p w14:paraId="20AFE968">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★启动I级应急响应；</w:t>
                  </w:r>
                </w:p>
                <w:p w14:paraId="7738F548">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★上报企业应急管理办公室；</w:t>
                  </w:r>
                </w:p>
                <w:p w14:paraId="11E0C75F">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★上报区政府、区生态环境局；</w:t>
                  </w:r>
                </w:p>
                <w:p w14:paraId="467F4AE5">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★寻求消防、周边企业援助；</w:t>
                  </w:r>
                </w:p>
                <w:p w14:paraId="0154A3A0">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★企业应急指挥部携应急物资赶赴现场进行应急处置；</w:t>
                  </w:r>
                </w:p>
                <w:p w14:paraId="59FA7666">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★迅速用堵漏工具对厂区雨水排口进行封堵，构筑围堤、造坑导流、挖坑收容；避免事故污染物进入水环境；</w:t>
                  </w:r>
                </w:p>
                <w:p w14:paraId="780D1247">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★就地投加药剂处置，降低危险性；</w:t>
                  </w:r>
                </w:p>
                <w:p w14:paraId="1A4BB9AD">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★若事故污染物不慎进入河流，在污染区上、下游迅速用拦污锁或筑坝拦截污染物，投加活性炭等吸附材料，就地投加药剂处置，或将污染水抽至安全地方处置；必要时进行疏散和应急监测；</w:t>
                  </w:r>
                </w:p>
                <w:p w14:paraId="0FC81547">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★泄漏物收集、转移并处理。</w:t>
                  </w:r>
                </w:p>
              </w:tc>
            </w:tr>
          </w:tbl>
          <w:p w14:paraId="086F206D">
            <w:pPr>
              <w:pStyle w:val="22"/>
              <w:keepNext w:val="0"/>
              <w:keepLines w:val="0"/>
              <w:suppressLineNumbers w:val="0"/>
              <w:adjustRightInd w:val="0"/>
              <w:snapToGrid w:val="0"/>
              <w:spacing w:before="0" w:beforeAutospacing="0" w:after="0" w:afterAutospacing="0" w:line="360" w:lineRule="auto"/>
              <w:ind w:left="0" w:right="0" w:firstLine="420" w:firstLineChars="200"/>
              <w:jc w:val="both"/>
              <w:outlineLvl w:val="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参照《省生态环境厅关于印发江苏省环境影响评价文件环境应急相关内容编制要点的通知》（苏环办〔2022〕338号），本项目环境风险防控与应急措施情况具体见表4-</w:t>
            </w:r>
            <w:r>
              <w:rPr>
                <w:rFonts w:hint="eastAsia" w:ascii="Times New Roman" w:hAnsi="Times New Roman" w:cs="Times New Roman"/>
                <w:b w:val="0"/>
                <w:bCs w:val="0"/>
                <w:color w:val="auto"/>
                <w:sz w:val="21"/>
                <w:szCs w:val="21"/>
                <w:lang w:val="en-US" w:eastAsia="zh-CN"/>
              </w:rPr>
              <w:t>36</w:t>
            </w:r>
            <w:r>
              <w:rPr>
                <w:rFonts w:hint="default" w:ascii="Times New Roman" w:hAnsi="Times New Roman" w:cs="Times New Roman"/>
                <w:b w:val="0"/>
                <w:bCs w:val="0"/>
                <w:color w:val="auto"/>
                <w:sz w:val="21"/>
                <w:szCs w:val="21"/>
                <w:lang w:eastAsia="zh-CN"/>
              </w:rPr>
              <w:t>。</w:t>
            </w:r>
          </w:p>
          <w:p w14:paraId="26782C59">
            <w:pPr>
              <w:pStyle w:val="22"/>
              <w:keepNext w:val="0"/>
              <w:keepLines w:val="0"/>
              <w:suppressLineNumbers w:val="0"/>
              <w:adjustRightInd w:val="0"/>
              <w:snapToGrid w:val="0"/>
              <w:spacing w:before="0" w:beforeAutospacing="0" w:after="0" w:afterAutospacing="0" w:line="240" w:lineRule="auto"/>
              <w:ind w:left="0" w:right="0"/>
              <w:jc w:val="center"/>
              <w:outlineLvl w:val="0"/>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表4-</w:t>
            </w:r>
            <w:r>
              <w:rPr>
                <w:rFonts w:hint="eastAsia" w:ascii="Times New Roman" w:hAnsi="Times New Roman" w:cs="Times New Roman"/>
                <w:b/>
                <w:bCs/>
                <w:color w:val="auto"/>
                <w:sz w:val="21"/>
                <w:szCs w:val="21"/>
                <w:lang w:val="en-US" w:eastAsia="zh-CN"/>
              </w:rPr>
              <w:t xml:space="preserve">36 </w:t>
            </w:r>
            <w:r>
              <w:rPr>
                <w:rFonts w:hint="default" w:ascii="Times New Roman" w:hAnsi="Times New Roman" w:cs="Times New Roman"/>
                <w:b/>
                <w:bCs/>
                <w:color w:val="auto"/>
                <w:sz w:val="21"/>
                <w:szCs w:val="21"/>
                <w:lang w:eastAsia="zh-CN"/>
              </w:rPr>
              <w:t xml:space="preserve"> 本项目环境风险防控与应急措施情况表</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623"/>
              <w:gridCol w:w="6066"/>
            </w:tblGrid>
            <w:tr w14:paraId="3BB8F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tcBorders>
                    <w:tl2br w:val="nil"/>
                    <w:tr2bl w:val="nil"/>
                  </w:tcBorders>
                  <w:noWrap w:val="0"/>
                  <w:vAlign w:val="center"/>
                </w:tcPr>
                <w:p w14:paraId="35F19037">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类别</w:t>
                  </w:r>
                </w:p>
              </w:tc>
              <w:tc>
                <w:tcPr>
                  <w:tcW w:w="1623" w:type="dxa"/>
                  <w:tcBorders>
                    <w:tl2br w:val="nil"/>
                    <w:tr2bl w:val="nil"/>
                  </w:tcBorders>
                  <w:noWrap w:val="0"/>
                  <w:vAlign w:val="center"/>
                </w:tcPr>
                <w:p w14:paraId="2F3CB6F3">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环境风险单元</w:t>
                  </w:r>
                </w:p>
              </w:tc>
              <w:tc>
                <w:tcPr>
                  <w:tcW w:w="6066" w:type="dxa"/>
                  <w:tcBorders>
                    <w:tl2br w:val="nil"/>
                    <w:tr2bl w:val="nil"/>
                  </w:tcBorders>
                  <w:noWrap w:val="0"/>
                  <w:vAlign w:val="top"/>
                </w:tcPr>
                <w:p w14:paraId="3EA40B89">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风险防控、应急措施</w:t>
                  </w:r>
                </w:p>
              </w:tc>
            </w:tr>
            <w:tr w14:paraId="2C2E5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tcBorders>
                    <w:tl2br w:val="nil"/>
                    <w:tr2bl w:val="nil"/>
                  </w:tcBorders>
                  <w:noWrap w:val="0"/>
                  <w:vAlign w:val="center"/>
                </w:tcPr>
                <w:p w14:paraId="16317990">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主体工程</w:t>
                  </w:r>
                </w:p>
              </w:tc>
              <w:tc>
                <w:tcPr>
                  <w:tcW w:w="1623" w:type="dxa"/>
                  <w:tcBorders>
                    <w:tl2br w:val="nil"/>
                    <w:tr2bl w:val="nil"/>
                  </w:tcBorders>
                  <w:noWrap w:val="0"/>
                  <w:vAlign w:val="center"/>
                </w:tcPr>
                <w:p w14:paraId="3107E90B">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生产车间</w:t>
                  </w:r>
                </w:p>
              </w:tc>
              <w:tc>
                <w:tcPr>
                  <w:tcW w:w="6066" w:type="dxa"/>
                  <w:tcBorders>
                    <w:tl2br w:val="nil"/>
                    <w:tr2bl w:val="nil"/>
                  </w:tcBorders>
                  <w:noWrap w:val="0"/>
                  <w:vAlign w:val="top"/>
                </w:tcPr>
                <w:p w14:paraId="6B20A8A7">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①车间内设灭火器、消防栓；</w:t>
                  </w:r>
                </w:p>
                <w:p w14:paraId="45BA5EF7">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②消防器材定期保养检查，确保事故时可有效使用；</w:t>
                  </w:r>
                </w:p>
                <w:p w14:paraId="6FB1B2BE">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③火灾报警器报警时，现场人员应快速疏散，强制排风、关停设备，并启动应急响应程序，应急处置人员在做好防护工作的情况下，检查泄露点并及时处理；</w:t>
                  </w:r>
                </w:p>
                <w:p w14:paraId="2032D401">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④若发生泄漏、火灾时，在做好防护工作的前提下，及时堵漏、灭火；若液态物料、消防废水不慎流出车间外，应及时关闭雨水排口阀门，通过雨水管网将物料、废水拦截，防止其进入外环境。</w:t>
                  </w:r>
                </w:p>
              </w:tc>
            </w:tr>
            <w:tr w14:paraId="77FA0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tcBorders>
                    <w:tl2br w:val="nil"/>
                    <w:tr2bl w:val="nil"/>
                  </w:tcBorders>
                  <w:noWrap w:val="0"/>
                  <w:vAlign w:val="center"/>
                </w:tcPr>
                <w:p w14:paraId="4AB90860">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储运系统</w:t>
                  </w:r>
                </w:p>
              </w:tc>
              <w:tc>
                <w:tcPr>
                  <w:tcW w:w="1623" w:type="dxa"/>
                  <w:tcBorders>
                    <w:tl2br w:val="nil"/>
                    <w:tr2bl w:val="nil"/>
                  </w:tcBorders>
                  <w:noWrap w:val="0"/>
                  <w:vAlign w:val="center"/>
                </w:tcPr>
                <w:p w14:paraId="6B9A10C0">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原辅料堆放区</w:t>
                  </w:r>
                </w:p>
              </w:tc>
              <w:tc>
                <w:tcPr>
                  <w:tcW w:w="6066" w:type="dxa"/>
                  <w:tcBorders>
                    <w:tl2br w:val="nil"/>
                    <w:tr2bl w:val="nil"/>
                  </w:tcBorders>
                  <w:noWrap w:val="0"/>
                  <w:vAlign w:val="top"/>
                </w:tcPr>
                <w:p w14:paraId="31EE9D80">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①仓库内按原材料分类编号，各原材料均分开堆放；</w:t>
                  </w:r>
                </w:p>
                <w:p w14:paraId="3E0B46DC">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②仓库门口设有防流散坡；</w:t>
                  </w:r>
                </w:p>
                <w:p w14:paraId="37359F8C">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③仓库内设有消防栓、灭火器等消防器材；</w:t>
                  </w:r>
                </w:p>
                <w:p w14:paraId="75BB38B7">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④仓库内外设有视频监控。</w:t>
                  </w:r>
                </w:p>
              </w:tc>
            </w:tr>
            <w:tr w14:paraId="5F832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tcBorders>
                    <w:tl2br w:val="nil"/>
                    <w:tr2bl w:val="nil"/>
                  </w:tcBorders>
                  <w:noWrap w:val="0"/>
                  <w:vAlign w:val="center"/>
                </w:tcPr>
                <w:p w14:paraId="35C84E3D">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公辅工程</w:t>
                  </w:r>
                </w:p>
              </w:tc>
              <w:tc>
                <w:tcPr>
                  <w:tcW w:w="1623" w:type="dxa"/>
                  <w:tcBorders>
                    <w:tl2br w:val="nil"/>
                    <w:tr2bl w:val="nil"/>
                  </w:tcBorders>
                  <w:noWrap w:val="0"/>
                  <w:vAlign w:val="center"/>
                </w:tcPr>
                <w:p w14:paraId="29AD6B80">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公用工程</w:t>
                  </w:r>
                </w:p>
              </w:tc>
              <w:tc>
                <w:tcPr>
                  <w:tcW w:w="6066" w:type="dxa"/>
                  <w:tcBorders>
                    <w:tl2br w:val="nil"/>
                    <w:tr2bl w:val="nil"/>
                  </w:tcBorders>
                  <w:noWrap w:val="0"/>
                  <w:vAlign w:val="top"/>
                </w:tcPr>
                <w:p w14:paraId="4E3DBA1E">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设置灭火器、室内消防栓，设有视频监控。</w:t>
                  </w:r>
                </w:p>
              </w:tc>
            </w:tr>
            <w:tr w14:paraId="227C9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restart"/>
                  <w:tcBorders>
                    <w:tl2br w:val="nil"/>
                    <w:tr2bl w:val="nil"/>
                  </w:tcBorders>
                  <w:noWrap w:val="0"/>
                  <w:vAlign w:val="center"/>
                </w:tcPr>
                <w:p w14:paraId="0048F894">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环保设施</w:t>
                  </w:r>
                </w:p>
              </w:tc>
              <w:tc>
                <w:tcPr>
                  <w:tcW w:w="1623" w:type="dxa"/>
                  <w:tcBorders>
                    <w:tl2br w:val="nil"/>
                    <w:tr2bl w:val="nil"/>
                  </w:tcBorders>
                  <w:noWrap w:val="0"/>
                  <w:vAlign w:val="center"/>
                </w:tcPr>
                <w:p w14:paraId="7AE84621">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废气</w:t>
                  </w:r>
                </w:p>
              </w:tc>
              <w:tc>
                <w:tcPr>
                  <w:tcW w:w="6066" w:type="dxa"/>
                  <w:tcBorders>
                    <w:tl2br w:val="nil"/>
                    <w:tr2bl w:val="nil"/>
                  </w:tcBorders>
                  <w:noWrap w:val="0"/>
                  <w:vAlign w:val="top"/>
                </w:tcPr>
                <w:p w14:paraId="6E55EB2A">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①所有废气均配套处理设施，经处理后达标排放；</w:t>
                  </w:r>
                </w:p>
                <w:p w14:paraId="73E931F0">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②定期对废气处理设施进行维护保养。</w:t>
                  </w:r>
                </w:p>
              </w:tc>
            </w:tr>
            <w:tr w14:paraId="50CA3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continue"/>
                  <w:tcBorders>
                    <w:tl2br w:val="nil"/>
                    <w:tr2bl w:val="nil"/>
                  </w:tcBorders>
                  <w:noWrap w:val="0"/>
                  <w:vAlign w:val="center"/>
                </w:tcPr>
                <w:p w14:paraId="497621BA">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21"/>
                      <w:szCs w:val="21"/>
                      <w:lang w:val="en-US" w:eastAsia="zh-CN"/>
                    </w:rPr>
                  </w:pPr>
                </w:p>
              </w:tc>
              <w:tc>
                <w:tcPr>
                  <w:tcW w:w="1623" w:type="dxa"/>
                  <w:tcBorders>
                    <w:tl2br w:val="nil"/>
                    <w:tr2bl w:val="nil"/>
                  </w:tcBorders>
                  <w:noWrap w:val="0"/>
                  <w:vAlign w:val="center"/>
                </w:tcPr>
                <w:p w14:paraId="4EAD896C">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废水</w:t>
                  </w:r>
                </w:p>
              </w:tc>
              <w:tc>
                <w:tcPr>
                  <w:tcW w:w="6066" w:type="dxa"/>
                  <w:tcBorders>
                    <w:tl2br w:val="nil"/>
                    <w:tr2bl w:val="nil"/>
                  </w:tcBorders>
                  <w:noWrap w:val="0"/>
                  <w:vAlign w:val="top"/>
                </w:tcPr>
                <w:p w14:paraId="25B17343">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①按“雨污分流”建设，污水排放口按要求规范整治；雨水排放口设有可控阀门、视频监控，并配有专人负责紧急情况下关闭雨水排口；</w:t>
                  </w:r>
                </w:p>
                <w:p w14:paraId="4C2FFF5E">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②项目</w:t>
                  </w:r>
                  <w:r>
                    <w:rPr>
                      <w:rFonts w:hint="eastAsia" w:ascii="仿宋" w:hAnsi="仿宋" w:eastAsia="仿宋" w:cs="仿宋"/>
                      <w:color w:val="auto"/>
                      <w:sz w:val="21"/>
                      <w:szCs w:val="21"/>
                      <w:lang w:val="en-US" w:eastAsia="zh-CN"/>
                    </w:rPr>
                    <w:t>拟建设</w:t>
                  </w:r>
                  <w:r>
                    <w:rPr>
                      <w:rFonts w:hint="eastAsia" w:ascii="仿宋" w:hAnsi="仿宋" w:eastAsia="仿宋" w:cs="仿宋"/>
                      <w:color w:val="auto"/>
                      <w:sz w:val="21"/>
                      <w:szCs w:val="21"/>
                      <w:lang w:eastAsia="zh-CN"/>
                    </w:rPr>
                    <w:t>应急事故池，并设控制阀门和应急泵；</w:t>
                  </w:r>
                </w:p>
                <w:p w14:paraId="0AECD1E8">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③定期检查跑、冒、滴、漏，保持容器完好无损，定期检查污水处理相应管线下地沟的畅通性，确保出现事故时能进入事故池；</w:t>
                  </w:r>
                </w:p>
                <w:p w14:paraId="020B21EC">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④做好日常水质监测工作，当出水水质出现异常或污水处理装置出现异常，立即检查，必要时停产。</w:t>
                  </w:r>
                </w:p>
              </w:tc>
            </w:tr>
            <w:tr w14:paraId="5BEF2B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continue"/>
                  <w:tcBorders>
                    <w:tl2br w:val="nil"/>
                    <w:tr2bl w:val="nil"/>
                  </w:tcBorders>
                  <w:noWrap w:val="0"/>
                  <w:vAlign w:val="center"/>
                </w:tcPr>
                <w:p w14:paraId="3D14BAB4">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21"/>
                      <w:szCs w:val="21"/>
                      <w:lang w:val="en-US" w:eastAsia="zh-CN"/>
                    </w:rPr>
                  </w:pPr>
                </w:p>
              </w:tc>
              <w:tc>
                <w:tcPr>
                  <w:tcW w:w="1623" w:type="dxa"/>
                  <w:tcBorders>
                    <w:tl2br w:val="nil"/>
                    <w:tr2bl w:val="nil"/>
                  </w:tcBorders>
                  <w:noWrap w:val="0"/>
                  <w:vAlign w:val="center"/>
                </w:tcPr>
                <w:p w14:paraId="5D47AA41">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固废</w:t>
                  </w:r>
                </w:p>
              </w:tc>
              <w:tc>
                <w:tcPr>
                  <w:tcW w:w="6066" w:type="dxa"/>
                  <w:tcBorders>
                    <w:tl2br w:val="nil"/>
                    <w:tr2bl w:val="nil"/>
                  </w:tcBorders>
                  <w:noWrap w:val="0"/>
                  <w:vAlign w:val="top"/>
                </w:tcPr>
                <w:p w14:paraId="6191148B">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①在生产车间内设</w:t>
                  </w:r>
                  <w:r>
                    <w:rPr>
                      <w:rFonts w:hint="default" w:ascii="Times New Roman" w:hAnsi="Times New Roman" w:eastAsia="仿宋" w:cs="Times New Roman"/>
                      <w:color w:val="auto"/>
                      <w:sz w:val="21"/>
                      <w:szCs w:val="21"/>
                      <w:lang w:eastAsia="zh-CN"/>
                    </w:rPr>
                    <w:t>置1处</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lang w:eastAsia="zh-CN"/>
                    </w:rPr>
                    <w:t>0m</w:t>
                  </w:r>
                  <w:r>
                    <w:rPr>
                      <w:rFonts w:hint="default" w:ascii="Times New Roman" w:hAnsi="Times New Roman" w:eastAsia="仿宋" w:cs="Times New Roman"/>
                      <w:color w:val="auto"/>
                      <w:sz w:val="21"/>
                      <w:szCs w:val="21"/>
                      <w:vertAlign w:val="superscript"/>
                      <w:lang w:eastAsia="zh-CN"/>
                    </w:rPr>
                    <w:t>2</w:t>
                  </w:r>
                  <w:r>
                    <w:rPr>
                      <w:rFonts w:hint="eastAsia" w:ascii="仿宋" w:hAnsi="仿宋" w:eastAsia="仿宋" w:cs="仿宋"/>
                      <w:color w:val="auto"/>
                      <w:sz w:val="21"/>
                      <w:szCs w:val="21"/>
                      <w:lang w:eastAsia="zh-CN"/>
                    </w:rPr>
                    <w:t>的危废仓库，并按“防腐、防渗、防流散”等要求设置，并配备灭火器等应急物资，装有监控探头；</w:t>
                  </w:r>
                </w:p>
                <w:p w14:paraId="6B2BB87F">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②在生产车间内设置</w:t>
                  </w:r>
                  <w:r>
                    <w:rPr>
                      <w:rFonts w:hint="eastAsia"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lang w:eastAsia="zh-CN"/>
                    </w:rPr>
                    <w:t>0m</w:t>
                  </w:r>
                  <w:r>
                    <w:rPr>
                      <w:rFonts w:hint="default" w:ascii="Times New Roman" w:hAnsi="Times New Roman" w:eastAsia="仿宋" w:cs="Times New Roman"/>
                      <w:color w:val="auto"/>
                      <w:sz w:val="21"/>
                      <w:szCs w:val="21"/>
                      <w:vertAlign w:val="superscript"/>
                      <w:lang w:eastAsia="zh-CN"/>
                    </w:rPr>
                    <w:t>2</w:t>
                  </w:r>
                  <w:r>
                    <w:rPr>
                      <w:rFonts w:hint="eastAsia" w:ascii="仿宋" w:hAnsi="仿宋" w:eastAsia="仿宋" w:cs="仿宋"/>
                      <w:color w:val="auto"/>
                      <w:sz w:val="21"/>
                      <w:szCs w:val="21"/>
                      <w:lang w:eastAsia="zh-CN"/>
                    </w:rPr>
                    <w:t>的一般固废堆场，配有一定的应急设施；</w:t>
                  </w:r>
                </w:p>
                <w:p w14:paraId="0DE7E19B">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③定期检查固废堆场，及时排查物质的泄漏、挥发；</w:t>
                  </w:r>
                </w:p>
                <w:p w14:paraId="3C2237F5">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④加强管理，固废堆场附近严禁烟火、易燃易爆的固体废物应做好防静电措施。</w:t>
                  </w:r>
                </w:p>
              </w:tc>
            </w:tr>
            <w:tr w14:paraId="41834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6" w:type="dxa"/>
                  <w:gridSpan w:val="2"/>
                  <w:tcBorders>
                    <w:tl2br w:val="nil"/>
                    <w:tr2bl w:val="nil"/>
                  </w:tcBorders>
                  <w:noWrap w:val="0"/>
                  <w:vAlign w:val="center"/>
                </w:tcPr>
                <w:p w14:paraId="6E52CF12">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风险防范措施</w:t>
                  </w:r>
                </w:p>
              </w:tc>
              <w:tc>
                <w:tcPr>
                  <w:tcW w:w="6066" w:type="dxa"/>
                  <w:tcBorders>
                    <w:tl2br w:val="nil"/>
                    <w:tr2bl w:val="nil"/>
                  </w:tcBorders>
                  <w:noWrap w:val="0"/>
                  <w:vAlign w:val="top"/>
                </w:tcPr>
                <w:p w14:paraId="0B3DDDFF">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①项目</w:t>
                  </w:r>
                  <w:r>
                    <w:rPr>
                      <w:rFonts w:hint="eastAsia" w:ascii="仿宋" w:hAnsi="仿宋" w:eastAsia="仿宋" w:cs="仿宋"/>
                      <w:color w:val="auto"/>
                      <w:sz w:val="21"/>
                      <w:szCs w:val="21"/>
                      <w:lang w:val="en-US" w:eastAsia="zh-CN"/>
                    </w:rPr>
                    <w:t>拟建设</w:t>
                  </w:r>
                  <w:r>
                    <w:rPr>
                      <w:rFonts w:hint="eastAsia" w:ascii="仿宋" w:hAnsi="仿宋" w:eastAsia="仿宋" w:cs="仿宋"/>
                      <w:color w:val="auto"/>
                      <w:sz w:val="21"/>
                      <w:szCs w:val="21"/>
                      <w:lang w:eastAsia="zh-CN"/>
                    </w:rPr>
                    <w:t>应急事故池，并设控制阀门和应急泵；</w:t>
                  </w:r>
                </w:p>
                <w:p w14:paraId="0537B79D">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②厂区设</w:t>
                  </w:r>
                  <w:r>
                    <w:rPr>
                      <w:rFonts w:hint="default" w:ascii="Times New Roman" w:hAnsi="Times New Roman" w:eastAsia="仿宋" w:cs="Times New Roman"/>
                      <w:color w:val="auto"/>
                      <w:sz w:val="21"/>
                      <w:szCs w:val="21"/>
                      <w:lang w:eastAsia="zh-CN"/>
                    </w:rPr>
                    <w:t>1</w:t>
                  </w:r>
                  <w:r>
                    <w:rPr>
                      <w:rFonts w:hint="eastAsia" w:ascii="仿宋" w:hAnsi="仿宋" w:eastAsia="仿宋" w:cs="仿宋"/>
                      <w:color w:val="auto"/>
                      <w:sz w:val="21"/>
                      <w:szCs w:val="21"/>
                      <w:lang w:eastAsia="zh-CN"/>
                    </w:rPr>
                    <w:t>处雨水排放口，设置切断阀、应急泵以及相应的应急管道，阻断泄漏物料和消防尾水汇入雨水管网，一旦发生事故，可以关闭雨水排口的切断阀，打开应急泵，利用与应急池连接的管道使事故废水泵入事故池内，待事故结束后，企业再根据事故水质处理；</w:t>
                  </w:r>
                </w:p>
                <w:p w14:paraId="58A39F7E">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③厂区内各个风险单元附近设有一定数量的消防栓、灭火器及消防沙等消防器材以及个人防护用品，满足应急要求；厂区内消防通道符合设计规范，保证在事故状态下畅通无阻。</w:t>
                  </w:r>
                </w:p>
              </w:tc>
            </w:tr>
          </w:tbl>
          <w:p w14:paraId="09BDAC1C">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bookmarkStart w:id="16" w:name="_Toc20134"/>
            <w:bookmarkStart w:id="17" w:name="_Toc12679"/>
            <w:r>
              <w:rPr>
                <w:rFonts w:hint="default" w:ascii="Times New Roman" w:hAnsi="Times New Roman" w:eastAsia="宋体" w:cs="Times New Roman"/>
                <w:color w:val="auto"/>
                <w:sz w:val="21"/>
                <w:szCs w:val="21"/>
              </w:rPr>
              <w:t>参考《化工建设项目环境保护设计规范》（GB50483-20</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9）</w:t>
            </w:r>
            <w:r>
              <w:rPr>
                <w:rFonts w:hint="eastAsia" w:ascii="Times New Roman" w:hAnsi="Times New Roman" w:eastAsia="宋体" w:cs="Times New Roman"/>
                <w:color w:val="auto"/>
                <w:sz w:val="21"/>
                <w:szCs w:val="21"/>
                <w:lang w:val="en-US" w:eastAsia="zh-CN"/>
              </w:rPr>
              <w:t>有关规定，事故应急池宜采取地下式，使事故废水重力流排入。结合</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石化企业水体环境风险防控技术要求</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Q/SH 0729-2018</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计算事故应急池所需容积，计算公式如下：</w:t>
            </w:r>
          </w:p>
          <w:p w14:paraId="5904E8DF">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a</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5</w:t>
            </w:r>
          </w:p>
          <w:p w14:paraId="264E7500">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a</w:t>
            </w:r>
            <w:r>
              <w:rPr>
                <w:rFonts w:hint="default" w:ascii="Times New Roman" w:hAnsi="Times New Roman" w:eastAsia="宋体" w:cs="Times New Roman"/>
                <w:color w:val="auto"/>
                <w:sz w:val="21"/>
                <w:szCs w:val="21"/>
              </w:rPr>
              <w:t>：事故应急池容积，m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14:paraId="6FDD4C92">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：事故一个罐或一个装置物料量；</w:t>
            </w:r>
          </w:p>
          <w:p w14:paraId="0E99EB6D">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：事故状态下最大消防水量，m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14:paraId="43011DAA">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：事故时可以转输</w:t>
            </w:r>
            <w:r>
              <w:rPr>
                <w:rFonts w:hint="eastAsia" w:cs="Times New Roman"/>
                <w:color w:val="auto"/>
                <w:sz w:val="21"/>
                <w:szCs w:val="21"/>
                <w:lang w:eastAsia="zh-CN"/>
              </w:rPr>
              <w:t>到其他</w:t>
            </w:r>
            <w:r>
              <w:rPr>
                <w:rFonts w:hint="default" w:ascii="Times New Roman" w:hAnsi="Times New Roman" w:eastAsia="宋体" w:cs="Times New Roman"/>
                <w:color w:val="auto"/>
                <w:sz w:val="21"/>
                <w:szCs w:val="21"/>
              </w:rPr>
              <w:t>储存或处理设施的物料量，m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14:paraId="6E3DC27E">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：发生事故时必须进入该收集系统的生产废水量，m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14:paraId="6BCA15BA">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：发生事故时可能进入该收集系统的降雨量，m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14:paraId="596035BF">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喷淋塔</w:t>
            </w:r>
            <w:r>
              <w:rPr>
                <w:rFonts w:hint="eastAsia" w:ascii="Times New Roman" w:hAnsi="Times New Roman" w:eastAsia="宋体" w:cs="Times New Roman"/>
                <w:color w:val="auto"/>
                <w:sz w:val="21"/>
                <w:szCs w:val="21"/>
                <w:lang w:val="en-US" w:eastAsia="zh-CN"/>
              </w:rPr>
              <w:t>容量为</w:t>
            </w:r>
            <w:r>
              <w:rPr>
                <w:rFonts w:hint="eastAsia" w:cs="Times New Roman"/>
                <w:color w:val="auto"/>
                <w:sz w:val="21"/>
                <w:szCs w:val="21"/>
                <w:lang w:val="en-US" w:eastAsia="zh-CN"/>
              </w:rPr>
              <w:t>0.5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lang w:val="en-US" w:eastAsia="zh-CN"/>
              </w:rPr>
              <w:t>，则V</w:t>
            </w:r>
            <w:r>
              <w:rPr>
                <w:rFonts w:hint="eastAsia" w:ascii="Times New Roman" w:hAnsi="Times New Roman" w:eastAsia="宋体" w:cs="Times New Roman"/>
                <w:color w:val="auto"/>
                <w:sz w:val="21"/>
                <w:szCs w:val="21"/>
                <w:vertAlign w:val="subscript"/>
                <w:lang w:val="en-US" w:eastAsia="zh-CN"/>
              </w:rPr>
              <w:t>1</w:t>
            </w:r>
            <w:r>
              <w:rPr>
                <w:rFonts w:hint="eastAsia"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0.5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14:paraId="08C35894">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厂区消防水泵流量为</w:t>
            </w:r>
            <w:r>
              <w:rPr>
                <w:rFonts w:hint="eastAsia" w:cs="Times New Roman"/>
                <w:color w:val="auto"/>
                <w:sz w:val="21"/>
                <w:szCs w:val="21"/>
                <w:lang w:val="en-US" w:eastAsia="zh-CN"/>
              </w:rPr>
              <w:t>54</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，火灾延续时间取</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h，所以消防用水量V</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108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lang w:eastAsia="zh-CN"/>
              </w:rPr>
              <w:t>；</w:t>
            </w:r>
          </w:p>
          <w:p w14:paraId="7B5862D8">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：厂区内已实行雨污分流，事故应急池与雨水管网相通，公司雨水</w:t>
            </w:r>
            <w:r>
              <w:rPr>
                <w:rFonts w:hint="eastAsia" w:ascii="Times New Roman" w:hAnsi="Times New Roman" w:eastAsia="宋体" w:cs="Times New Roman"/>
                <w:color w:val="auto"/>
                <w:sz w:val="21"/>
                <w:szCs w:val="21"/>
                <w:lang w:val="en-US" w:eastAsia="zh-CN"/>
              </w:rPr>
              <w:t>明渠截面积按0.15m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计</w:t>
            </w:r>
            <w:r>
              <w:rPr>
                <w:rFonts w:hint="default" w:ascii="Times New Roman" w:hAnsi="Times New Roman" w:eastAsia="宋体" w:cs="Times New Roman"/>
                <w:color w:val="auto"/>
                <w:sz w:val="21"/>
                <w:szCs w:val="21"/>
              </w:rPr>
              <w:t>，长度约为</w:t>
            </w:r>
            <w:r>
              <w:rPr>
                <w:rFonts w:hint="eastAsia" w:cs="Times New Roman"/>
                <w:color w:val="auto"/>
                <w:sz w:val="21"/>
                <w:szCs w:val="21"/>
                <w:lang w:val="en-US" w:eastAsia="zh-CN"/>
              </w:rPr>
              <w:t>85</w:t>
            </w:r>
            <w:r>
              <w:rPr>
                <w:rFonts w:hint="default" w:ascii="Times New Roman" w:hAnsi="Times New Roman" w:eastAsia="宋体" w:cs="Times New Roman"/>
                <w:color w:val="auto"/>
                <w:sz w:val="21"/>
                <w:szCs w:val="21"/>
              </w:rPr>
              <w:t>0米，则</w:t>
            </w:r>
            <w:r>
              <w:rPr>
                <w:rFonts w:hint="eastAsia" w:ascii="Times New Roman" w:hAnsi="Times New Roman" w:eastAsia="宋体" w:cs="Times New Roman"/>
                <w:color w:val="auto"/>
                <w:sz w:val="21"/>
                <w:szCs w:val="21"/>
                <w:lang w:val="en-US" w:eastAsia="zh-CN"/>
              </w:rPr>
              <w:t>有效</w:t>
            </w:r>
            <w:r>
              <w:rPr>
                <w:rFonts w:hint="default" w:ascii="Times New Roman" w:hAnsi="Times New Roman" w:eastAsia="宋体" w:cs="Times New Roman"/>
                <w:color w:val="auto"/>
                <w:sz w:val="21"/>
                <w:szCs w:val="21"/>
              </w:rPr>
              <w:t>容积约为</w:t>
            </w:r>
            <w:r>
              <w:rPr>
                <w:rFonts w:hint="eastAsia" w:cs="Times New Roman"/>
                <w:color w:val="auto"/>
                <w:sz w:val="21"/>
                <w:szCs w:val="21"/>
                <w:lang w:val="en-US" w:eastAsia="zh-CN"/>
              </w:rPr>
              <w:t>10</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10</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14:paraId="0FB0ED45">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：发生事故时必须进入该收集系统的生产废水量为0m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14:paraId="5514393B">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：发生事故时可能进入该收集系统的降雨量，V</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=10qF；</w:t>
            </w:r>
          </w:p>
          <w:p w14:paraId="0C45E9D3">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q：降雨强度，mm；按平均日降雨量</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q=8.52mm</w:t>
            </w:r>
            <w:r>
              <w:rPr>
                <w:rFonts w:hint="default" w:ascii="Times New Roman" w:hAnsi="Times New Roman" w:eastAsia="宋体" w:cs="Times New Roman"/>
                <w:color w:val="auto"/>
                <w:sz w:val="21"/>
                <w:szCs w:val="21"/>
              </w:rPr>
              <w:t>；</w:t>
            </w:r>
          </w:p>
          <w:p w14:paraId="02C87BA7">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F：必须进入事故废水收集系统的雨水汇水面积ha，</w:t>
            </w:r>
            <w:r>
              <w:rPr>
                <w:rFonts w:hint="default" w:ascii="Times New Roman" w:hAnsi="Times New Roman" w:cs="Times New Roman"/>
                <w:color w:val="auto"/>
                <w:sz w:val="21"/>
                <w:szCs w:val="21"/>
                <w:lang w:eastAsia="zh-CN"/>
              </w:rPr>
              <w:t>约</w:t>
            </w:r>
            <w:r>
              <w:rPr>
                <w:rFonts w:hint="eastAsia" w:ascii="Times New Roman" w:hAnsi="Times New Roman" w:cs="Times New Roman"/>
                <w:color w:val="auto"/>
                <w:sz w:val="21"/>
                <w:szCs w:val="21"/>
                <w:lang w:val="en-US" w:eastAsia="zh-CN"/>
              </w:rPr>
              <w:t>0.</w:t>
            </w:r>
            <w:r>
              <w:rPr>
                <w:rFonts w:hint="eastAsia" w:cs="Times New Roman"/>
                <w:color w:val="auto"/>
                <w:sz w:val="21"/>
                <w:szCs w:val="21"/>
                <w:lang w:val="en-US" w:eastAsia="zh-CN"/>
              </w:rPr>
              <w:t>25</w:t>
            </w:r>
            <w:r>
              <w:rPr>
                <w:rFonts w:hint="default" w:ascii="Times New Roman" w:hAnsi="Times New Roman" w:eastAsia="宋体" w:cs="Times New Roman"/>
                <w:color w:val="auto"/>
                <w:sz w:val="21"/>
                <w:szCs w:val="21"/>
              </w:rPr>
              <w:t>ha；</w:t>
            </w:r>
          </w:p>
          <w:p w14:paraId="64C73B49">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=10×</w:t>
            </w:r>
            <w:r>
              <w:rPr>
                <w:rFonts w:hint="eastAsia" w:ascii="Times New Roman" w:hAnsi="Times New Roman" w:eastAsia="宋体" w:cs="Times New Roman"/>
                <w:color w:val="auto"/>
                <w:sz w:val="21"/>
                <w:szCs w:val="21"/>
                <w:lang w:val="en-US" w:eastAsia="zh-CN"/>
              </w:rPr>
              <w:t>8.52</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0.</w:t>
            </w:r>
            <w:r>
              <w:rPr>
                <w:rFonts w:hint="eastAsia" w:cs="Times New Roman"/>
                <w:color w:val="auto"/>
                <w:sz w:val="21"/>
                <w:szCs w:val="21"/>
                <w:lang w:val="en-US" w:eastAsia="zh-CN"/>
              </w:rPr>
              <w:t>25</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2</w:t>
            </w:r>
            <w:r>
              <w:rPr>
                <w:rFonts w:hint="eastAsia" w:cs="Times New Roman"/>
                <w:color w:val="auto"/>
                <w:sz w:val="21"/>
                <w:szCs w:val="21"/>
                <w:lang w:val="en-US" w:eastAsia="zh-CN"/>
              </w:rPr>
              <w:t>1.3</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p w14:paraId="70C769F5">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事故储存设施总有效容积V</w:t>
            </w:r>
            <w:r>
              <w:rPr>
                <w:rFonts w:hint="default" w:ascii="Times New Roman" w:hAnsi="Times New Roman" w:eastAsia="宋体" w:cs="Times New Roman"/>
                <w:color w:val="auto"/>
                <w:sz w:val="21"/>
                <w:szCs w:val="21"/>
                <w:vertAlign w:val="subscript"/>
              </w:rPr>
              <w:t>a</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)max+V</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5</w:t>
            </w:r>
          </w:p>
          <w:p w14:paraId="20388EC2">
            <w:pPr>
              <w:keepNext w:val="0"/>
              <w:keepLines w:val="0"/>
              <w:suppressLineNumbers w:val="0"/>
              <w:adjustRightInd w:val="0"/>
              <w:snapToGrid w:val="0"/>
              <w:spacing w:before="0" w:beforeAutospacing="0" w:after="0" w:afterAutospacing="0" w:line="360" w:lineRule="auto"/>
              <w:ind w:left="0" w:right="0" w:firstLine="2940" w:firstLineChars="1400"/>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0.5</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108</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102</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21.3</w:t>
            </w:r>
          </w:p>
          <w:p w14:paraId="5989EE2C">
            <w:pPr>
              <w:keepNext w:val="0"/>
              <w:keepLines w:val="0"/>
              <w:suppressLineNumbers w:val="0"/>
              <w:adjustRightInd w:val="0"/>
              <w:snapToGrid w:val="0"/>
              <w:spacing w:before="0" w:beforeAutospacing="0" w:after="0" w:afterAutospacing="0" w:line="360" w:lineRule="auto"/>
              <w:ind w:left="0" w:right="0" w:firstLine="2940" w:firstLineChars="14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27.8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p w14:paraId="69104107">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因此</w:t>
            </w:r>
            <w:r>
              <w:rPr>
                <w:rFonts w:hint="default" w:ascii="Times New Roman" w:hAnsi="Times New Roman" w:eastAsia="宋体" w:cs="Times New Roman"/>
                <w:color w:val="auto"/>
                <w:sz w:val="21"/>
                <w:szCs w:val="21"/>
              </w:rPr>
              <w:t>，事故应急池容积应不小于</w:t>
            </w:r>
            <w:r>
              <w:rPr>
                <w:rFonts w:hint="eastAsia" w:cs="Times New Roman"/>
                <w:color w:val="auto"/>
                <w:sz w:val="21"/>
                <w:szCs w:val="21"/>
                <w:lang w:val="en-US" w:eastAsia="zh-CN"/>
              </w:rPr>
              <w:t>30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vertAlign w:val="baseline"/>
                <w:lang w:eastAsia="zh-CN"/>
              </w:rPr>
              <w:t>，项目拟建设应急事故池，并设控制阀门和应急泵</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eastAsia="zh-CN"/>
              </w:rPr>
              <w:t>本项目雨水</w:t>
            </w:r>
            <w:r>
              <w:rPr>
                <w:rFonts w:hint="default" w:ascii="Times New Roman" w:hAnsi="Times New Roman" w:eastAsia="宋体" w:cs="Times New Roman"/>
                <w:color w:val="auto"/>
                <w:sz w:val="21"/>
                <w:szCs w:val="21"/>
              </w:rPr>
              <w:t>排口与外部水体间必须安装切断装置，不能随意排入附近水体中，必须经管线排入事故池。一旦发生事故，厂区</w:t>
            </w:r>
            <w:r>
              <w:rPr>
                <w:rFonts w:hint="default" w:ascii="Times New Roman" w:hAnsi="Times New Roman" w:cs="Times New Roman"/>
                <w:color w:val="auto"/>
                <w:sz w:val="21"/>
                <w:szCs w:val="21"/>
                <w:lang w:eastAsia="zh-CN"/>
              </w:rPr>
              <w:t>雨水</w:t>
            </w:r>
            <w:r>
              <w:rPr>
                <w:rFonts w:hint="default" w:ascii="Times New Roman" w:hAnsi="Times New Roman" w:eastAsia="宋体" w:cs="Times New Roman"/>
                <w:color w:val="auto"/>
                <w:sz w:val="21"/>
                <w:szCs w:val="21"/>
              </w:rPr>
              <w:t>排口</w:t>
            </w:r>
            <w:r>
              <w:rPr>
                <w:rFonts w:hint="eastAsia" w:cs="Times New Roman"/>
                <w:color w:val="auto"/>
                <w:sz w:val="21"/>
                <w:szCs w:val="21"/>
                <w:lang w:val="en-US" w:eastAsia="zh-CN"/>
              </w:rPr>
              <w:t>切断</w:t>
            </w:r>
            <w:r>
              <w:rPr>
                <w:rFonts w:hint="default" w:ascii="Times New Roman" w:hAnsi="Times New Roman" w:eastAsia="宋体" w:cs="Times New Roman"/>
                <w:color w:val="auto"/>
                <w:sz w:val="21"/>
                <w:szCs w:val="21"/>
              </w:rPr>
              <w:t>阀必须关闭，确保消防废水进入事故应急池，不外排。收集的消防废水须根据情况委托处理，杜绝不经处理直接排入水体。</w:t>
            </w:r>
          </w:p>
          <w:p w14:paraId="16FA3C20">
            <w:pPr>
              <w:pStyle w:val="22"/>
              <w:keepNext w:val="0"/>
              <w:keepLines w:val="0"/>
              <w:suppressLineNumbers w:val="0"/>
              <w:adjustRightInd w:val="0"/>
              <w:snapToGrid w:val="0"/>
              <w:spacing w:before="0" w:beforeAutospacing="0" w:after="0" w:afterAutospacing="0" w:line="360" w:lineRule="auto"/>
              <w:ind w:left="0" w:right="0" w:firstLine="422" w:firstLineChars="200"/>
              <w:jc w:val="both"/>
              <w:outlineLvl w:val="0"/>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w:t>
            </w:r>
            <w:r>
              <w:rPr>
                <w:rFonts w:hint="default" w:ascii="Times New Roman" w:hAnsi="Times New Roman" w:cs="Times New Roman"/>
                <w:b/>
                <w:bCs/>
                <w:color w:val="auto"/>
                <w:sz w:val="21"/>
                <w:szCs w:val="21"/>
                <w:lang w:eastAsia="zh-CN"/>
              </w:rPr>
              <w:t>突发环境事件应急预案编制要求</w:t>
            </w:r>
            <w:bookmarkEnd w:id="16"/>
            <w:bookmarkEnd w:id="17"/>
          </w:p>
          <w:p w14:paraId="3DB2265C">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公司应按照国家、地方及相关部门要求编制企业突发环境事件应急预案（以下简称</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预案</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），预案内容应包括：应急预案</w:t>
            </w:r>
            <w:r>
              <w:rPr>
                <w:rFonts w:hint="eastAsia" w:cs="Times New Roman"/>
                <w:color w:val="auto"/>
                <w:sz w:val="21"/>
                <w:szCs w:val="21"/>
                <w:lang w:eastAsia="zh-CN"/>
              </w:rPr>
              <w:t>适用范围</w:t>
            </w:r>
            <w:r>
              <w:rPr>
                <w:rFonts w:hint="default" w:ascii="Times New Roman" w:hAnsi="Times New Roman" w:cs="Times New Roman"/>
                <w:color w:val="auto"/>
                <w:sz w:val="21"/>
                <w:szCs w:val="21"/>
                <w:lang w:eastAsia="zh-CN"/>
              </w:rPr>
              <w:t>、环境事件分类与分级、组织机构与职责、监控和预警、应急响应、应急保障、善后处置、预案管理与演练等。</w:t>
            </w:r>
          </w:p>
          <w:p w14:paraId="240FCA3E">
            <w:pPr>
              <w:keepNext w:val="0"/>
              <w:keepLines w:val="0"/>
              <w:suppressLineNumbers w:val="0"/>
              <w:tabs>
                <w:tab w:val="left" w:pos="921"/>
              </w:tabs>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lang w:val="en-US" w:eastAsia="zh-CN"/>
              </w:rPr>
            </w:pPr>
            <w:r>
              <w:rPr>
                <w:rFonts w:hint="default" w:ascii="Times New Roman" w:hAnsi="Times New Roman" w:cs="Times New Roman"/>
                <w:color w:val="auto"/>
                <w:sz w:val="21"/>
                <w:szCs w:val="21"/>
                <w:lang w:eastAsia="zh-CN"/>
              </w:rPr>
              <w:t>预案应明确公司、公司所在厂区、</w:t>
            </w:r>
            <w:r>
              <w:rPr>
                <w:rFonts w:hint="eastAsia" w:ascii="Times New Roman" w:hAnsi="Times New Roman" w:cs="Times New Roman"/>
                <w:color w:val="auto"/>
                <w:sz w:val="21"/>
                <w:szCs w:val="21"/>
                <w:lang w:val="en-US" w:eastAsia="zh-CN"/>
              </w:rPr>
              <w:t>所在镇、所在区</w:t>
            </w:r>
            <w:r>
              <w:rPr>
                <w:rFonts w:hint="default" w:ascii="Times New Roman" w:hAnsi="Times New Roman" w:cs="Times New Roman"/>
                <w:color w:val="auto"/>
                <w:sz w:val="21"/>
                <w:szCs w:val="21"/>
                <w:lang w:eastAsia="zh-CN"/>
              </w:rPr>
              <w:t>环境风险应急体系，体现分级响应、区域联动的原则，与</w:t>
            </w:r>
            <w:r>
              <w:rPr>
                <w:rFonts w:hint="eastAsia" w:ascii="Times New Roman" w:hAnsi="Times New Roman" w:cs="Times New Roman"/>
                <w:color w:val="auto"/>
                <w:sz w:val="21"/>
                <w:szCs w:val="21"/>
                <w:lang w:val="en-US" w:eastAsia="zh-CN"/>
              </w:rPr>
              <w:t>上级</w:t>
            </w:r>
            <w:r>
              <w:rPr>
                <w:rFonts w:hint="default" w:ascii="Times New Roman" w:hAnsi="Times New Roman" w:cs="Times New Roman"/>
                <w:color w:val="auto"/>
                <w:sz w:val="21"/>
                <w:szCs w:val="21"/>
                <w:lang w:eastAsia="zh-CN"/>
              </w:rPr>
              <w:t>突发环境事件应急预案相衔接，明确分级响应程序</w:t>
            </w:r>
            <w:r>
              <w:rPr>
                <w:rFonts w:hint="eastAsia" w:ascii="Times New Roman" w:hAnsi="Times New Roman" w:cs="Times New Roman"/>
                <w:color w:val="auto"/>
                <w:sz w:val="21"/>
                <w:szCs w:val="21"/>
                <w:lang w:eastAsia="zh-CN"/>
              </w:rPr>
              <w:t>。</w:t>
            </w:r>
          </w:p>
          <w:p w14:paraId="2C7A37CF">
            <w:pPr>
              <w:pStyle w:val="22"/>
              <w:keepNext w:val="0"/>
              <w:keepLines w:val="0"/>
              <w:suppressLineNumbers w:val="0"/>
              <w:spacing w:before="0" w:beforeAutospacing="0" w:after="0" w:afterAutospacing="0" w:line="460" w:lineRule="exact"/>
              <w:ind w:left="0" w:right="0"/>
              <w:jc w:val="both"/>
              <w:outlineLvl w:val="9"/>
              <w:rPr>
                <w:rFonts w:hint="default" w:ascii="Times New Roman" w:hAnsi="Times New Roman" w:cs="Times New Roman"/>
                <w:b/>
                <w:bCs/>
                <w:color w:val="auto"/>
                <w:szCs w:val="32"/>
              </w:rPr>
            </w:pPr>
          </w:p>
        </w:tc>
      </w:tr>
    </w:tbl>
    <w:p w14:paraId="420C4956">
      <w:pPr>
        <w:pStyle w:val="22"/>
        <w:jc w:val="center"/>
        <w:outlineLvl w:val="9"/>
        <w:rPr>
          <w:rFonts w:hint="default" w:ascii="Times New Roman" w:hAnsi="Times New Roman" w:eastAsia="黑体" w:cs="Times New Roman"/>
          <w:snapToGrid w:val="0"/>
          <w:color w:val="auto"/>
          <w:sz w:val="30"/>
          <w:szCs w:val="30"/>
        </w:rPr>
        <w:sectPr>
          <w:pgSz w:w="11905" w:h="16838"/>
          <w:pgMar w:top="1191" w:right="1400" w:bottom="1417" w:left="1088"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4EB64785">
      <w:pPr>
        <w:pStyle w:val="22"/>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黑体" w:cs="Times New Roman"/>
          <w:snapToGrid w:val="0"/>
          <w:color w:val="auto"/>
          <w:sz w:val="30"/>
          <w:szCs w:val="30"/>
        </w:rPr>
      </w:pPr>
      <w:bookmarkStart w:id="18" w:name="_Toc16315"/>
      <w:bookmarkStart w:id="19" w:name="_Toc7376"/>
      <w:r>
        <w:rPr>
          <w:rFonts w:hint="default" w:ascii="Times New Roman" w:hAnsi="Times New Roman" w:eastAsia="黑体" w:cs="Times New Roman"/>
          <w:snapToGrid w:val="0"/>
          <w:color w:val="auto"/>
          <w:sz w:val="30"/>
          <w:szCs w:val="30"/>
        </w:rPr>
        <w:t>五、</w:t>
      </w:r>
      <w:bookmarkStart w:id="20" w:name="_Hlk54167917"/>
      <w:r>
        <w:rPr>
          <w:rFonts w:hint="default" w:ascii="Times New Roman" w:hAnsi="Times New Roman" w:eastAsia="黑体" w:cs="Times New Roman"/>
          <w:snapToGrid w:val="0"/>
          <w:color w:val="auto"/>
          <w:sz w:val="30"/>
          <w:szCs w:val="30"/>
        </w:rPr>
        <w:t>环境保护措施监督检查清单</w:t>
      </w:r>
      <w:bookmarkEnd w:id="18"/>
      <w:bookmarkEnd w:id="19"/>
      <w:bookmarkEnd w:id="20"/>
    </w:p>
    <w:tbl>
      <w:tblPr>
        <w:tblStyle w:val="27"/>
        <w:tblW w:w="100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890"/>
        <w:gridCol w:w="1035"/>
        <w:gridCol w:w="1453"/>
        <w:gridCol w:w="1914"/>
        <w:gridCol w:w="3652"/>
      </w:tblGrid>
      <w:tr w14:paraId="41F8D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tcBorders>
              <w:tl2br w:val="single" w:color="auto" w:sz="4" w:space="0"/>
            </w:tcBorders>
            <w:noWrap w:val="0"/>
            <w:vAlign w:val="center"/>
          </w:tcPr>
          <w:p w14:paraId="3F847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20" w:firstLineChars="20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内容</w:t>
            </w:r>
          </w:p>
          <w:p w14:paraId="1C3375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要素</w:t>
            </w:r>
          </w:p>
        </w:tc>
        <w:tc>
          <w:tcPr>
            <w:tcW w:w="1925" w:type="dxa"/>
            <w:gridSpan w:val="2"/>
            <w:noWrap w:val="0"/>
            <w:vAlign w:val="center"/>
          </w:tcPr>
          <w:p w14:paraId="629162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排放口(编号、名称)/污染源</w:t>
            </w:r>
          </w:p>
        </w:tc>
        <w:tc>
          <w:tcPr>
            <w:tcW w:w="1453" w:type="dxa"/>
            <w:noWrap w:val="0"/>
            <w:vAlign w:val="center"/>
          </w:tcPr>
          <w:p w14:paraId="6308F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污染物项目</w:t>
            </w:r>
          </w:p>
        </w:tc>
        <w:tc>
          <w:tcPr>
            <w:tcW w:w="1914" w:type="dxa"/>
            <w:noWrap w:val="0"/>
            <w:vAlign w:val="center"/>
          </w:tcPr>
          <w:p w14:paraId="09D3A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环境保护措施</w:t>
            </w:r>
          </w:p>
        </w:tc>
        <w:tc>
          <w:tcPr>
            <w:tcW w:w="3652" w:type="dxa"/>
            <w:noWrap w:val="0"/>
            <w:vAlign w:val="center"/>
          </w:tcPr>
          <w:p w14:paraId="4800E9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执行标准</w:t>
            </w:r>
          </w:p>
        </w:tc>
      </w:tr>
      <w:tr w14:paraId="79AD50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restart"/>
            <w:noWrap w:val="0"/>
            <w:vAlign w:val="center"/>
          </w:tcPr>
          <w:p w14:paraId="679C89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大气环境</w:t>
            </w:r>
          </w:p>
        </w:tc>
        <w:tc>
          <w:tcPr>
            <w:tcW w:w="890" w:type="dxa"/>
            <w:vMerge w:val="restart"/>
            <w:noWrap w:val="0"/>
            <w:vAlign w:val="center"/>
          </w:tcPr>
          <w:p w14:paraId="782F98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有组织</w:t>
            </w:r>
          </w:p>
        </w:tc>
        <w:tc>
          <w:tcPr>
            <w:tcW w:w="1035" w:type="dxa"/>
            <w:noWrap w:val="0"/>
            <w:vAlign w:val="center"/>
          </w:tcPr>
          <w:p w14:paraId="4919F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DA001</w:t>
            </w:r>
          </w:p>
        </w:tc>
        <w:tc>
          <w:tcPr>
            <w:tcW w:w="1453" w:type="dxa"/>
            <w:shd w:val="clear" w:color="auto" w:fill="auto"/>
            <w:noWrap w:val="0"/>
            <w:vAlign w:val="center"/>
          </w:tcPr>
          <w:p w14:paraId="3466629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颗粒物</w:t>
            </w:r>
          </w:p>
        </w:tc>
        <w:tc>
          <w:tcPr>
            <w:tcW w:w="1914" w:type="dxa"/>
            <w:noWrap w:val="0"/>
            <w:vAlign w:val="center"/>
          </w:tcPr>
          <w:p w14:paraId="64D55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袋式除尘</w:t>
            </w:r>
          </w:p>
        </w:tc>
        <w:tc>
          <w:tcPr>
            <w:tcW w:w="3652" w:type="dxa"/>
            <w:noWrap w:val="0"/>
            <w:vAlign w:val="center"/>
          </w:tcPr>
          <w:p w14:paraId="2663255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lang w:val="en-US" w:eastAsia="zh-CN"/>
              </w:rPr>
              <w:t>《大气污染物综合排放标准》（DB32/4041-2021）表3限值</w:t>
            </w:r>
          </w:p>
        </w:tc>
      </w:tr>
      <w:tr w14:paraId="6E927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noWrap w:val="0"/>
            <w:vAlign w:val="center"/>
          </w:tcPr>
          <w:p w14:paraId="68B80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890" w:type="dxa"/>
            <w:vMerge w:val="continue"/>
            <w:noWrap w:val="0"/>
            <w:vAlign w:val="center"/>
          </w:tcPr>
          <w:p w14:paraId="37471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1035" w:type="dxa"/>
            <w:vMerge w:val="restart"/>
            <w:noWrap w:val="0"/>
            <w:vAlign w:val="center"/>
          </w:tcPr>
          <w:p w14:paraId="63990E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DA002</w:t>
            </w:r>
          </w:p>
        </w:tc>
        <w:tc>
          <w:tcPr>
            <w:tcW w:w="1453" w:type="dxa"/>
            <w:shd w:val="clear" w:color="auto" w:fill="auto"/>
            <w:noWrap w:val="0"/>
            <w:vAlign w:val="center"/>
          </w:tcPr>
          <w:p w14:paraId="3AA41CE4">
            <w:pPr>
              <w:keepNext w:val="0"/>
              <w:keepLines w:val="0"/>
              <w:pageBreakBefore w:val="0"/>
              <w:widowControl w:val="0"/>
              <w:suppressLineNumbers w:val="0"/>
              <w:kinsoku/>
              <w:wordWrap/>
              <w:overflowPunct/>
              <w:topLinePunct w:val="0"/>
              <w:bidi w:val="0"/>
              <w:spacing w:before="0" w:beforeAutospacing="0" w:after="0" w:afterAutospacing="0" w:line="300" w:lineRule="exact"/>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颗粒物</w:t>
            </w:r>
          </w:p>
        </w:tc>
        <w:tc>
          <w:tcPr>
            <w:tcW w:w="1914" w:type="dxa"/>
            <w:vMerge w:val="restart"/>
            <w:noWrap w:val="0"/>
            <w:vAlign w:val="center"/>
          </w:tcPr>
          <w:p w14:paraId="54736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脉冲除尘+水喷淋+除雾+两级活性炭吸附</w:t>
            </w:r>
          </w:p>
        </w:tc>
        <w:tc>
          <w:tcPr>
            <w:tcW w:w="3652" w:type="dxa"/>
            <w:vMerge w:val="restart"/>
            <w:noWrap w:val="0"/>
            <w:vAlign w:val="center"/>
          </w:tcPr>
          <w:p w14:paraId="7DD662E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Cs w:val="21"/>
                <w:lang w:val="en-US" w:eastAsia="zh-CN"/>
              </w:rPr>
              <w:t>《橡胶制品工业污染物排放标准》（GB27632-2011）表6限值</w:t>
            </w:r>
          </w:p>
        </w:tc>
      </w:tr>
      <w:tr w14:paraId="3C818D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noWrap w:val="0"/>
            <w:vAlign w:val="center"/>
          </w:tcPr>
          <w:p w14:paraId="0B2CA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890" w:type="dxa"/>
            <w:vMerge w:val="continue"/>
            <w:noWrap w:val="0"/>
            <w:vAlign w:val="center"/>
          </w:tcPr>
          <w:p w14:paraId="068F4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1035" w:type="dxa"/>
            <w:vMerge w:val="continue"/>
            <w:noWrap w:val="0"/>
            <w:vAlign w:val="center"/>
          </w:tcPr>
          <w:p w14:paraId="4C472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eastAsia="仿宋" w:cs="Times New Roman"/>
                <w:color w:val="auto"/>
                <w:sz w:val="21"/>
                <w:szCs w:val="21"/>
                <w:lang w:val="en-US" w:eastAsia="zh-CN"/>
              </w:rPr>
            </w:pPr>
          </w:p>
        </w:tc>
        <w:tc>
          <w:tcPr>
            <w:tcW w:w="1453" w:type="dxa"/>
            <w:shd w:val="clear" w:color="auto" w:fill="auto"/>
            <w:noWrap w:val="0"/>
            <w:vAlign w:val="center"/>
          </w:tcPr>
          <w:p w14:paraId="5830D5E3">
            <w:pPr>
              <w:keepNext w:val="0"/>
              <w:keepLines w:val="0"/>
              <w:pageBreakBefore w:val="0"/>
              <w:widowControl w:val="0"/>
              <w:suppressLineNumbers w:val="0"/>
              <w:kinsoku/>
              <w:wordWrap/>
              <w:overflowPunct/>
              <w:topLinePunct w:val="0"/>
              <w:bidi w:val="0"/>
              <w:spacing w:before="0" w:beforeAutospacing="0" w:after="0" w:afterAutospacing="0" w:line="300" w:lineRule="exact"/>
              <w:ind w:left="0" w:leftChars="0" w:right="0" w:right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非甲烷总烃</w:t>
            </w:r>
          </w:p>
        </w:tc>
        <w:tc>
          <w:tcPr>
            <w:tcW w:w="1914" w:type="dxa"/>
            <w:vMerge w:val="continue"/>
            <w:noWrap w:val="0"/>
            <w:vAlign w:val="center"/>
          </w:tcPr>
          <w:p w14:paraId="15C0AD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eastAsia="仿宋" w:cs="Times New Roman"/>
                <w:color w:val="auto"/>
                <w:kern w:val="2"/>
                <w:sz w:val="21"/>
                <w:szCs w:val="21"/>
                <w:lang w:val="en-US" w:eastAsia="zh-CN" w:bidi="ar-SA"/>
              </w:rPr>
            </w:pPr>
          </w:p>
        </w:tc>
        <w:tc>
          <w:tcPr>
            <w:tcW w:w="3652" w:type="dxa"/>
            <w:vMerge w:val="continue"/>
            <w:noWrap w:val="0"/>
            <w:vAlign w:val="center"/>
          </w:tcPr>
          <w:p w14:paraId="07EFDD9D">
            <w:pPr>
              <w:keepNext w:val="0"/>
              <w:keepLines w:val="0"/>
              <w:pageBreakBefore w:val="0"/>
              <w:widowControl w:val="0"/>
              <w:suppressLineNumbers w:val="0"/>
              <w:kinsoku/>
              <w:wordWrap/>
              <w:overflowPunct/>
              <w:topLinePunct w:val="0"/>
              <w:autoSpaceDE/>
              <w:autoSpaceDN/>
              <w:bidi w:val="0"/>
              <w:adjustRightInd/>
              <w:snapToGrid/>
              <w:spacing w:before="24" w:beforeAutospacing="0" w:after="24" w:afterAutospacing="0" w:line="300" w:lineRule="exact"/>
              <w:ind w:left="0" w:leftChars="0" w:right="0" w:firstLine="0" w:firstLineChars="0"/>
              <w:jc w:val="center"/>
              <w:textAlignment w:val="auto"/>
              <w:rPr>
                <w:rFonts w:hint="default" w:ascii="Times New Roman" w:hAnsi="Times New Roman" w:eastAsia="仿宋" w:cs="Times New Roman"/>
                <w:color w:val="auto"/>
                <w:kern w:val="0"/>
                <w:sz w:val="21"/>
                <w:szCs w:val="21"/>
                <w:lang w:val="en-US" w:eastAsia="zh-CN" w:bidi="ar-SA"/>
              </w:rPr>
            </w:pPr>
          </w:p>
        </w:tc>
      </w:tr>
      <w:tr w14:paraId="3BC5E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noWrap w:val="0"/>
            <w:vAlign w:val="center"/>
          </w:tcPr>
          <w:p w14:paraId="4ADC93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890" w:type="dxa"/>
            <w:vMerge w:val="continue"/>
            <w:noWrap w:val="0"/>
            <w:vAlign w:val="center"/>
          </w:tcPr>
          <w:p w14:paraId="388457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1035" w:type="dxa"/>
            <w:vMerge w:val="continue"/>
            <w:noWrap w:val="0"/>
            <w:vAlign w:val="center"/>
          </w:tcPr>
          <w:p w14:paraId="32426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kern w:val="2"/>
                <w:sz w:val="21"/>
                <w:szCs w:val="21"/>
                <w:lang w:val="en-US" w:eastAsia="zh-CN" w:bidi="ar-SA"/>
              </w:rPr>
            </w:pPr>
          </w:p>
        </w:tc>
        <w:tc>
          <w:tcPr>
            <w:tcW w:w="1453" w:type="dxa"/>
            <w:shd w:val="clear" w:color="auto" w:fill="auto"/>
            <w:noWrap w:val="0"/>
            <w:vAlign w:val="center"/>
          </w:tcPr>
          <w:p w14:paraId="5B9F873E">
            <w:pPr>
              <w:keepNext w:val="0"/>
              <w:keepLines w:val="0"/>
              <w:pageBreakBefore w:val="0"/>
              <w:widowControl w:val="0"/>
              <w:suppressLineNumbers w:val="0"/>
              <w:kinsoku/>
              <w:wordWrap/>
              <w:overflowPunct/>
              <w:topLinePunct w:val="0"/>
              <w:bidi w:val="0"/>
              <w:spacing w:before="0" w:beforeAutospacing="0" w:after="0" w:afterAutospacing="0" w:line="300" w:lineRule="exact"/>
              <w:ind w:left="0" w:leftChars="0" w:right="0" w:right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硫化氢</w:t>
            </w:r>
          </w:p>
        </w:tc>
        <w:tc>
          <w:tcPr>
            <w:tcW w:w="1914" w:type="dxa"/>
            <w:vMerge w:val="continue"/>
            <w:noWrap w:val="0"/>
            <w:vAlign w:val="center"/>
          </w:tcPr>
          <w:p w14:paraId="32E471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lang w:val="en-US" w:eastAsia="zh-CN"/>
              </w:rPr>
            </w:pPr>
          </w:p>
        </w:tc>
        <w:tc>
          <w:tcPr>
            <w:tcW w:w="3652" w:type="dxa"/>
            <w:vMerge w:val="restart"/>
            <w:noWrap w:val="0"/>
            <w:vAlign w:val="center"/>
          </w:tcPr>
          <w:p w14:paraId="733116B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lang w:val="en-US" w:eastAsia="zh-CN"/>
              </w:rPr>
              <w:t>《恶臭污染物排放标准》（GB14554-93）表1限值</w:t>
            </w:r>
          </w:p>
        </w:tc>
      </w:tr>
      <w:tr w14:paraId="572CE0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noWrap w:val="0"/>
            <w:vAlign w:val="center"/>
          </w:tcPr>
          <w:p w14:paraId="6557BA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color w:val="auto"/>
              </w:rPr>
            </w:pPr>
          </w:p>
        </w:tc>
        <w:tc>
          <w:tcPr>
            <w:tcW w:w="890" w:type="dxa"/>
            <w:vMerge w:val="continue"/>
            <w:noWrap w:val="0"/>
            <w:vAlign w:val="center"/>
          </w:tcPr>
          <w:p w14:paraId="315F2B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color w:val="auto"/>
              </w:rPr>
            </w:pPr>
          </w:p>
        </w:tc>
        <w:tc>
          <w:tcPr>
            <w:tcW w:w="1035" w:type="dxa"/>
            <w:vMerge w:val="continue"/>
            <w:noWrap w:val="0"/>
            <w:vAlign w:val="center"/>
          </w:tcPr>
          <w:p w14:paraId="15B36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color w:val="auto"/>
              </w:rPr>
            </w:pPr>
          </w:p>
        </w:tc>
        <w:tc>
          <w:tcPr>
            <w:tcW w:w="1453" w:type="dxa"/>
            <w:shd w:val="clear" w:color="auto" w:fill="auto"/>
            <w:noWrap w:val="0"/>
            <w:vAlign w:val="center"/>
          </w:tcPr>
          <w:p w14:paraId="25C7D8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二硫化碳</w:t>
            </w:r>
          </w:p>
        </w:tc>
        <w:tc>
          <w:tcPr>
            <w:tcW w:w="1914" w:type="dxa"/>
            <w:vMerge w:val="continue"/>
            <w:noWrap w:val="0"/>
            <w:vAlign w:val="center"/>
          </w:tcPr>
          <w:p w14:paraId="3CBBF4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仿宋" w:cs="Times New Roman"/>
                <w:color w:val="auto"/>
                <w:szCs w:val="21"/>
                <w:lang w:val="en-US" w:eastAsia="zh-CN"/>
              </w:rPr>
            </w:pPr>
          </w:p>
        </w:tc>
        <w:tc>
          <w:tcPr>
            <w:tcW w:w="3652" w:type="dxa"/>
            <w:vMerge w:val="continue"/>
            <w:noWrap w:val="0"/>
            <w:vAlign w:val="center"/>
          </w:tcPr>
          <w:p w14:paraId="344BB8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仿宋" w:cs="Times New Roman"/>
                <w:color w:val="auto"/>
                <w:szCs w:val="21"/>
                <w:lang w:val="en-US" w:eastAsia="zh-CN"/>
              </w:rPr>
            </w:pPr>
          </w:p>
        </w:tc>
      </w:tr>
      <w:tr w14:paraId="0CB72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noWrap w:val="0"/>
            <w:vAlign w:val="center"/>
          </w:tcPr>
          <w:p w14:paraId="096CCC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color w:val="auto"/>
              </w:rPr>
            </w:pPr>
          </w:p>
        </w:tc>
        <w:tc>
          <w:tcPr>
            <w:tcW w:w="890" w:type="dxa"/>
            <w:vMerge w:val="continue"/>
            <w:noWrap w:val="0"/>
            <w:vAlign w:val="center"/>
          </w:tcPr>
          <w:p w14:paraId="78BF37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color w:val="auto"/>
              </w:rPr>
            </w:pPr>
          </w:p>
        </w:tc>
        <w:tc>
          <w:tcPr>
            <w:tcW w:w="1035" w:type="dxa"/>
            <w:vMerge w:val="continue"/>
            <w:noWrap w:val="0"/>
            <w:vAlign w:val="center"/>
          </w:tcPr>
          <w:p w14:paraId="39419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color w:val="auto"/>
              </w:rPr>
            </w:pPr>
          </w:p>
        </w:tc>
        <w:tc>
          <w:tcPr>
            <w:tcW w:w="1453" w:type="dxa"/>
            <w:shd w:val="clear" w:color="auto" w:fill="auto"/>
            <w:noWrap w:val="0"/>
            <w:vAlign w:val="center"/>
          </w:tcPr>
          <w:p w14:paraId="157C5533">
            <w:pPr>
              <w:keepNext w:val="0"/>
              <w:keepLines w:val="0"/>
              <w:pageBreakBefore w:val="0"/>
              <w:widowControl w:val="0"/>
              <w:suppressLineNumbers w:val="0"/>
              <w:kinsoku/>
              <w:wordWrap/>
              <w:overflowPunct/>
              <w:topLinePunct w:val="0"/>
              <w:bidi w:val="0"/>
              <w:spacing w:before="0" w:beforeAutospacing="0" w:after="0" w:afterAutospacing="0" w:line="300" w:lineRule="exact"/>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臭气浓度</w:t>
            </w:r>
          </w:p>
        </w:tc>
        <w:tc>
          <w:tcPr>
            <w:tcW w:w="1914" w:type="dxa"/>
            <w:vMerge w:val="continue"/>
            <w:noWrap w:val="0"/>
            <w:vAlign w:val="center"/>
          </w:tcPr>
          <w:p w14:paraId="08B7A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仿宋" w:cs="Times New Roman"/>
                <w:color w:val="auto"/>
                <w:szCs w:val="21"/>
                <w:lang w:val="en-US" w:eastAsia="zh-CN"/>
              </w:rPr>
            </w:pPr>
          </w:p>
        </w:tc>
        <w:tc>
          <w:tcPr>
            <w:tcW w:w="3652" w:type="dxa"/>
            <w:vMerge w:val="continue"/>
            <w:noWrap w:val="0"/>
            <w:vAlign w:val="center"/>
          </w:tcPr>
          <w:p w14:paraId="4D0660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仿宋" w:cs="Times New Roman"/>
                <w:color w:val="auto"/>
                <w:szCs w:val="21"/>
                <w:lang w:val="en-US" w:eastAsia="zh-CN"/>
              </w:rPr>
            </w:pPr>
          </w:p>
        </w:tc>
      </w:tr>
      <w:tr w14:paraId="56B58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noWrap w:val="0"/>
            <w:vAlign w:val="center"/>
          </w:tcPr>
          <w:p w14:paraId="0EC24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890" w:type="dxa"/>
            <w:vMerge w:val="restart"/>
            <w:noWrap w:val="0"/>
            <w:vAlign w:val="center"/>
          </w:tcPr>
          <w:p w14:paraId="5E8728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无组织</w:t>
            </w:r>
          </w:p>
        </w:tc>
        <w:tc>
          <w:tcPr>
            <w:tcW w:w="1035" w:type="dxa"/>
            <w:vMerge w:val="restart"/>
            <w:noWrap w:val="0"/>
            <w:vAlign w:val="center"/>
          </w:tcPr>
          <w:p w14:paraId="720D9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生产</w:t>
            </w:r>
          </w:p>
          <w:p w14:paraId="5B454F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车间</w:t>
            </w:r>
          </w:p>
        </w:tc>
        <w:tc>
          <w:tcPr>
            <w:tcW w:w="1453" w:type="dxa"/>
            <w:noWrap w:val="0"/>
            <w:vAlign w:val="center"/>
          </w:tcPr>
          <w:p w14:paraId="5E0529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颗粒物</w:t>
            </w:r>
          </w:p>
        </w:tc>
        <w:tc>
          <w:tcPr>
            <w:tcW w:w="1914" w:type="dxa"/>
            <w:noWrap w:val="0"/>
            <w:vAlign w:val="center"/>
          </w:tcPr>
          <w:p w14:paraId="27C1B5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重力沉降</w:t>
            </w:r>
          </w:p>
        </w:tc>
        <w:tc>
          <w:tcPr>
            <w:tcW w:w="3652" w:type="dxa"/>
            <w:noWrap w:val="0"/>
            <w:vAlign w:val="center"/>
          </w:tcPr>
          <w:p w14:paraId="32B81C5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szCs w:val="21"/>
                <w:lang w:val="en-US" w:eastAsia="zh-CN"/>
              </w:rPr>
              <w:t>《大气污染物综合排放标准》（DB32/4041-2021）表3限值</w:t>
            </w:r>
          </w:p>
        </w:tc>
      </w:tr>
      <w:tr w14:paraId="235DCD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noWrap w:val="0"/>
            <w:vAlign w:val="center"/>
          </w:tcPr>
          <w:p w14:paraId="0721B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890" w:type="dxa"/>
            <w:vMerge w:val="continue"/>
            <w:noWrap w:val="0"/>
            <w:vAlign w:val="center"/>
          </w:tcPr>
          <w:p w14:paraId="5BFBB1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1035" w:type="dxa"/>
            <w:vMerge w:val="continue"/>
            <w:noWrap w:val="0"/>
            <w:vAlign w:val="center"/>
          </w:tcPr>
          <w:p w14:paraId="2C9BDD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仿宋" w:cs="Times New Roman"/>
                <w:color w:val="auto"/>
                <w:sz w:val="21"/>
                <w:szCs w:val="21"/>
                <w:lang w:val="en-US" w:eastAsia="zh-CN"/>
              </w:rPr>
            </w:pPr>
          </w:p>
        </w:tc>
        <w:tc>
          <w:tcPr>
            <w:tcW w:w="1453" w:type="dxa"/>
            <w:noWrap w:val="0"/>
            <w:vAlign w:val="center"/>
          </w:tcPr>
          <w:p w14:paraId="27E93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仿宋" w:cs="Times New Roman"/>
                <w:color w:val="auto"/>
                <w:szCs w:val="21"/>
                <w:lang w:val="en-US" w:eastAsia="zh-CN"/>
              </w:rPr>
            </w:pPr>
            <w:r>
              <w:rPr>
                <w:rFonts w:hint="eastAsia" w:eastAsia="仿宋" w:cs="Times New Roman"/>
                <w:color w:val="auto"/>
                <w:szCs w:val="21"/>
                <w:lang w:val="en-US" w:eastAsia="zh-CN"/>
              </w:rPr>
              <w:t>非甲烷总烃</w:t>
            </w:r>
          </w:p>
        </w:tc>
        <w:tc>
          <w:tcPr>
            <w:tcW w:w="1914" w:type="dxa"/>
            <w:vMerge w:val="restart"/>
            <w:noWrap w:val="0"/>
            <w:vAlign w:val="center"/>
          </w:tcPr>
          <w:p w14:paraId="2A7F5A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3652" w:type="dxa"/>
            <w:noWrap w:val="0"/>
            <w:vAlign w:val="center"/>
          </w:tcPr>
          <w:p w14:paraId="788EC47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szCs w:val="21"/>
                <w:lang w:val="en-US" w:eastAsia="zh-CN"/>
              </w:rPr>
              <w:t>《橡胶制品工业污染物排放标准》（GB27632-2011）表6限值</w:t>
            </w:r>
          </w:p>
        </w:tc>
      </w:tr>
      <w:tr w14:paraId="4A67A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noWrap w:val="0"/>
            <w:vAlign w:val="center"/>
          </w:tcPr>
          <w:p w14:paraId="4C30CF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890" w:type="dxa"/>
            <w:vMerge w:val="continue"/>
            <w:noWrap w:val="0"/>
            <w:vAlign w:val="center"/>
          </w:tcPr>
          <w:p w14:paraId="3833F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1035" w:type="dxa"/>
            <w:vMerge w:val="continue"/>
            <w:noWrap w:val="0"/>
            <w:vAlign w:val="center"/>
          </w:tcPr>
          <w:p w14:paraId="071A1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仿宋" w:cs="Times New Roman"/>
                <w:color w:val="auto"/>
                <w:sz w:val="21"/>
                <w:szCs w:val="21"/>
                <w:lang w:val="en-US" w:eastAsia="zh-CN"/>
              </w:rPr>
            </w:pPr>
          </w:p>
        </w:tc>
        <w:tc>
          <w:tcPr>
            <w:tcW w:w="1453" w:type="dxa"/>
            <w:noWrap w:val="0"/>
            <w:vAlign w:val="center"/>
          </w:tcPr>
          <w:p w14:paraId="7838A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eastAsia="仿宋" w:cs="Times New Roman"/>
                <w:color w:val="auto"/>
                <w:szCs w:val="21"/>
                <w:lang w:val="en-US" w:eastAsia="zh-CN"/>
              </w:rPr>
            </w:pPr>
            <w:r>
              <w:rPr>
                <w:rFonts w:hint="eastAsia" w:eastAsia="仿宋" w:cs="Times New Roman"/>
                <w:color w:val="auto"/>
                <w:szCs w:val="21"/>
                <w:lang w:val="en-US" w:eastAsia="zh-CN"/>
              </w:rPr>
              <w:t>硫化氢</w:t>
            </w:r>
          </w:p>
        </w:tc>
        <w:tc>
          <w:tcPr>
            <w:tcW w:w="1914" w:type="dxa"/>
            <w:vMerge w:val="continue"/>
            <w:noWrap w:val="0"/>
            <w:vAlign w:val="center"/>
          </w:tcPr>
          <w:p w14:paraId="336B0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eastAsia="仿宋" w:cs="Times New Roman"/>
                <w:color w:val="auto"/>
                <w:sz w:val="21"/>
                <w:szCs w:val="21"/>
                <w:lang w:val="en-US" w:eastAsia="zh-CN"/>
              </w:rPr>
            </w:pPr>
          </w:p>
        </w:tc>
        <w:tc>
          <w:tcPr>
            <w:tcW w:w="3652" w:type="dxa"/>
            <w:vMerge w:val="restart"/>
            <w:noWrap w:val="0"/>
            <w:vAlign w:val="center"/>
          </w:tcPr>
          <w:p w14:paraId="152D07E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《恶臭污染物排放标准》（GB14554-93）表1限值</w:t>
            </w:r>
          </w:p>
        </w:tc>
      </w:tr>
      <w:tr w14:paraId="69D99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noWrap w:val="0"/>
            <w:vAlign w:val="center"/>
          </w:tcPr>
          <w:p w14:paraId="7825B8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890" w:type="dxa"/>
            <w:vMerge w:val="continue"/>
            <w:noWrap w:val="0"/>
            <w:vAlign w:val="center"/>
          </w:tcPr>
          <w:p w14:paraId="39695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1035" w:type="dxa"/>
            <w:vMerge w:val="continue"/>
            <w:noWrap w:val="0"/>
            <w:vAlign w:val="center"/>
          </w:tcPr>
          <w:p w14:paraId="6E61A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仿宋" w:cs="Times New Roman"/>
                <w:color w:val="auto"/>
                <w:sz w:val="21"/>
                <w:szCs w:val="21"/>
                <w:lang w:val="en-US" w:eastAsia="zh-CN"/>
              </w:rPr>
            </w:pPr>
          </w:p>
        </w:tc>
        <w:tc>
          <w:tcPr>
            <w:tcW w:w="1453" w:type="dxa"/>
            <w:noWrap w:val="0"/>
            <w:vAlign w:val="center"/>
          </w:tcPr>
          <w:p w14:paraId="7A062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eastAsia="仿宋" w:cs="Times New Roman"/>
                <w:color w:val="auto"/>
                <w:szCs w:val="21"/>
                <w:lang w:val="en-US" w:eastAsia="zh-CN"/>
              </w:rPr>
            </w:pPr>
            <w:r>
              <w:rPr>
                <w:rFonts w:hint="eastAsia" w:eastAsia="仿宋" w:cs="Times New Roman"/>
                <w:color w:val="auto"/>
                <w:szCs w:val="21"/>
                <w:lang w:val="en-US" w:eastAsia="zh-CN"/>
              </w:rPr>
              <w:t>二硫化碳</w:t>
            </w:r>
          </w:p>
        </w:tc>
        <w:tc>
          <w:tcPr>
            <w:tcW w:w="1914" w:type="dxa"/>
            <w:vMerge w:val="continue"/>
            <w:noWrap w:val="0"/>
            <w:vAlign w:val="center"/>
          </w:tcPr>
          <w:p w14:paraId="4E450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eastAsia="仿宋" w:cs="Times New Roman"/>
                <w:color w:val="auto"/>
                <w:sz w:val="21"/>
                <w:szCs w:val="21"/>
                <w:lang w:val="en-US" w:eastAsia="zh-CN"/>
              </w:rPr>
            </w:pPr>
          </w:p>
        </w:tc>
        <w:tc>
          <w:tcPr>
            <w:tcW w:w="3652" w:type="dxa"/>
            <w:vMerge w:val="continue"/>
            <w:noWrap w:val="0"/>
            <w:vAlign w:val="center"/>
          </w:tcPr>
          <w:p w14:paraId="00E375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Cs w:val="21"/>
                <w:lang w:val="en-US" w:eastAsia="zh-CN"/>
              </w:rPr>
            </w:pPr>
          </w:p>
        </w:tc>
      </w:tr>
      <w:tr w14:paraId="46D279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noWrap w:val="0"/>
            <w:vAlign w:val="center"/>
          </w:tcPr>
          <w:p w14:paraId="468A3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890" w:type="dxa"/>
            <w:vMerge w:val="continue"/>
            <w:noWrap w:val="0"/>
            <w:vAlign w:val="center"/>
          </w:tcPr>
          <w:p w14:paraId="72EE5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p>
        </w:tc>
        <w:tc>
          <w:tcPr>
            <w:tcW w:w="1035" w:type="dxa"/>
            <w:vMerge w:val="continue"/>
            <w:noWrap w:val="0"/>
            <w:vAlign w:val="center"/>
          </w:tcPr>
          <w:p w14:paraId="6C4E7B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lang w:eastAsia="zh-CN"/>
              </w:rPr>
            </w:pPr>
          </w:p>
        </w:tc>
        <w:tc>
          <w:tcPr>
            <w:tcW w:w="1453" w:type="dxa"/>
            <w:noWrap w:val="0"/>
            <w:vAlign w:val="center"/>
          </w:tcPr>
          <w:p w14:paraId="46F5B7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臭气浓度</w:t>
            </w:r>
          </w:p>
        </w:tc>
        <w:tc>
          <w:tcPr>
            <w:tcW w:w="1914" w:type="dxa"/>
            <w:vMerge w:val="continue"/>
            <w:noWrap w:val="0"/>
            <w:vAlign w:val="center"/>
          </w:tcPr>
          <w:p w14:paraId="380FD1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eastAsia="仿宋" w:cs="Times New Roman"/>
                <w:color w:val="auto"/>
                <w:sz w:val="21"/>
                <w:szCs w:val="21"/>
                <w:lang w:val="en-US" w:eastAsia="zh-CN"/>
              </w:rPr>
            </w:pPr>
          </w:p>
        </w:tc>
        <w:tc>
          <w:tcPr>
            <w:tcW w:w="3652" w:type="dxa"/>
            <w:vMerge w:val="continue"/>
            <w:noWrap w:val="0"/>
            <w:vAlign w:val="center"/>
          </w:tcPr>
          <w:p w14:paraId="4D817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kern w:val="2"/>
                <w:sz w:val="21"/>
                <w:szCs w:val="21"/>
                <w:lang w:val="en-US" w:eastAsia="zh-CN" w:bidi="ar-SA"/>
              </w:rPr>
            </w:pPr>
          </w:p>
        </w:tc>
      </w:tr>
      <w:tr w14:paraId="4B80CE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noWrap w:val="0"/>
            <w:vAlign w:val="center"/>
          </w:tcPr>
          <w:p w14:paraId="56832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color w:val="auto"/>
              </w:rPr>
            </w:pPr>
          </w:p>
        </w:tc>
        <w:tc>
          <w:tcPr>
            <w:tcW w:w="890" w:type="dxa"/>
            <w:vMerge w:val="continue"/>
            <w:noWrap w:val="0"/>
            <w:vAlign w:val="center"/>
          </w:tcPr>
          <w:p w14:paraId="64340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color w:val="auto"/>
              </w:rPr>
            </w:pPr>
          </w:p>
        </w:tc>
        <w:tc>
          <w:tcPr>
            <w:tcW w:w="1035" w:type="dxa"/>
            <w:noWrap w:val="0"/>
            <w:vAlign w:val="center"/>
          </w:tcPr>
          <w:p w14:paraId="1999B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厂区内</w:t>
            </w:r>
          </w:p>
        </w:tc>
        <w:tc>
          <w:tcPr>
            <w:tcW w:w="1453" w:type="dxa"/>
            <w:noWrap w:val="0"/>
            <w:vAlign w:val="center"/>
          </w:tcPr>
          <w:p w14:paraId="39272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非甲烷总烃</w:t>
            </w:r>
          </w:p>
        </w:tc>
        <w:tc>
          <w:tcPr>
            <w:tcW w:w="1914" w:type="dxa"/>
            <w:noWrap w:val="0"/>
            <w:vAlign w:val="center"/>
          </w:tcPr>
          <w:p w14:paraId="799FF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3652" w:type="dxa"/>
            <w:noWrap w:val="0"/>
            <w:vAlign w:val="center"/>
          </w:tcPr>
          <w:p w14:paraId="77CB59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szCs w:val="21"/>
                <w:lang w:val="en-US" w:eastAsia="zh-CN"/>
              </w:rPr>
              <w:t>《大气污染物综合排放标准》（DB32/4041-2021）表2限值</w:t>
            </w:r>
          </w:p>
        </w:tc>
      </w:tr>
      <w:tr w14:paraId="3ED96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noWrap w:val="0"/>
            <w:vAlign w:val="center"/>
          </w:tcPr>
          <w:p w14:paraId="50691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地表水环境</w:t>
            </w:r>
          </w:p>
        </w:tc>
        <w:tc>
          <w:tcPr>
            <w:tcW w:w="1925" w:type="dxa"/>
            <w:gridSpan w:val="2"/>
            <w:noWrap w:val="0"/>
            <w:vAlign w:val="center"/>
          </w:tcPr>
          <w:p w14:paraId="586003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DW001</w:t>
            </w:r>
          </w:p>
        </w:tc>
        <w:tc>
          <w:tcPr>
            <w:tcW w:w="1453" w:type="dxa"/>
            <w:noWrap w:val="0"/>
            <w:vAlign w:val="center"/>
          </w:tcPr>
          <w:p w14:paraId="3C7BA8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pH值、</w:t>
            </w:r>
            <w:r>
              <w:rPr>
                <w:rFonts w:hint="default" w:ascii="Times New Roman" w:hAnsi="Times New Roman" w:eastAsia="仿宋" w:cs="Times New Roman"/>
                <w:color w:val="auto"/>
                <w:sz w:val="21"/>
                <w:szCs w:val="21"/>
              </w:rPr>
              <w:t>COD、SS、</w:t>
            </w:r>
            <w:r>
              <w:rPr>
                <w:rFonts w:hint="default" w:ascii="Times New Roman" w:hAnsi="Times New Roman" w:eastAsia="仿宋" w:cs="Times New Roman"/>
                <w:color w:val="auto"/>
                <w:kern w:val="0"/>
                <w:sz w:val="21"/>
                <w:szCs w:val="21"/>
              </w:rPr>
              <w:t>NH</w:t>
            </w:r>
            <w:r>
              <w:rPr>
                <w:rFonts w:hint="default" w:ascii="Times New Roman" w:hAnsi="Times New Roman" w:eastAsia="仿宋" w:cs="Times New Roman"/>
                <w:color w:val="auto"/>
                <w:kern w:val="0"/>
                <w:sz w:val="21"/>
                <w:szCs w:val="21"/>
                <w:vertAlign w:val="subscript"/>
              </w:rPr>
              <w:t>3</w:t>
            </w:r>
            <w:r>
              <w:rPr>
                <w:rFonts w:hint="default" w:ascii="Times New Roman" w:hAnsi="Times New Roman" w:eastAsia="仿宋" w:cs="Times New Roman"/>
                <w:color w:val="auto"/>
                <w:kern w:val="0"/>
                <w:sz w:val="21"/>
                <w:szCs w:val="21"/>
              </w:rPr>
              <w:t>-N、TP、TN</w:t>
            </w:r>
          </w:p>
        </w:tc>
        <w:tc>
          <w:tcPr>
            <w:tcW w:w="1914" w:type="dxa"/>
            <w:noWrap w:val="0"/>
            <w:vAlign w:val="center"/>
          </w:tcPr>
          <w:p w14:paraId="46D3B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生活污水接管至</w:t>
            </w:r>
            <w:r>
              <w:rPr>
                <w:rFonts w:hint="eastAsia" w:eastAsia="仿宋" w:cs="Times New Roman"/>
                <w:color w:val="auto"/>
                <w:sz w:val="21"/>
                <w:szCs w:val="21"/>
                <w:lang w:eastAsia="zh-CN"/>
              </w:rPr>
              <w:t>金坛区朱林镇三星村李巷农村生活污水处理站</w:t>
            </w:r>
            <w:r>
              <w:rPr>
                <w:rFonts w:hint="default" w:ascii="Times New Roman" w:hAnsi="Times New Roman" w:eastAsia="仿宋" w:cs="Times New Roman"/>
                <w:color w:val="auto"/>
                <w:sz w:val="21"/>
                <w:szCs w:val="21"/>
              </w:rPr>
              <w:t>集中处理</w:t>
            </w:r>
          </w:p>
        </w:tc>
        <w:tc>
          <w:tcPr>
            <w:tcW w:w="3652" w:type="dxa"/>
            <w:noWrap w:val="0"/>
            <w:vAlign w:val="center"/>
          </w:tcPr>
          <w:p w14:paraId="6F5472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《污水排入城镇下水道水质标准》（GB/T31962-2015）表1中B等级</w:t>
            </w:r>
            <w:r>
              <w:rPr>
                <w:rFonts w:hint="eastAsia" w:eastAsia="仿宋" w:cs="Times New Roman"/>
                <w:color w:val="auto"/>
                <w:sz w:val="21"/>
                <w:szCs w:val="21"/>
                <w:lang w:val="en-US" w:eastAsia="zh-CN"/>
              </w:rPr>
              <w:t>及</w:t>
            </w:r>
            <w:r>
              <w:rPr>
                <w:rFonts w:hint="eastAsia" w:eastAsia="仿宋" w:cs="Times New Roman"/>
                <w:color w:val="auto"/>
                <w:sz w:val="21"/>
                <w:szCs w:val="21"/>
                <w:lang w:eastAsia="zh-CN"/>
              </w:rPr>
              <w:t>金坛区朱林镇三星村李巷农村生活污水处理站</w:t>
            </w:r>
            <w:r>
              <w:rPr>
                <w:rFonts w:hint="eastAsia" w:eastAsia="仿宋" w:cs="Times New Roman"/>
                <w:color w:val="auto"/>
                <w:sz w:val="21"/>
                <w:szCs w:val="21"/>
                <w:lang w:val="en-US" w:eastAsia="zh-CN"/>
              </w:rPr>
              <w:t>接管标准</w:t>
            </w:r>
          </w:p>
        </w:tc>
      </w:tr>
      <w:tr w14:paraId="5AF49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noWrap w:val="0"/>
            <w:vAlign w:val="center"/>
          </w:tcPr>
          <w:p w14:paraId="2CBEB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声环境</w:t>
            </w:r>
          </w:p>
        </w:tc>
        <w:tc>
          <w:tcPr>
            <w:tcW w:w="1925" w:type="dxa"/>
            <w:gridSpan w:val="2"/>
            <w:noWrap w:val="0"/>
            <w:vAlign w:val="center"/>
          </w:tcPr>
          <w:p w14:paraId="57EDC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东、南、西、北厂界</w:t>
            </w:r>
          </w:p>
        </w:tc>
        <w:tc>
          <w:tcPr>
            <w:tcW w:w="1453" w:type="dxa"/>
            <w:noWrap w:val="0"/>
            <w:vAlign w:val="center"/>
          </w:tcPr>
          <w:p w14:paraId="65E05E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噪声</w:t>
            </w:r>
          </w:p>
        </w:tc>
        <w:tc>
          <w:tcPr>
            <w:tcW w:w="1914" w:type="dxa"/>
            <w:noWrap w:val="0"/>
            <w:vAlign w:val="center"/>
          </w:tcPr>
          <w:p w14:paraId="12E95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采取</w:t>
            </w:r>
            <w:r>
              <w:rPr>
                <w:rFonts w:hint="eastAsia" w:eastAsia="仿宋" w:cs="Times New Roman"/>
                <w:color w:val="auto"/>
                <w:sz w:val="21"/>
                <w:szCs w:val="21"/>
                <w:lang w:eastAsia="zh-CN"/>
              </w:rPr>
              <w:t>防震</w:t>
            </w:r>
            <w:r>
              <w:rPr>
                <w:rFonts w:hint="default" w:ascii="Times New Roman" w:hAnsi="Times New Roman" w:eastAsia="仿宋" w:cs="Times New Roman"/>
                <w:color w:val="auto"/>
                <w:sz w:val="21"/>
                <w:szCs w:val="21"/>
              </w:rPr>
              <w:t>、隔声等降噪措施及厂房的隔声和距离衰减</w:t>
            </w:r>
          </w:p>
        </w:tc>
        <w:tc>
          <w:tcPr>
            <w:tcW w:w="3652" w:type="dxa"/>
            <w:noWrap w:val="0"/>
            <w:vAlign w:val="center"/>
          </w:tcPr>
          <w:p w14:paraId="241D8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《工业企业厂界环境噪声排放标准》（GB12348-2008）</w:t>
            </w:r>
            <w:r>
              <w:rPr>
                <w:rFonts w:hint="eastAsia" w:eastAsia="仿宋" w:cs="Times New Roman"/>
                <w:color w:val="auto"/>
                <w:sz w:val="21"/>
                <w:szCs w:val="21"/>
                <w:lang w:val="en-US" w:eastAsia="zh-CN"/>
              </w:rPr>
              <w:t>2</w:t>
            </w:r>
            <w:r>
              <w:rPr>
                <w:rFonts w:hint="default" w:ascii="Times New Roman" w:hAnsi="Times New Roman" w:eastAsia="仿宋" w:cs="Times New Roman"/>
                <w:color w:val="auto"/>
                <w:sz w:val="21"/>
                <w:szCs w:val="21"/>
              </w:rPr>
              <w:t>类</w:t>
            </w:r>
          </w:p>
        </w:tc>
      </w:tr>
      <w:tr w14:paraId="4BBCF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noWrap w:val="0"/>
            <w:vAlign w:val="center"/>
          </w:tcPr>
          <w:p w14:paraId="7DA48E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电磁辐射</w:t>
            </w:r>
          </w:p>
        </w:tc>
        <w:tc>
          <w:tcPr>
            <w:tcW w:w="8944" w:type="dxa"/>
            <w:gridSpan w:val="5"/>
            <w:noWrap w:val="0"/>
            <w:vAlign w:val="center"/>
          </w:tcPr>
          <w:p w14:paraId="19B183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eastAsia="仿宋" w:cs="Times New Roman"/>
                <w:color w:val="auto"/>
                <w:sz w:val="21"/>
                <w:szCs w:val="21"/>
                <w:lang w:eastAsia="zh-CN"/>
              </w:rPr>
            </w:pPr>
            <w:r>
              <w:rPr>
                <w:rFonts w:hint="eastAsia" w:eastAsia="仿宋" w:cs="Times New Roman"/>
                <w:color w:val="auto"/>
                <w:sz w:val="21"/>
                <w:szCs w:val="21"/>
                <w:lang w:val="en-US" w:eastAsia="zh-CN"/>
              </w:rPr>
              <w:t>/</w:t>
            </w:r>
          </w:p>
        </w:tc>
      </w:tr>
      <w:tr w14:paraId="3FD3C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noWrap w:val="0"/>
            <w:vAlign w:val="center"/>
          </w:tcPr>
          <w:p w14:paraId="00D612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固体废物</w:t>
            </w:r>
          </w:p>
        </w:tc>
        <w:tc>
          <w:tcPr>
            <w:tcW w:w="8944" w:type="dxa"/>
            <w:gridSpan w:val="5"/>
            <w:noWrap w:val="0"/>
            <w:vAlign w:val="center"/>
          </w:tcPr>
          <w:p w14:paraId="25E374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Times New Roman" w:hAnsi="Times New Roman" w:eastAsia="仿宋" w:cs="Times New Roman"/>
                <w:color w:val="auto"/>
                <w:sz w:val="21"/>
                <w:szCs w:val="21"/>
                <w:lang w:eastAsia="zh-CN"/>
              </w:rPr>
            </w:pPr>
            <w:r>
              <w:rPr>
                <w:rFonts w:hint="eastAsia" w:eastAsia="仿宋" w:cs="Times New Roman"/>
                <w:bCs/>
                <w:color w:val="auto"/>
                <w:sz w:val="21"/>
                <w:szCs w:val="21"/>
                <w:lang w:val="en-US" w:eastAsia="zh-CN"/>
              </w:rPr>
              <w:t>一般固废</w:t>
            </w:r>
            <w:r>
              <w:rPr>
                <w:rFonts w:hint="default" w:ascii="Times New Roman" w:hAnsi="Times New Roman" w:eastAsia="仿宋" w:cs="Times New Roman"/>
                <w:bCs/>
                <w:color w:val="auto"/>
                <w:sz w:val="21"/>
                <w:szCs w:val="21"/>
                <w:lang w:eastAsia="zh-CN"/>
              </w:rPr>
              <w:t>由资源回收单位回收后</w:t>
            </w:r>
            <w:r>
              <w:rPr>
                <w:rFonts w:hint="default" w:ascii="Times New Roman" w:hAnsi="Times New Roman" w:eastAsia="仿宋" w:cs="Times New Roman"/>
                <w:bCs/>
                <w:color w:val="auto"/>
                <w:sz w:val="21"/>
                <w:szCs w:val="21"/>
              </w:rPr>
              <w:t>综合利用</w:t>
            </w:r>
            <w:r>
              <w:rPr>
                <w:rFonts w:hint="eastAsia" w:eastAsia="仿宋" w:cs="Times New Roman"/>
                <w:bCs/>
                <w:color w:val="auto"/>
                <w:sz w:val="21"/>
                <w:szCs w:val="21"/>
                <w:lang w:eastAsia="zh-CN"/>
              </w:rPr>
              <w:t>，</w:t>
            </w:r>
            <w:r>
              <w:rPr>
                <w:rFonts w:hint="eastAsia" w:eastAsia="仿宋" w:cs="Times New Roman"/>
                <w:bCs/>
                <w:color w:val="auto"/>
                <w:sz w:val="21"/>
                <w:szCs w:val="21"/>
                <w:lang w:val="en-US" w:eastAsia="zh-CN"/>
              </w:rPr>
              <w:t>危险废物委托有资质单位处置，</w:t>
            </w:r>
            <w:r>
              <w:rPr>
                <w:rFonts w:hint="default" w:ascii="Times New Roman" w:hAnsi="Times New Roman" w:eastAsia="仿宋" w:cs="Times New Roman"/>
                <w:color w:val="auto"/>
                <w:sz w:val="21"/>
                <w:szCs w:val="21"/>
              </w:rPr>
              <w:t>生活垃圾由环卫</w:t>
            </w:r>
            <w:r>
              <w:rPr>
                <w:rFonts w:hint="eastAsia" w:eastAsia="仿宋" w:cs="Times New Roman"/>
                <w:color w:val="auto"/>
                <w:sz w:val="21"/>
                <w:szCs w:val="21"/>
                <w:lang w:val="en-US" w:eastAsia="zh-CN"/>
              </w:rPr>
              <w:t>部门统一</w:t>
            </w:r>
            <w:r>
              <w:rPr>
                <w:rFonts w:hint="default" w:ascii="Times New Roman" w:hAnsi="Times New Roman" w:eastAsia="仿宋" w:cs="Times New Roman"/>
                <w:color w:val="auto"/>
                <w:sz w:val="21"/>
                <w:szCs w:val="21"/>
              </w:rPr>
              <w:t>清运</w:t>
            </w:r>
            <w:r>
              <w:rPr>
                <w:rFonts w:hint="eastAsia" w:eastAsia="仿宋" w:cs="Times New Roman"/>
                <w:color w:val="auto"/>
                <w:sz w:val="21"/>
                <w:szCs w:val="21"/>
                <w:lang w:eastAsia="zh-CN"/>
              </w:rPr>
              <w:t>。</w:t>
            </w:r>
          </w:p>
        </w:tc>
      </w:tr>
      <w:tr w14:paraId="2E2CB4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noWrap w:val="0"/>
            <w:vAlign w:val="center"/>
          </w:tcPr>
          <w:p w14:paraId="4D33DA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土壤及地下水污染防治措施</w:t>
            </w:r>
          </w:p>
        </w:tc>
        <w:tc>
          <w:tcPr>
            <w:tcW w:w="8944" w:type="dxa"/>
            <w:gridSpan w:val="5"/>
            <w:noWrap w:val="0"/>
            <w:vAlign w:val="center"/>
          </w:tcPr>
          <w:p w14:paraId="5E891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bCs/>
                <w:color w:val="auto"/>
                <w:sz w:val="21"/>
                <w:szCs w:val="21"/>
              </w:rPr>
              <w:t>企业</w:t>
            </w:r>
            <w:r>
              <w:rPr>
                <w:rFonts w:hint="eastAsia" w:eastAsia="仿宋" w:cs="Times New Roman"/>
                <w:bCs/>
                <w:color w:val="auto"/>
                <w:sz w:val="21"/>
                <w:szCs w:val="21"/>
                <w:lang w:val="en-US" w:eastAsia="zh-CN"/>
              </w:rPr>
              <w:t>炼胶房、原辅料堆放区</w:t>
            </w:r>
            <w:r>
              <w:rPr>
                <w:rFonts w:hint="default" w:ascii="Times New Roman" w:hAnsi="Times New Roman" w:eastAsia="仿宋" w:cs="Times New Roman"/>
                <w:bCs/>
                <w:color w:val="auto"/>
                <w:sz w:val="21"/>
                <w:szCs w:val="21"/>
              </w:rPr>
              <w:t>地面均进行了防渗、防腐处理；</w:t>
            </w:r>
            <w:r>
              <w:rPr>
                <w:rFonts w:hint="eastAsia" w:ascii="Times New Roman" w:hAnsi="Times New Roman" w:eastAsia="仿宋" w:cs="Times New Roman"/>
                <w:bCs/>
                <w:color w:val="auto"/>
                <w:sz w:val="21"/>
                <w:szCs w:val="21"/>
                <w:lang w:eastAsia="zh-CN"/>
              </w:rPr>
              <w:t>危废仓库</w:t>
            </w:r>
            <w:r>
              <w:rPr>
                <w:rFonts w:hint="default" w:ascii="Times New Roman" w:hAnsi="Times New Roman" w:eastAsia="仿宋" w:cs="Times New Roman"/>
                <w:color w:val="auto"/>
                <w:sz w:val="21"/>
                <w:szCs w:val="21"/>
              </w:rPr>
              <w:t>严格按照《危险废物贮存污染控制标准》（GB18597-20</w:t>
            </w:r>
            <w:r>
              <w:rPr>
                <w:rFonts w:hint="eastAsia" w:ascii="Times New Roman" w:hAnsi="Times New Roman" w:eastAsia="仿宋" w:cs="Times New Roman"/>
                <w:color w:val="auto"/>
                <w:sz w:val="21"/>
                <w:szCs w:val="21"/>
                <w:lang w:val="en-US" w:eastAsia="zh-CN"/>
              </w:rPr>
              <w:t>23</w:t>
            </w:r>
            <w:r>
              <w:rPr>
                <w:rFonts w:hint="default" w:ascii="Times New Roman" w:hAnsi="Times New Roman" w:eastAsia="仿宋" w:cs="Times New Roman"/>
                <w:color w:val="auto"/>
                <w:sz w:val="21"/>
                <w:szCs w:val="21"/>
              </w:rPr>
              <w:t>）的要求规范建设和维护使用</w:t>
            </w:r>
            <w:r>
              <w:rPr>
                <w:rFonts w:hint="eastAsia" w:ascii="Times New Roman" w:hAnsi="Times New Roman" w:eastAsia="仿宋" w:cs="Times New Roman"/>
                <w:color w:val="auto"/>
                <w:sz w:val="21"/>
                <w:szCs w:val="21"/>
                <w:lang w:eastAsia="zh-CN"/>
              </w:rPr>
              <w:t>。</w:t>
            </w:r>
          </w:p>
        </w:tc>
      </w:tr>
      <w:tr w14:paraId="0AF80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45" w:type="dxa"/>
            <w:noWrap w:val="0"/>
            <w:vAlign w:val="center"/>
          </w:tcPr>
          <w:p w14:paraId="4B0C5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生态保护措施</w:t>
            </w:r>
          </w:p>
        </w:tc>
        <w:tc>
          <w:tcPr>
            <w:tcW w:w="8944" w:type="dxa"/>
            <w:gridSpan w:val="5"/>
            <w:noWrap w:val="0"/>
            <w:vAlign w:val="center"/>
          </w:tcPr>
          <w:p w14:paraId="76B862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617C5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noWrap w:val="0"/>
            <w:vAlign w:val="center"/>
          </w:tcPr>
          <w:p w14:paraId="2EFAD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pacing w:val="-8"/>
                <w:sz w:val="21"/>
                <w:szCs w:val="21"/>
              </w:rPr>
            </w:pPr>
            <w:r>
              <w:rPr>
                <w:rFonts w:hint="default" w:ascii="Times New Roman" w:hAnsi="Times New Roman" w:eastAsia="仿宋" w:cs="Times New Roman"/>
                <w:color w:val="auto"/>
                <w:spacing w:val="-8"/>
                <w:sz w:val="21"/>
                <w:szCs w:val="21"/>
              </w:rPr>
              <w:t>环境风险防范措施</w:t>
            </w:r>
          </w:p>
        </w:tc>
        <w:tc>
          <w:tcPr>
            <w:tcW w:w="8944" w:type="dxa"/>
            <w:gridSpan w:val="5"/>
            <w:noWrap w:val="0"/>
            <w:vAlign w:val="center"/>
          </w:tcPr>
          <w:p w14:paraId="4D200F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本项目应建立健全各项风险防范措施，如配备灭火装置、照明、电气设施及供电线路等达到相应的设计要求等；按照规范制定突发环境事件风险应急预案，并报相关管理部门备案；设计中严格执行有关规范中的安全、环保、卫生要求，对影响安全环境的因素，采取措施予以消除</w:t>
            </w:r>
            <w:r>
              <w:rPr>
                <w:rFonts w:hint="eastAsia" w:ascii="Times New Roman" w:hAnsi="Times New Roman" w:eastAsia="仿宋" w:cs="Times New Roman"/>
                <w:color w:val="auto"/>
                <w:sz w:val="21"/>
                <w:szCs w:val="21"/>
                <w:lang w:eastAsia="zh-CN"/>
              </w:rPr>
              <w:t>。</w:t>
            </w:r>
          </w:p>
        </w:tc>
      </w:tr>
      <w:tr w14:paraId="18C13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noWrap w:val="0"/>
            <w:vAlign w:val="center"/>
          </w:tcPr>
          <w:p w14:paraId="438860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pacing w:val="-8"/>
                <w:sz w:val="21"/>
                <w:szCs w:val="21"/>
              </w:rPr>
            </w:pPr>
            <w:r>
              <w:rPr>
                <w:rFonts w:hint="default" w:ascii="Times New Roman" w:hAnsi="Times New Roman" w:eastAsia="仿宋" w:cs="Times New Roman"/>
                <w:color w:val="auto"/>
                <w:spacing w:val="-8"/>
                <w:sz w:val="21"/>
                <w:szCs w:val="21"/>
              </w:rPr>
              <w:t>其他环境</w:t>
            </w:r>
          </w:p>
          <w:p w14:paraId="247EF7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仿宋" w:cs="Times New Roman"/>
                <w:color w:val="auto"/>
                <w:spacing w:val="-8"/>
                <w:sz w:val="21"/>
                <w:szCs w:val="21"/>
              </w:rPr>
            </w:pPr>
            <w:r>
              <w:rPr>
                <w:rFonts w:hint="default" w:ascii="Times New Roman" w:hAnsi="Times New Roman" w:eastAsia="仿宋" w:cs="Times New Roman"/>
                <w:color w:val="auto"/>
                <w:spacing w:val="-8"/>
                <w:sz w:val="21"/>
                <w:szCs w:val="21"/>
              </w:rPr>
              <w:t>管理要求</w:t>
            </w:r>
          </w:p>
        </w:tc>
        <w:tc>
          <w:tcPr>
            <w:tcW w:w="8944" w:type="dxa"/>
            <w:gridSpan w:val="5"/>
            <w:noWrap w:val="0"/>
            <w:vAlign w:val="center"/>
          </w:tcPr>
          <w:p w14:paraId="29D7F4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建设项目需要配套的环境保护设施，必须与主体工程同时设计、同时施工、同时投产使用，建设项目竣工后、正式生产前，对配套建设的环境保护设施进行验收，编制验收报告并按照相关排污许可申请与核发技术规范的要求申请排污许可证，根据排污许可证中的要求进行监测、管理。</w:t>
            </w:r>
          </w:p>
          <w:p w14:paraId="0DCA2E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2、规范排污口设置，强化环境管理，按照环保要求落实各项环保措施，确保污染物稳定达标排放和妥善处置。</w:t>
            </w:r>
          </w:p>
          <w:p w14:paraId="6404D03D">
            <w:pPr>
              <w:pStyle w:val="25"/>
              <w:keepNext w:val="0"/>
              <w:keepLines w:val="0"/>
              <w:pageBreakBefore w:val="0"/>
              <w:widowControl w:val="0"/>
              <w:suppressLineNumbers w:val="0"/>
              <w:kinsoku/>
              <w:wordWrap/>
              <w:overflowPunct/>
              <w:topLinePunct w:val="0"/>
              <w:bidi w:val="0"/>
              <w:snapToGrid/>
              <w:spacing w:before="0" w:beforeAutospacing="0" w:after="0" w:afterAutospacing="0" w:line="300" w:lineRule="exact"/>
              <w:ind w:left="0" w:right="0"/>
              <w:textAlignment w:val="auto"/>
              <w:rPr>
                <w:rFonts w:hint="eastAsia" w:eastAsia="仿宋"/>
                <w:color w:val="auto"/>
                <w:lang w:val="en-US" w:eastAsia="zh-CN"/>
              </w:rPr>
            </w:pPr>
            <w:r>
              <w:rPr>
                <w:rFonts w:hint="eastAsia" w:ascii="Times New Roman" w:hAnsi="Times New Roman" w:eastAsia="仿宋" w:cs="Times New Roman"/>
                <w:color w:val="auto"/>
                <w:sz w:val="21"/>
                <w:szCs w:val="21"/>
                <w:lang w:val="en-US" w:eastAsia="zh-CN"/>
              </w:rPr>
              <w:t>3、制定环境管理制度，开展日常的环境监测工作，统计整理有关环境监测资料并上报当地环保部门，检查监督环保设施的运行、维修和管理情况，开展全厂职工的环保知识教育和组织培训。</w:t>
            </w:r>
          </w:p>
        </w:tc>
      </w:tr>
    </w:tbl>
    <w:p w14:paraId="340F9A52">
      <w:pPr>
        <w:pStyle w:val="22"/>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21" w:name="_Toc2729"/>
      <w:bookmarkStart w:id="22" w:name="_Toc4517"/>
      <w:r>
        <w:rPr>
          <w:rFonts w:hint="default" w:ascii="Times New Roman" w:hAnsi="Times New Roman" w:eastAsia="黑体" w:cs="Times New Roman"/>
          <w:snapToGrid w:val="0"/>
          <w:color w:val="auto"/>
          <w:sz w:val="30"/>
          <w:szCs w:val="30"/>
        </w:rPr>
        <w:t>六、结论</w:t>
      </w:r>
      <w:bookmarkEnd w:id="21"/>
      <w:bookmarkEnd w:id="22"/>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86E77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81" w:hRule="atLeast"/>
          <w:jc w:val="center"/>
        </w:trPr>
        <w:tc>
          <w:tcPr>
            <w:tcW w:w="8865" w:type="dxa"/>
            <w:noWrap w:val="0"/>
            <w:vAlign w:val="top"/>
          </w:tcPr>
          <w:p w14:paraId="1A0405ED">
            <w:pPr>
              <w:pStyle w:val="11"/>
              <w:keepNext w:val="0"/>
              <w:keepLines w:val="0"/>
              <w:pageBreakBefore w:val="0"/>
              <w:widowControl w:val="0"/>
              <w:suppressLineNumbers w:val="0"/>
              <w:tabs>
                <w:tab w:val="left" w:pos="2810"/>
                <w:tab w:val="center" w:pos="3747"/>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sz w:val="21"/>
                <w:szCs w:val="20"/>
              </w:rPr>
              <w:t>本项目土地手续完备</w:t>
            </w:r>
            <w:r>
              <w:rPr>
                <w:rFonts w:hint="default" w:ascii="Times New Roman" w:hAnsi="Times New Roman" w:eastAsia="宋体" w:cs="Times New Roman"/>
                <w:color w:val="auto"/>
                <w:sz w:val="21"/>
                <w:szCs w:val="20"/>
                <w:lang w:eastAsia="zh-CN"/>
              </w:rPr>
              <w:t>，</w:t>
            </w:r>
            <w:r>
              <w:rPr>
                <w:rFonts w:hint="default" w:ascii="Times New Roman" w:hAnsi="Times New Roman" w:eastAsia="宋体" w:cs="Times New Roman"/>
                <w:color w:val="auto"/>
                <w:sz w:val="21"/>
                <w:szCs w:val="20"/>
              </w:rPr>
              <w:t>项目类型及其选址、布局、规模符合相关产业政策、环境保护法律法规和相关法定规划要求</w:t>
            </w:r>
            <w:r>
              <w:rPr>
                <w:rFonts w:hint="default" w:ascii="Times New Roman" w:hAnsi="Times New Roman" w:eastAsia="宋体" w:cs="Times New Roman"/>
                <w:color w:val="auto"/>
                <w:sz w:val="21"/>
                <w:szCs w:val="20"/>
                <w:lang w:eastAsia="zh-CN"/>
              </w:rPr>
              <w:t>；</w:t>
            </w:r>
            <w:r>
              <w:rPr>
                <w:rFonts w:hint="default" w:ascii="Times New Roman" w:hAnsi="Times New Roman" w:eastAsia="宋体" w:cs="Times New Roman"/>
                <w:color w:val="auto"/>
                <w:sz w:val="21"/>
                <w:szCs w:val="20"/>
              </w:rPr>
              <w:t>所在区域环境质量为不达标区</w:t>
            </w:r>
            <w:r>
              <w:rPr>
                <w:rFonts w:hint="default" w:ascii="Times New Roman" w:hAnsi="Times New Roman" w:eastAsia="宋体" w:cs="Times New Roman"/>
                <w:color w:val="auto"/>
                <w:sz w:val="21"/>
                <w:szCs w:val="20"/>
                <w:lang w:eastAsia="zh-CN"/>
              </w:rPr>
              <w:t>，</w:t>
            </w:r>
            <w:r>
              <w:rPr>
                <w:rFonts w:hint="default" w:ascii="Times New Roman" w:hAnsi="Times New Roman" w:eastAsia="宋体" w:cs="Times New Roman"/>
                <w:color w:val="auto"/>
                <w:sz w:val="21"/>
                <w:szCs w:val="20"/>
              </w:rPr>
              <w:t>本项目采取的环境治理措施不会造成区域环境质量下降，对周围环境影响较小</w:t>
            </w:r>
            <w:r>
              <w:rPr>
                <w:rFonts w:hint="default" w:ascii="Times New Roman" w:hAnsi="Times New Roman" w:eastAsia="宋体" w:cs="Times New Roman"/>
                <w:color w:val="auto"/>
                <w:sz w:val="21"/>
                <w:szCs w:val="20"/>
                <w:lang w:eastAsia="zh-CN"/>
              </w:rPr>
              <w:t>；</w:t>
            </w:r>
            <w:r>
              <w:rPr>
                <w:rFonts w:hint="default" w:ascii="Times New Roman" w:hAnsi="Times New Roman" w:eastAsia="宋体" w:cs="Times New Roman"/>
                <w:color w:val="auto"/>
                <w:sz w:val="21"/>
                <w:szCs w:val="20"/>
              </w:rPr>
              <w:t>采取的污染防治措施合理、有效</w:t>
            </w:r>
            <w:r>
              <w:rPr>
                <w:rFonts w:hint="default" w:ascii="Times New Roman" w:hAnsi="Times New Roman" w:eastAsia="宋体" w:cs="Times New Roman"/>
                <w:color w:val="auto"/>
                <w:sz w:val="21"/>
                <w:szCs w:val="20"/>
                <w:lang w:eastAsia="zh-CN"/>
              </w:rPr>
              <w:t>，</w:t>
            </w:r>
            <w:r>
              <w:rPr>
                <w:rFonts w:hint="default" w:ascii="Times New Roman" w:hAnsi="Times New Roman" w:eastAsia="宋体" w:cs="Times New Roman"/>
                <w:color w:val="auto"/>
                <w:sz w:val="21"/>
                <w:szCs w:val="20"/>
              </w:rPr>
              <w:t>项目排放的各类污染物能达到国家和地方排放标准</w:t>
            </w:r>
            <w:r>
              <w:rPr>
                <w:rFonts w:hint="default" w:ascii="Times New Roman" w:hAnsi="Times New Roman" w:eastAsia="宋体" w:cs="Times New Roman"/>
                <w:color w:val="auto"/>
                <w:sz w:val="21"/>
                <w:szCs w:val="20"/>
                <w:lang w:eastAsia="zh-CN"/>
              </w:rPr>
              <w:t>；</w:t>
            </w:r>
            <w:r>
              <w:rPr>
                <w:rFonts w:hint="default" w:ascii="Times New Roman" w:hAnsi="Times New Roman" w:eastAsia="宋体" w:cs="Times New Roman"/>
                <w:color w:val="auto"/>
                <w:sz w:val="21"/>
                <w:szCs w:val="20"/>
              </w:rPr>
              <w:t>污染物排放总量可在区域内平衡解决。故本项目在</w:t>
            </w:r>
            <w:r>
              <w:rPr>
                <w:rFonts w:hint="eastAsia" w:ascii="Times New Roman" w:eastAsia="宋体" w:cs="Times New Roman"/>
                <w:color w:val="auto"/>
                <w:sz w:val="21"/>
                <w:szCs w:val="20"/>
                <w:lang w:val="en-US" w:eastAsia="zh-CN"/>
              </w:rPr>
              <w:t>落实</w:t>
            </w:r>
            <w:r>
              <w:rPr>
                <w:rFonts w:hint="default" w:ascii="Times New Roman" w:hAnsi="Times New Roman" w:eastAsia="宋体" w:cs="Times New Roman"/>
                <w:color w:val="auto"/>
                <w:sz w:val="21"/>
                <w:szCs w:val="20"/>
              </w:rPr>
              <w:t>报告表</w:t>
            </w:r>
            <w:r>
              <w:rPr>
                <w:rFonts w:hint="eastAsia" w:ascii="Times New Roman" w:eastAsia="宋体" w:cs="Times New Roman"/>
                <w:color w:val="auto"/>
                <w:sz w:val="21"/>
                <w:szCs w:val="20"/>
                <w:lang w:eastAsia="zh-CN"/>
              </w:rPr>
              <w:t>提出</w:t>
            </w:r>
            <w:r>
              <w:rPr>
                <w:rFonts w:hint="default" w:ascii="Times New Roman" w:hAnsi="Times New Roman" w:eastAsia="宋体" w:cs="Times New Roman"/>
                <w:color w:val="auto"/>
                <w:sz w:val="21"/>
                <w:szCs w:val="20"/>
              </w:rPr>
              <w:t>的各项环保措施要求</w:t>
            </w:r>
            <w:r>
              <w:rPr>
                <w:rFonts w:hint="default" w:ascii="Times New Roman" w:hAnsi="Times New Roman" w:eastAsia="宋体" w:cs="Times New Roman"/>
                <w:color w:val="auto"/>
                <w:sz w:val="21"/>
                <w:szCs w:val="20"/>
                <w:lang w:eastAsia="zh-CN"/>
              </w:rPr>
              <w:t>，</w:t>
            </w:r>
            <w:r>
              <w:rPr>
                <w:rFonts w:hint="default" w:ascii="Times New Roman" w:hAnsi="Times New Roman" w:eastAsia="宋体" w:cs="Times New Roman"/>
                <w:color w:val="auto"/>
                <w:sz w:val="21"/>
                <w:szCs w:val="20"/>
              </w:rPr>
              <w:t>严格执行环保</w:t>
            </w:r>
            <w:r>
              <w:rPr>
                <w:rFonts w:hint="eastAsia" w:ascii="Times New Roman" w:hAnsi="Times New Roman" w:eastAsia="宋体" w:cs="Times New Roman"/>
                <w:color w:val="auto"/>
                <w:sz w:val="21"/>
                <w:szCs w:val="20"/>
                <w:lang w:eastAsia="zh-CN"/>
              </w:rPr>
              <w:t>“</w:t>
            </w:r>
            <w:r>
              <w:rPr>
                <w:rFonts w:hint="default" w:ascii="Times New Roman" w:hAnsi="Times New Roman" w:eastAsia="宋体" w:cs="Times New Roman"/>
                <w:color w:val="auto"/>
                <w:sz w:val="21"/>
                <w:szCs w:val="20"/>
              </w:rPr>
              <w:t>三同时</w:t>
            </w:r>
            <w:r>
              <w:rPr>
                <w:rFonts w:hint="eastAsia" w:ascii="Times New Roman" w:hAnsi="Times New Roman" w:eastAsia="宋体" w:cs="Times New Roman"/>
                <w:color w:val="auto"/>
                <w:sz w:val="21"/>
                <w:szCs w:val="20"/>
                <w:lang w:eastAsia="zh-CN"/>
              </w:rPr>
              <w:t>”</w:t>
            </w:r>
            <w:r>
              <w:rPr>
                <w:rFonts w:hint="default" w:ascii="Times New Roman" w:hAnsi="Times New Roman" w:eastAsia="宋体" w:cs="Times New Roman"/>
                <w:color w:val="auto"/>
                <w:sz w:val="21"/>
                <w:szCs w:val="20"/>
              </w:rPr>
              <w:t>的前提下</w:t>
            </w:r>
            <w:r>
              <w:rPr>
                <w:rFonts w:hint="default" w:ascii="Times New Roman" w:hAnsi="Times New Roman" w:eastAsia="宋体" w:cs="Times New Roman"/>
                <w:color w:val="auto"/>
                <w:sz w:val="21"/>
                <w:szCs w:val="20"/>
                <w:lang w:eastAsia="zh-CN"/>
              </w:rPr>
              <w:t>，</w:t>
            </w:r>
            <w:r>
              <w:rPr>
                <w:rFonts w:hint="default" w:ascii="Times New Roman" w:hAnsi="Times New Roman" w:eastAsia="宋体" w:cs="Times New Roman"/>
                <w:color w:val="auto"/>
                <w:sz w:val="21"/>
                <w:szCs w:val="20"/>
              </w:rPr>
              <w:t>从环保角度分析</w:t>
            </w:r>
            <w:r>
              <w:rPr>
                <w:rFonts w:hint="default" w:ascii="Times New Roman" w:hAnsi="Times New Roman" w:eastAsia="宋体" w:cs="Times New Roman"/>
                <w:color w:val="auto"/>
                <w:sz w:val="21"/>
                <w:szCs w:val="20"/>
                <w:lang w:eastAsia="zh-CN"/>
              </w:rPr>
              <w:t>，</w:t>
            </w:r>
            <w:r>
              <w:rPr>
                <w:rFonts w:hint="default" w:ascii="Times New Roman" w:hAnsi="Times New Roman" w:eastAsia="宋体" w:cs="Times New Roman"/>
                <w:color w:val="auto"/>
                <w:sz w:val="21"/>
                <w:szCs w:val="20"/>
              </w:rPr>
              <w:t>本项目建设具有环境可行性</w:t>
            </w:r>
            <w:r>
              <w:rPr>
                <w:rFonts w:hint="default" w:ascii="Times New Roman" w:hAnsi="Times New Roman" w:eastAsia="宋体" w:cs="Times New Roman"/>
                <w:color w:val="auto"/>
                <w:sz w:val="21"/>
                <w:szCs w:val="20"/>
                <w:lang w:eastAsia="zh-CN"/>
              </w:rPr>
              <w:t>。</w:t>
            </w:r>
          </w:p>
        </w:tc>
      </w:tr>
    </w:tbl>
    <w:p w14:paraId="552B8E9D">
      <w:pPr>
        <w:spacing w:line="460" w:lineRule="exact"/>
        <w:rPr>
          <w:rFonts w:hint="default" w:ascii="Times New Roman" w:hAnsi="Times New Roman" w:cs="Times New Roman"/>
          <w:color w:val="auto"/>
        </w:rPr>
        <w:sectPr>
          <w:footerReference r:id="rId8" w:type="default"/>
          <w:pgSz w:w="11905" w:h="16838"/>
          <w:pgMar w:top="1191" w:right="1400" w:bottom="1417" w:left="1088"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2E4D7004">
      <w:pPr>
        <w:pStyle w:val="22"/>
        <w:adjustRightInd w:val="0"/>
        <w:snapToGrid w:val="0"/>
        <w:spacing w:before="0" w:beforeAutospacing="0" w:after="0" w:afterAutospacing="0"/>
        <w:jc w:val="center"/>
        <w:outlineLvl w:val="0"/>
        <w:rPr>
          <w:rFonts w:hint="default" w:ascii="Times New Roman" w:hAnsi="Times New Roman" w:cs="Times New Roman"/>
          <w:b/>
          <w:bCs/>
          <w:snapToGrid w:val="0"/>
          <w:color w:val="auto"/>
          <w:sz w:val="24"/>
          <w:szCs w:val="24"/>
        </w:rPr>
      </w:pPr>
      <w:bookmarkStart w:id="23" w:name="_Toc17205"/>
      <w:bookmarkStart w:id="24" w:name="_Toc859"/>
      <w:r>
        <w:rPr>
          <w:rFonts w:hint="default" w:ascii="Times New Roman" w:hAnsi="Times New Roman" w:cs="Times New Roman"/>
          <w:b/>
          <w:bCs/>
          <w:snapToGrid w:val="0"/>
          <w:color w:val="auto"/>
          <w:sz w:val="24"/>
          <w:szCs w:val="24"/>
        </w:rPr>
        <w:t>建设项目污染物排放量汇总表    t/a</w:t>
      </w:r>
      <w:bookmarkEnd w:id="23"/>
      <w:bookmarkEnd w:id="24"/>
    </w:p>
    <w:tbl>
      <w:tblPr>
        <w:tblStyle w:val="27"/>
        <w:tblW w:w="1457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521"/>
        <w:gridCol w:w="1990"/>
        <w:gridCol w:w="1137"/>
        <w:gridCol w:w="1863"/>
        <w:gridCol w:w="1689"/>
        <w:gridCol w:w="1832"/>
        <w:gridCol w:w="2228"/>
        <w:gridCol w:w="1005"/>
      </w:tblGrid>
      <w:tr w14:paraId="349C9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tcBorders>
              <w:tl2br w:val="single" w:color="auto" w:sz="4" w:space="0"/>
            </w:tcBorders>
            <w:noWrap w:val="0"/>
            <w:tcMar>
              <w:left w:w="28" w:type="dxa"/>
              <w:right w:w="28" w:type="dxa"/>
            </w:tcMar>
            <w:vAlign w:val="center"/>
          </w:tcPr>
          <w:p w14:paraId="57A60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600" w:firstLineChars="30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项目</w:t>
            </w:r>
          </w:p>
          <w:p w14:paraId="2386AE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分类</w:t>
            </w:r>
          </w:p>
        </w:tc>
        <w:tc>
          <w:tcPr>
            <w:tcW w:w="1521" w:type="dxa"/>
            <w:noWrap w:val="0"/>
            <w:tcMar>
              <w:left w:w="28" w:type="dxa"/>
              <w:right w:w="28" w:type="dxa"/>
            </w:tcMar>
            <w:vAlign w:val="center"/>
          </w:tcPr>
          <w:p w14:paraId="30DC1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污染物名称</w:t>
            </w:r>
          </w:p>
        </w:tc>
        <w:tc>
          <w:tcPr>
            <w:tcW w:w="1990" w:type="dxa"/>
            <w:noWrap w:val="0"/>
            <w:tcMar>
              <w:left w:w="28" w:type="dxa"/>
              <w:right w:w="28" w:type="dxa"/>
            </w:tcMar>
            <w:vAlign w:val="center"/>
          </w:tcPr>
          <w:p w14:paraId="62586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现有工程排放量（固体废物产生量）</w:t>
            </w:r>
            <w:r>
              <w:rPr>
                <w:rFonts w:hint="default" w:ascii="Times New Roman" w:hAnsi="Times New Roman" w:eastAsia="仿宋" w:cs="Times New Roman"/>
                <w:color w:val="auto"/>
                <w:kern w:val="0"/>
                <w:sz w:val="20"/>
                <w:szCs w:val="20"/>
                <w:lang w:val="en-US" w:eastAsia="zh-CN"/>
              </w:rPr>
              <w:fldChar w:fldCharType="begin"/>
            </w:r>
            <w:r>
              <w:rPr>
                <w:rFonts w:hint="default" w:ascii="Times New Roman" w:hAnsi="Times New Roman" w:eastAsia="仿宋" w:cs="Times New Roman"/>
                <w:color w:val="auto"/>
                <w:kern w:val="0"/>
                <w:sz w:val="20"/>
                <w:szCs w:val="20"/>
                <w:lang w:val="en-US" w:eastAsia="zh-CN"/>
              </w:rPr>
              <w:instrText xml:space="preserve"> = 1 \* GB3 \* MERGEFORMAT </w:instrText>
            </w:r>
            <w:r>
              <w:rPr>
                <w:rFonts w:hint="default" w:ascii="Times New Roman" w:hAnsi="Times New Roman" w:eastAsia="仿宋" w:cs="Times New Roman"/>
                <w:color w:val="auto"/>
                <w:kern w:val="0"/>
                <w:sz w:val="20"/>
                <w:szCs w:val="20"/>
                <w:lang w:val="en-US" w:eastAsia="zh-CN"/>
              </w:rPr>
              <w:fldChar w:fldCharType="separate"/>
            </w:r>
            <w:r>
              <w:rPr>
                <w:rFonts w:hint="default" w:ascii="Times New Roman" w:hAnsi="Times New Roman" w:eastAsia="仿宋" w:cs="Times New Roman"/>
                <w:color w:val="auto"/>
                <w:kern w:val="0"/>
                <w:sz w:val="20"/>
                <w:szCs w:val="20"/>
                <w:lang w:val="en-US" w:eastAsia="zh-CN"/>
              </w:rPr>
              <w:t>①</w:t>
            </w:r>
            <w:r>
              <w:rPr>
                <w:rFonts w:hint="default" w:ascii="Times New Roman" w:hAnsi="Times New Roman" w:eastAsia="仿宋" w:cs="Times New Roman"/>
                <w:color w:val="auto"/>
                <w:kern w:val="0"/>
                <w:sz w:val="20"/>
                <w:szCs w:val="20"/>
                <w:lang w:val="en-US" w:eastAsia="zh-CN"/>
              </w:rPr>
              <w:fldChar w:fldCharType="end"/>
            </w:r>
          </w:p>
        </w:tc>
        <w:tc>
          <w:tcPr>
            <w:tcW w:w="1137" w:type="dxa"/>
            <w:noWrap w:val="0"/>
            <w:tcMar>
              <w:left w:w="28" w:type="dxa"/>
              <w:right w:w="28" w:type="dxa"/>
            </w:tcMar>
            <w:vAlign w:val="center"/>
          </w:tcPr>
          <w:p w14:paraId="1861B3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现有工程许可排放量</w:t>
            </w:r>
            <w:r>
              <w:rPr>
                <w:rFonts w:hint="default" w:ascii="Times New Roman" w:hAnsi="Times New Roman" w:eastAsia="仿宋" w:cs="Times New Roman"/>
                <w:color w:val="auto"/>
                <w:kern w:val="0"/>
                <w:sz w:val="20"/>
                <w:szCs w:val="20"/>
                <w:lang w:val="en-US" w:eastAsia="zh-CN"/>
              </w:rPr>
              <w:fldChar w:fldCharType="begin"/>
            </w:r>
            <w:r>
              <w:rPr>
                <w:rFonts w:hint="default" w:ascii="Times New Roman" w:hAnsi="Times New Roman" w:eastAsia="仿宋" w:cs="Times New Roman"/>
                <w:color w:val="auto"/>
                <w:kern w:val="0"/>
                <w:sz w:val="20"/>
                <w:szCs w:val="20"/>
                <w:lang w:val="en-US" w:eastAsia="zh-CN"/>
              </w:rPr>
              <w:instrText xml:space="preserve"> = 2 \* GB3 \* MERGEFORMAT </w:instrText>
            </w:r>
            <w:r>
              <w:rPr>
                <w:rFonts w:hint="default" w:ascii="Times New Roman" w:hAnsi="Times New Roman" w:eastAsia="仿宋" w:cs="Times New Roman"/>
                <w:color w:val="auto"/>
                <w:kern w:val="0"/>
                <w:sz w:val="20"/>
                <w:szCs w:val="20"/>
                <w:lang w:val="en-US" w:eastAsia="zh-CN"/>
              </w:rPr>
              <w:fldChar w:fldCharType="separate"/>
            </w:r>
            <w:r>
              <w:rPr>
                <w:rFonts w:hint="default" w:ascii="Times New Roman" w:hAnsi="Times New Roman" w:eastAsia="仿宋" w:cs="Times New Roman"/>
                <w:color w:val="auto"/>
                <w:kern w:val="0"/>
                <w:sz w:val="20"/>
                <w:szCs w:val="20"/>
                <w:lang w:val="en-US" w:eastAsia="zh-CN"/>
              </w:rPr>
              <w:t>②</w:t>
            </w:r>
            <w:r>
              <w:rPr>
                <w:rFonts w:hint="default" w:ascii="Times New Roman" w:hAnsi="Times New Roman" w:eastAsia="仿宋" w:cs="Times New Roman"/>
                <w:color w:val="auto"/>
                <w:kern w:val="0"/>
                <w:sz w:val="20"/>
                <w:szCs w:val="20"/>
                <w:lang w:val="en-US" w:eastAsia="zh-CN"/>
              </w:rPr>
              <w:fldChar w:fldCharType="end"/>
            </w:r>
          </w:p>
        </w:tc>
        <w:tc>
          <w:tcPr>
            <w:tcW w:w="1863" w:type="dxa"/>
            <w:noWrap w:val="0"/>
            <w:tcMar>
              <w:left w:w="28" w:type="dxa"/>
              <w:right w:w="28" w:type="dxa"/>
            </w:tcMar>
            <w:vAlign w:val="center"/>
          </w:tcPr>
          <w:p w14:paraId="0D45C4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在建工程排放量（固体废物产生量）</w:t>
            </w:r>
            <w:r>
              <w:rPr>
                <w:rFonts w:hint="default" w:ascii="Times New Roman" w:hAnsi="Times New Roman" w:eastAsia="仿宋" w:cs="Times New Roman"/>
                <w:color w:val="auto"/>
                <w:kern w:val="0"/>
                <w:sz w:val="20"/>
                <w:szCs w:val="20"/>
                <w:lang w:val="en-US" w:eastAsia="zh-CN"/>
              </w:rPr>
              <w:fldChar w:fldCharType="begin"/>
            </w:r>
            <w:r>
              <w:rPr>
                <w:rFonts w:hint="default" w:ascii="Times New Roman" w:hAnsi="Times New Roman" w:eastAsia="仿宋" w:cs="Times New Roman"/>
                <w:color w:val="auto"/>
                <w:kern w:val="0"/>
                <w:sz w:val="20"/>
                <w:szCs w:val="20"/>
                <w:lang w:val="en-US" w:eastAsia="zh-CN"/>
              </w:rPr>
              <w:instrText xml:space="preserve"> = 3 \* GB3 \* MERGEFORMAT </w:instrText>
            </w:r>
            <w:r>
              <w:rPr>
                <w:rFonts w:hint="default" w:ascii="Times New Roman" w:hAnsi="Times New Roman" w:eastAsia="仿宋" w:cs="Times New Roman"/>
                <w:color w:val="auto"/>
                <w:kern w:val="0"/>
                <w:sz w:val="20"/>
                <w:szCs w:val="20"/>
                <w:lang w:val="en-US" w:eastAsia="zh-CN"/>
              </w:rPr>
              <w:fldChar w:fldCharType="separate"/>
            </w:r>
            <w:r>
              <w:rPr>
                <w:rFonts w:hint="default" w:ascii="Times New Roman" w:hAnsi="Times New Roman" w:eastAsia="仿宋" w:cs="Times New Roman"/>
                <w:color w:val="auto"/>
                <w:kern w:val="0"/>
                <w:sz w:val="20"/>
                <w:szCs w:val="20"/>
                <w:lang w:val="en-US" w:eastAsia="zh-CN"/>
              </w:rPr>
              <w:t>③</w:t>
            </w:r>
            <w:r>
              <w:rPr>
                <w:rFonts w:hint="default" w:ascii="Times New Roman" w:hAnsi="Times New Roman" w:eastAsia="仿宋" w:cs="Times New Roman"/>
                <w:color w:val="auto"/>
                <w:kern w:val="0"/>
                <w:sz w:val="20"/>
                <w:szCs w:val="20"/>
                <w:lang w:val="en-US" w:eastAsia="zh-CN"/>
              </w:rPr>
              <w:fldChar w:fldCharType="end"/>
            </w:r>
          </w:p>
        </w:tc>
        <w:tc>
          <w:tcPr>
            <w:tcW w:w="1689" w:type="dxa"/>
            <w:noWrap w:val="0"/>
            <w:tcMar>
              <w:left w:w="28" w:type="dxa"/>
              <w:right w:w="28" w:type="dxa"/>
            </w:tcMar>
            <w:vAlign w:val="center"/>
          </w:tcPr>
          <w:p w14:paraId="5667F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本项目排放量（固体废物产生量）</w:t>
            </w:r>
            <w:r>
              <w:rPr>
                <w:rFonts w:hint="default" w:ascii="Times New Roman" w:hAnsi="Times New Roman" w:eastAsia="仿宋" w:cs="Times New Roman"/>
                <w:color w:val="auto"/>
                <w:kern w:val="0"/>
                <w:sz w:val="20"/>
                <w:szCs w:val="20"/>
                <w:lang w:val="en-US" w:eastAsia="zh-CN"/>
              </w:rPr>
              <w:fldChar w:fldCharType="begin"/>
            </w:r>
            <w:r>
              <w:rPr>
                <w:rFonts w:hint="default" w:ascii="Times New Roman" w:hAnsi="Times New Roman" w:eastAsia="仿宋" w:cs="Times New Roman"/>
                <w:color w:val="auto"/>
                <w:kern w:val="0"/>
                <w:sz w:val="20"/>
                <w:szCs w:val="20"/>
                <w:lang w:val="en-US" w:eastAsia="zh-CN"/>
              </w:rPr>
              <w:instrText xml:space="preserve"> = 4 \* GB3 \* MERGEFORMAT </w:instrText>
            </w:r>
            <w:r>
              <w:rPr>
                <w:rFonts w:hint="default" w:ascii="Times New Roman" w:hAnsi="Times New Roman" w:eastAsia="仿宋" w:cs="Times New Roman"/>
                <w:color w:val="auto"/>
                <w:kern w:val="0"/>
                <w:sz w:val="20"/>
                <w:szCs w:val="20"/>
                <w:lang w:val="en-US" w:eastAsia="zh-CN"/>
              </w:rPr>
              <w:fldChar w:fldCharType="separate"/>
            </w:r>
            <w:r>
              <w:rPr>
                <w:rFonts w:hint="default" w:ascii="Times New Roman" w:hAnsi="Times New Roman" w:eastAsia="仿宋" w:cs="Times New Roman"/>
                <w:color w:val="auto"/>
                <w:kern w:val="0"/>
                <w:sz w:val="20"/>
                <w:szCs w:val="20"/>
                <w:lang w:val="en-US" w:eastAsia="zh-CN"/>
              </w:rPr>
              <w:t>④</w:t>
            </w:r>
            <w:r>
              <w:rPr>
                <w:rFonts w:hint="default" w:ascii="Times New Roman" w:hAnsi="Times New Roman" w:eastAsia="仿宋" w:cs="Times New Roman"/>
                <w:color w:val="auto"/>
                <w:kern w:val="0"/>
                <w:sz w:val="20"/>
                <w:szCs w:val="20"/>
                <w:lang w:val="en-US" w:eastAsia="zh-CN"/>
              </w:rPr>
              <w:fldChar w:fldCharType="end"/>
            </w:r>
          </w:p>
        </w:tc>
        <w:tc>
          <w:tcPr>
            <w:tcW w:w="1832" w:type="dxa"/>
            <w:noWrap w:val="0"/>
            <w:tcMar>
              <w:left w:w="28" w:type="dxa"/>
              <w:right w:w="28" w:type="dxa"/>
            </w:tcMar>
            <w:vAlign w:val="center"/>
          </w:tcPr>
          <w:p w14:paraId="4D893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以新带老削减量（新建项目不填）</w:t>
            </w:r>
            <w:r>
              <w:rPr>
                <w:rFonts w:hint="default" w:ascii="Times New Roman" w:hAnsi="Times New Roman" w:eastAsia="仿宋" w:cs="Times New Roman"/>
                <w:color w:val="auto"/>
                <w:kern w:val="0"/>
                <w:sz w:val="20"/>
                <w:szCs w:val="20"/>
                <w:lang w:val="en-US" w:eastAsia="zh-CN"/>
              </w:rPr>
              <w:fldChar w:fldCharType="begin"/>
            </w:r>
            <w:r>
              <w:rPr>
                <w:rFonts w:hint="default" w:ascii="Times New Roman" w:hAnsi="Times New Roman" w:eastAsia="仿宋" w:cs="Times New Roman"/>
                <w:color w:val="auto"/>
                <w:kern w:val="0"/>
                <w:sz w:val="20"/>
                <w:szCs w:val="20"/>
                <w:lang w:val="en-US" w:eastAsia="zh-CN"/>
              </w:rPr>
              <w:instrText xml:space="preserve"> = 5 \* GB3 \* MERGEFORMAT </w:instrText>
            </w:r>
            <w:r>
              <w:rPr>
                <w:rFonts w:hint="default" w:ascii="Times New Roman" w:hAnsi="Times New Roman" w:eastAsia="仿宋" w:cs="Times New Roman"/>
                <w:color w:val="auto"/>
                <w:kern w:val="0"/>
                <w:sz w:val="20"/>
                <w:szCs w:val="20"/>
                <w:lang w:val="en-US" w:eastAsia="zh-CN"/>
              </w:rPr>
              <w:fldChar w:fldCharType="separate"/>
            </w:r>
            <w:r>
              <w:rPr>
                <w:rFonts w:hint="default" w:ascii="Times New Roman" w:hAnsi="Times New Roman" w:eastAsia="仿宋" w:cs="Times New Roman"/>
                <w:color w:val="auto"/>
                <w:kern w:val="0"/>
                <w:sz w:val="20"/>
                <w:szCs w:val="20"/>
                <w:lang w:val="en-US" w:eastAsia="zh-CN"/>
              </w:rPr>
              <w:t>⑤</w:t>
            </w:r>
            <w:r>
              <w:rPr>
                <w:rFonts w:hint="default" w:ascii="Times New Roman" w:hAnsi="Times New Roman" w:eastAsia="仿宋" w:cs="Times New Roman"/>
                <w:color w:val="auto"/>
                <w:kern w:val="0"/>
                <w:sz w:val="20"/>
                <w:szCs w:val="20"/>
                <w:lang w:val="en-US" w:eastAsia="zh-CN"/>
              </w:rPr>
              <w:fldChar w:fldCharType="end"/>
            </w:r>
          </w:p>
        </w:tc>
        <w:tc>
          <w:tcPr>
            <w:tcW w:w="2228" w:type="dxa"/>
            <w:noWrap w:val="0"/>
            <w:tcMar>
              <w:left w:w="28" w:type="dxa"/>
              <w:right w:w="28" w:type="dxa"/>
            </w:tcMar>
            <w:vAlign w:val="center"/>
          </w:tcPr>
          <w:p w14:paraId="25A49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本项目建成后全厂排放量（固体废物产生量）</w:t>
            </w:r>
            <w:r>
              <w:rPr>
                <w:rFonts w:hint="default" w:ascii="Times New Roman" w:hAnsi="Times New Roman" w:eastAsia="仿宋" w:cs="Times New Roman"/>
                <w:color w:val="auto"/>
                <w:kern w:val="0"/>
                <w:sz w:val="20"/>
                <w:szCs w:val="20"/>
                <w:lang w:val="en-US" w:eastAsia="zh-CN"/>
              </w:rPr>
              <w:fldChar w:fldCharType="begin"/>
            </w:r>
            <w:r>
              <w:rPr>
                <w:rFonts w:hint="default" w:ascii="Times New Roman" w:hAnsi="Times New Roman" w:eastAsia="仿宋" w:cs="Times New Roman"/>
                <w:color w:val="auto"/>
                <w:kern w:val="0"/>
                <w:sz w:val="20"/>
                <w:szCs w:val="20"/>
                <w:lang w:val="en-US" w:eastAsia="zh-CN"/>
              </w:rPr>
              <w:instrText xml:space="preserve"> = 6 \* GB3 \* MERGEFORMAT </w:instrText>
            </w:r>
            <w:r>
              <w:rPr>
                <w:rFonts w:hint="default" w:ascii="Times New Roman" w:hAnsi="Times New Roman" w:eastAsia="仿宋" w:cs="Times New Roman"/>
                <w:color w:val="auto"/>
                <w:kern w:val="0"/>
                <w:sz w:val="20"/>
                <w:szCs w:val="20"/>
                <w:lang w:val="en-US" w:eastAsia="zh-CN"/>
              </w:rPr>
              <w:fldChar w:fldCharType="separate"/>
            </w:r>
            <w:r>
              <w:rPr>
                <w:rFonts w:hint="default" w:ascii="Times New Roman" w:hAnsi="Times New Roman" w:eastAsia="仿宋" w:cs="Times New Roman"/>
                <w:color w:val="auto"/>
                <w:kern w:val="0"/>
                <w:sz w:val="20"/>
                <w:szCs w:val="20"/>
                <w:lang w:val="en-US" w:eastAsia="zh-CN"/>
              </w:rPr>
              <w:t>⑥</w:t>
            </w:r>
            <w:r>
              <w:rPr>
                <w:rFonts w:hint="default" w:ascii="Times New Roman" w:hAnsi="Times New Roman" w:eastAsia="仿宋" w:cs="Times New Roman"/>
                <w:color w:val="auto"/>
                <w:kern w:val="0"/>
                <w:sz w:val="20"/>
                <w:szCs w:val="20"/>
                <w:lang w:val="en-US" w:eastAsia="zh-CN"/>
              </w:rPr>
              <w:fldChar w:fldCharType="end"/>
            </w:r>
          </w:p>
        </w:tc>
        <w:tc>
          <w:tcPr>
            <w:tcW w:w="1005" w:type="dxa"/>
            <w:noWrap w:val="0"/>
            <w:tcMar>
              <w:left w:w="28" w:type="dxa"/>
              <w:right w:w="28" w:type="dxa"/>
            </w:tcMar>
            <w:vAlign w:val="center"/>
          </w:tcPr>
          <w:p w14:paraId="2DF0F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变化量</w:t>
            </w:r>
            <w:r>
              <w:rPr>
                <w:rFonts w:hint="default" w:ascii="Times New Roman" w:hAnsi="Times New Roman" w:eastAsia="仿宋" w:cs="Times New Roman"/>
                <w:color w:val="auto"/>
                <w:kern w:val="0"/>
                <w:sz w:val="20"/>
                <w:szCs w:val="20"/>
                <w:lang w:val="en-US" w:eastAsia="zh-CN"/>
              </w:rPr>
              <w:fldChar w:fldCharType="begin"/>
            </w:r>
            <w:r>
              <w:rPr>
                <w:rFonts w:hint="default" w:ascii="Times New Roman" w:hAnsi="Times New Roman" w:eastAsia="仿宋" w:cs="Times New Roman"/>
                <w:color w:val="auto"/>
                <w:kern w:val="0"/>
                <w:sz w:val="20"/>
                <w:szCs w:val="20"/>
                <w:lang w:val="en-US" w:eastAsia="zh-CN"/>
              </w:rPr>
              <w:instrText xml:space="preserve"> = 7 \* GB3 \* MERGEFORMAT </w:instrText>
            </w:r>
            <w:r>
              <w:rPr>
                <w:rFonts w:hint="default" w:ascii="Times New Roman" w:hAnsi="Times New Roman" w:eastAsia="仿宋" w:cs="Times New Roman"/>
                <w:color w:val="auto"/>
                <w:kern w:val="0"/>
                <w:sz w:val="20"/>
                <w:szCs w:val="20"/>
                <w:lang w:val="en-US" w:eastAsia="zh-CN"/>
              </w:rPr>
              <w:fldChar w:fldCharType="separate"/>
            </w:r>
            <w:r>
              <w:rPr>
                <w:rFonts w:hint="default" w:ascii="Times New Roman" w:hAnsi="Times New Roman" w:eastAsia="仿宋" w:cs="Times New Roman"/>
                <w:color w:val="auto"/>
                <w:kern w:val="0"/>
                <w:sz w:val="20"/>
                <w:szCs w:val="20"/>
                <w:lang w:val="en-US" w:eastAsia="zh-CN"/>
              </w:rPr>
              <w:t>⑦</w:t>
            </w:r>
            <w:r>
              <w:rPr>
                <w:rFonts w:hint="default" w:ascii="Times New Roman" w:hAnsi="Times New Roman" w:eastAsia="仿宋" w:cs="Times New Roman"/>
                <w:color w:val="auto"/>
                <w:kern w:val="0"/>
                <w:sz w:val="20"/>
                <w:szCs w:val="20"/>
                <w:lang w:val="en-US" w:eastAsia="zh-CN"/>
              </w:rPr>
              <w:fldChar w:fldCharType="end"/>
            </w:r>
          </w:p>
        </w:tc>
      </w:tr>
      <w:tr w14:paraId="06AB7C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restart"/>
            <w:noWrap w:val="0"/>
            <w:vAlign w:val="center"/>
          </w:tcPr>
          <w:p w14:paraId="7B62FF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废气</w:t>
            </w:r>
          </w:p>
        </w:tc>
        <w:tc>
          <w:tcPr>
            <w:tcW w:w="1521" w:type="dxa"/>
            <w:noWrap w:val="0"/>
            <w:vAlign w:val="center"/>
          </w:tcPr>
          <w:p w14:paraId="0DC8DB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颗粒物</w:t>
            </w:r>
          </w:p>
        </w:tc>
        <w:tc>
          <w:tcPr>
            <w:tcW w:w="1990" w:type="dxa"/>
            <w:noWrap w:val="0"/>
            <w:vAlign w:val="center"/>
          </w:tcPr>
          <w:p w14:paraId="283AF6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ascii="Times New Roman" w:hAnsi="Times New Roman" w:eastAsia="仿宋" w:cs="Times New Roman"/>
                <w:color w:val="auto"/>
                <w:kern w:val="0"/>
                <w:sz w:val="20"/>
                <w:szCs w:val="20"/>
                <w:lang w:val="en-US" w:eastAsia="zh-CN"/>
              </w:rPr>
              <w:t>/</w:t>
            </w:r>
          </w:p>
        </w:tc>
        <w:tc>
          <w:tcPr>
            <w:tcW w:w="1137" w:type="dxa"/>
            <w:noWrap w:val="0"/>
            <w:vAlign w:val="center"/>
          </w:tcPr>
          <w:p w14:paraId="5631E1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ascii="Times New Roman" w:hAnsi="Times New Roman" w:eastAsia="仿宋" w:cs="Times New Roman"/>
                <w:color w:val="auto"/>
                <w:kern w:val="0"/>
                <w:sz w:val="20"/>
                <w:szCs w:val="20"/>
                <w:lang w:val="en-US" w:eastAsia="zh-CN"/>
              </w:rPr>
              <w:t>/</w:t>
            </w:r>
          </w:p>
        </w:tc>
        <w:tc>
          <w:tcPr>
            <w:tcW w:w="1863" w:type="dxa"/>
            <w:noWrap w:val="0"/>
            <w:vAlign w:val="center"/>
          </w:tcPr>
          <w:p w14:paraId="158646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ascii="Times New Roman" w:hAnsi="Times New Roman" w:eastAsia="仿宋" w:cs="Times New Roman"/>
                <w:color w:val="auto"/>
                <w:kern w:val="0"/>
                <w:sz w:val="20"/>
                <w:szCs w:val="20"/>
                <w:lang w:val="en-US" w:eastAsia="zh-CN"/>
              </w:rPr>
              <w:t>/</w:t>
            </w:r>
          </w:p>
        </w:tc>
        <w:tc>
          <w:tcPr>
            <w:tcW w:w="1689" w:type="dxa"/>
            <w:noWrap w:val="0"/>
            <w:vAlign w:val="center"/>
          </w:tcPr>
          <w:p w14:paraId="02D663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1"/>
                <w:szCs w:val="21"/>
                <w:lang w:val="en-US" w:eastAsia="zh-CN" w:bidi="ar"/>
              </w:rPr>
              <w:t>0.089</w:t>
            </w:r>
          </w:p>
        </w:tc>
        <w:tc>
          <w:tcPr>
            <w:tcW w:w="1832" w:type="dxa"/>
            <w:noWrap w:val="0"/>
            <w:vAlign w:val="center"/>
          </w:tcPr>
          <w:p w14:paraId="101E42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ascii="Times New Roman" w:hAnsi="Times New Roman" w:eastAsia="仿宋" w:cs="Times New Roman"/>
                <w:color w:val="auto"/>
                <w:kern w:val="0"/>
                <w:sz w:val="20"/>
                <w:szCs w:val="20"/>
                <w:lang w:val="en-US" w:eastAsia="zh-CN"/>
              </w:rPr>
              <w:t>/</w:t>
            </w:r>
          </w:p>
        </w:tc>
        <w:tc>
          <w:tcPr>
            <w:tcW w:w="2228" w:type="dxa"/>
            <w:shd w:val="clear" w:color="auto" w:fill="auto"/>
            <w:noWrap w:val="0"/>
            <w:vAlign w:val="center"/>
          </w:tcPr>
          <w:p w14:paraId="7CA2B4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1"/>
                <w:szCs w:val="21"/>
                <w:lang w:val="en-US" w:eastAsia="zh-CN" w:bidi="ar"/>
              </w:rPr>
              <w:t>0.089</w:t>
            </w:r>
          </w:p>
        </w:tc>
        <w:tc>
          <w:tcPr>
            <w:tcW w:w="1005" w:type="dxa"/>
            <w:shd w:val="clear" w:color="auto" w:fill="auto"/>
            <w:noWrap w:val="0"/>
            <w:vAlign w:val="center"/>
          </w:tcPr>
          <w:p w14:paraId="364C5C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1"/>
                <w:szCs w:val="21"/>
                <w:lang w:val="en-US" w:eastAsia="zh-CN" w:bidi="ar"/>
              </w:rPr>
              <w:t>+0.089</w:t>
            </w:r>
          </w:p>
        </w:tc>
      </w:tr>
      <w:tr w14:paraId="006EF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063B0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p>
        </w:tc>
        <w:tc>
          <w:tcPr>
            <w:tcW w:w="1521" w:type="dxa"/>
            <w:noWrap w:val="0"/>
            <w:vAlign w:val="center"/>
          </w:tcPr>
          <w:p w14:paraId="32F13A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0"/>
                <w:sz w:val="20"/>
                <w:szCs w:val="20"/>
                <w:lang w:val="en-US" w:eastAsia="zh-CN"/>
              </w:rPr>
              <w:t>VOCs</w:t>
            </w:r>
          </w:p>
        </w:tc>
        <w:tc>
          <w:tcPr>
            <w:tcW w:w="1990" w:type="dxa"/>
            <w:noWrap w:val="0"/>
            <w:vAlign w:val="center"/>
          </w:tcPr>
          <w:p w14:paraId="64387E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 w:cs="Times New Roman"/>
                <w:color w:val="auto"/>
                <w:kern w:val="0"/>
                <w:sz w:val="20"/>
                <w:szCs w:val="20"/>
                <w:lang w:val="en-US" w:eastAsia="zh-CN"/>
              </w:rPr>
            </w:pPr>
            <w:r>
              <w:rPr>
                <w:rFonts w:hint="eastAsia" w:ascii="Times New Roman" w:hAnsi="Times New Roman" w:eastAsia="仿宋" w:cs="Times New Roman"/>
                <w:color w:val="auto"/>
                <w:kern w:val="0"/>
                <w:sz w:val="20"/>
                <w:szCs w:val="20"/>
                <w:lang w:val="en-US" w:eastAsia="zh-CN"/>
              </w:rPr>
              <w:t>/</w:t>
            </w:r>
          </w:p>
        </w:tc>
        <w:tc>
          <w:tcPr>
            <w:tcW w:w="1137" w:type="dxa"/>
            <w:noWrap w:val="0"/>
            <w:vAlign w:val="center"/>
          </w:tcPr>
          <w:p w14:paraId="3152E1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 w:cs="Times New Roman"/>
                <w:color w:val="auto"/>
                <w:kern w:val="0"/>
                <w:sz w:val="20"/>
                <w:szCs w:val="20"/>
                <w:lang w:val="en-US" w:eastAsia="zh-CN"/>
              </w:rPr>
            </w:pPr>
            <w:r>
              <w:rPr>
                <w:rFonts w:hint="eastAsia" w:ascii="Times New Roman" w:hAnsi="Times New Roman" w:eastAsia="仿宋" w:cs="Times New Roman"/>
                <w:color w:val="auto"/>
                <w:kern w:val="0"/>
                <w:sz w:val="20"/>
                <w:szCs w:val="20"/>
                <w:lang w:val="en-US" w:eastAsia="zh-CN"/>
              </w:rPr>
              <w:t>/</w:t>
            </w:r>
          </w:p>
        </w:tc>
        <w:tc>
          <w:tcPr>
            <w:tcW w:w="1863" w:type="dxa"/>
            <w:noWrap w:val="0"/>
            <w:vAlign w:val="center"/>
          </w:tcPr>
          <w:p w14:paraId="1C00A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 w:cs="Times New Roman"/>
                <w:color w:val="auto"/>
                <w:kern w:val="0"/>
                <w:sz w:val="20"/>
                <w:szCs w:val="20"/>
                <w:lang w:val="en-US" w:eastAsia="zh-CN"/>
              </w:rPr>
            </w:pPr>
            <w:r>
              <w:rPr>
                <w:rFonts w:hint="eastAsia" w:ascii="Times New Roman" w:hAnsi="Times New Roman" w:eastAsia="仿宋" w:cs="Times New Roman"/>
                <w:color w:val="auto"/>
                <w:kern w:val="0"/>
                <w:sz w:val="20"/>
                <w:szCs w:val="20"/>
                <w:lang w:val="en-US" w:eastAsia="zh-CN"/>
              </w:rPr>
              <w:t>/</w:t>
            </w:r>
          </w:p>
        </w:tc>
        <w:tc>
          <w:tcPr>
            <w:tcW w:w="1689" w:type="dxa"/>
            <w:noWrap w:val="0"/>
            <w:vAlign w:val="center"/>
          </w:tcPr>
          <w:p w14:paraId="1A87C81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1"/>
                <w:szCs w:val="21"/>
                <w:lang w:val="en-US" w:eastAsia="zh-CN" w:bidi="ar"/>
              </w:rPr>
              <w:t>0.088</w:t>
            </w:r>
          </w:p>
        </w:tc>
        <w:tc>
          <w:tcPr>
            <w:tcW w:w="1832" w:type="dxa"/>
            <w:noWrap w:val="0"/>
            <w:vAlign w:val="center"/>
          </w:tcPr>
          <w:p w14:paraId="489B87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 w:cs="Times New Roman"/>
                <w:color w:val="auto"/>
                <w:kern w:val="0"/>
                <w:sz w:val="20"/>
                <w:szCs w:val="20"/>
                <w:lang w:val="en-US" w:eastAsia="zh-CN" w:bidi="ar-SA"/>
              </w:rPr>
            </w:pPr>
            <w:r>
              <w:rPr>
                <w:rFonts w:hint="eastAsia" w:ascii="Times New Roman" w:hAnsi="Times New Roman" w:eastAsia="仿宋" w:cs="Times New Roman"/>
                <w:color w:val="auto"/>
                <w:kern w:val="0"/>
                <w:sz w:val="20"/>
                <w:szCs w:val="20"/>
                <w:lang w:val="en-US" w:eastAsia="zh-CN"/>
              </w:rPr>
              <w:t>/</w:t>
            </w:r>
          </w:p>
        </w:tc>
        <w:tc>
          <w:tcPr>
            <w:tcW w:w="2228" w:type="dxa"/>
            <w:shd w:val="clear" w:color="auto" w:fill="auto"/>
            <w:noWrap w:val="0"/>
            <w:vAlign w:val="center"/>
          </w:tcPr>
          <w:p w14:paraId="43837AB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1"/>
                <w:szCs w:val="21"/>
                <w:lang w:val="en-US" w:eastAsia="zh-CN" w:bidi="ar"/>
              </w:rPr>
              <w:t>0.088</w:t>
            </w:r>
          </w:p>
        </w:tc>
        <w:tc>
          <w:tcPr>
            <w:tcW w:w="1005" w:type="dxa"/>
            <w:shd w:val="clear" w:color="auto" w:fill="auto"/>
            <w:noWrap w:val="0"/>
            <w:vAlign w:val="center"/>
          </w:tcPr>
          <w:p w14:paraId="0FEA29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1"/>
                <w:szCs w:val="21"/>
                <w:lang w:val="en-US" w:eastAsia="zh-CN" w:bidi="ar"/>
              </w:rPr>
              <w:t>+0.088</w:t>
            </w:r>
          </w:p>
        </w:tc>
      </w:tr>
      <w:tr w14:paraId="149BA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restart"/>
            <w:noWrap w:val="0"/>
            <w:vAlign w:val="center"/>
          </w:tcPr>
          <w:p w14:paraId="59507F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废水</w:t>
            </w:r>
          </w:p>
        </w:tc>
        <w:tc>
          <w:tcPr>
            <w:tcW w:w="1521" w:type="dxa"/>
            <w:noWrap w:val="0"/>
            <w:vAlign w:val="center"/>
          </w:tcPr>
          <w:p w14:paraId="25BC7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废水量</w:t>
            </w:r>
          </w:p>
        </w:tc>
        <w:tc>
          <w:tcPr>
            <w:tcW w:w="1990" w:type="dxa"/>
            <w:noWrap w:val="0"/>
            <w:vAlign w:val="center"/>
          </w:tcPr>
          <w:p w14:paraId="7C7752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bCs w:val="0"/>
                <w:color w:val="auto"/>
                <w:kern w:val="2"/>
                <w:sz w:val="21"/>
                <w:szCs w:val="21"/>
                <w:lang w:val="en-US" w:eastAsia="zh-CN" w:bidi="ar-SA"/>
              </w:rPr>
            </w:pPr>
            <w:r>
              <w:rPr>
                <w:rFonts w:hint="eastAsia" w:ascii="Times New Roman" w:hAnsi="Times New Roman" w:eastAsia="仿宋" w:cs="Times New Roman"/>
                <w:color w:val="auto"/>
                <w:kern w:val="0"/>
                <w:sz w:val="20"/>
                <w:szCs w:val="20"/>
                <w:lang w:val="en-US" w:eastAsia="zh-CN"/>
              </w:rPr>
              <w:t>/</w:t>
            </w:r>
          </w:p>
        </w:tc>
        <w:tc>
          <w:tcPr>
            <w:tcW w:w="1137" w:type="dxa"/>
            <w:noWrap w:val="0"/>
            <w:vAlign w:val="center"/>
          </w:tcPr>
          <w:p w14:paraId="370286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0"/>
                <w:sz w:val="20"/>
                <w:szCs w:val="20"/>
                <w:lang w:val="en-US" w:eastAsia="zh-CN"/>
              </w:rPr>
              <w:t>/</w:t>
            </w:r>
          </w:p>
        </w:tc>
        <w:tc>
          <w:tcPr>
            <w:tcW w:w="1863" w:type="dxa"/>
            <w:noWrap w:val="0"/>
            <w:vAlign w:val="center"/>
          </w:tcPr>
          <w:p w14:paraId="1BA87C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ascii="Times New Roman" w:hAnsi="Times New Roman" w:eastAsia="仿宋" w:cs="Times New Roman"/>
                <w:color w:val="auto"/>
                <w:kern w:val="0"/>
                <w:sz w:val="20"/>
                <w:szCs w:val="20"/>
                <w:lang w:val="en-US" w:eastAsia="zh-CN"/>
              </w:rPr>
              <w:t>/</w:t>
            </w:r>
          </w:p>
        </w:tc>
        <w:tc>
          <w:tcPr>
            <w:tcW w:w="1689" w:type="dxa"/>
            <w:noWrap w:val="0"/>
            <w:vAlign w:val="center"/>
          </w:tcPr>
          <w:p w14:paraId="70ECA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1"/>
                <w:szCs w:val="21"/>
                <w:lang w:val="en-US" w:eastAsia="zh-CN" w:bidi="ar"/>
              </w:rPr>
              <w:t>720</w:t>
            </w:r>
          </w:p>
        </w:tc>
        <w:tc>
          <w:tcPr>
            <w:tcW w:w="1832" w:type="dxa"/>
            <w:noWrap w:val="0"/>
            <w:vAlign w:val="center"/>
          </w:tcPr>
          <w:p w14:paraId="3F1E1A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0"/>
                <w:sz w:val="20"/>
                <w:szCs w:val="20"/>
                <w:lang w:val="en-US" w:eastAsia="zh-CN"/>
              </w:rPr>
              <w:t>/</w:t>
            </w:r>
          </w:p>
        </w:tc>
        <w:tc>
          <w:tcPr>
            <w:tcW w:w="2228" w:type="dxa"/>
            <w:shd w:val="clear" w:color="auto" w:fill="auto"/>
            <w:noWrap w:val="0"/>
            <w:vAlign w:val="center"/>
          </w:tcPr>
          <w:p w14:paraId="02552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720</w:t>
            </w:r>
          </w:p>
        </w:tc>
        <w:tc>
          <w:tcPr>
            <w:tcW w:w="1005" w:type="dxa"/>
            <w:shd w:val="clear" w:color="auto" w:fill="auto"/>
            <w:noWrap w:val="0"/>
            <w:vAlign w:val="center"/>
          </w:tcPr>
          <w:p w14:paraId="2F4F94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+720</w:t>
            </w:r>
          </w:p>
        </w:tc>
      </w:tr>
      <w:tr w14:paraId="06F61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2C9A34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p>
        </w:tc>
        <w:tc>
          <w:tcPr>
            <w:tcW w:w="1521" w:type="dxa"/>
            <w:noWrap w:val="0"/>
            <w:vAlign w:val="center"/>
          </w:tcPr>
          <w:p w14:paraId="4A9D3D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COD</w:t>
            </w:r>
          </w:p>
        </w:tc>
        <w:tc>
          <w:tcPr>
            <w:tcW w:w="1990" w:type="dxa"/>
            <w:noWrap w:val="0"/>
            <w:vAlign w:val="center"/>
          </w:tcPr>
          <w:p w14:paraId="022DE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0"/>
                <w:szCs w:val="20"/>
                <w:lang w:val="en-US" w:eastAsia="zh-CN"/>
              </w:rPr>
              <w:t>/</w:t>
            </w:r>
          </w:p>
        </w:tc>
        <w:tc>
          <w:tcPr>
            <w:tcW w:w="1137" w:type="dxa"/>
            <w:noWrap w:val="0"/>
            <w:vAlign w:val="center"/>
          </w:tcPr>
          <w:p w14:paraId="6BAF96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0"/>
                <w:szCs w:val="20"/>
                <w:lang w:val="en-US" w:eastAsia="zh-CN"/>
              </w:rPr>
              <w:t>/</w:t>
            </w:r>
          </w:p>
        </w:tc>
        <w:tc>
          <w:tcPr>
            <w:tcW w:w="1863" w:type="dxa"/>
            <w:noWrap w:val="0"/>
            <w:vAlign w:val="center"/>
          </w:tcPr>
          <w:p w14:paraId="275F8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ascii="Times New Roman" w:hAnsi="Times New Roman" w:eastAsia="仿宋" w:cs="Times New Roman"/>
                <w:color w:val="auto"/>
                <w:kern w:val="0"/>
                <w:sz w:val="20"/>
                <w:szCs w:val="20"/>
                <w:lang w:val="en-US" w:eastAsia="zh-CN"/>
              </w:rPr>
              <w:t>/</w:t>
            </w:r>
          </w:p>
        </w:tc>
        <w:tc>
          <w:tcPr>
            <w:tcW w:w="1689" w:type="dxa"/>
            <w:noWrap w:val="0"/>
            <w:vAlign w:val="center"/>
          </w:tcPr>
          <w:p w14:paraId="402F5A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0.288</w:t>
            </w:r>
          </w:p>
        </w:tc>
        <w:tc>
          <w:tcPr>
            <w:tcW w:w="1832" w:type="dxa"/>
            <w:noWrap w:val="0"/>
            <w:vAlign w:val="center"/>
          </w:tcPr>
          <w:p w14:paraId="43B993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0"/>
                <w:szCs w:val="20"/>
                <w:lang w:val="en-US" w:eastAsia="zh-CN"/>
              </w:rPr>
              <w:t>/</w:t>
            </w:r>
          </w:p>
        </w:tc>
        <w:tc>
          <w:tcPr>
            <w:tcW w:w="2228" w:type="dxa"/>
            <w:shd w:val="clear" w:color="auto" w:fill="auto"/>
            <w:noWrap w:val="0"/>
            <w:vAlign w:val="center"/>
          </w:tcPr>
          <w:p w14:paraId="274F8F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0.288</w:t>
            </w:r>
          </w:p>
        </w:tc>
        <w:tc>
          <w:tcPr>
            <w:tcW w:w="1005" w:type="dxa"/>
            <w:shd w:val="clear" w:color="auto" w:fill="auto"/>
            <w:noWrap w:val="0"/>
            <w:vAlign w:val="center"/>
          </w:tcPr>
          <w:p w14:paraId="1FF738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0.288</w:t>
            </w:r>
          </w:p>
        </w:tc>
      </w:tr>
      <w:tr w14:paraId="3AFF1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2187A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p>
        </w:tc>
        <w:tc>
          <w:tcPr>
            <w:tcW w:w="1521" w:type="dxa"/>
            <w:noWrap w:val="0"/>
            <w:vAlign w:val="center"/>
          </w:tcPr>
          <w:p w14:paraId="6C8BD5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SS</w:t>
            </w:r>
          </w:p>
        </w:tc>
        <w:tc>
          <w:tcPr>
            <w:tcW w:w="1990" w:type="dxa"/>
            <w:noWrap w:val="0"/>
            <w:vAlign w:val="center"/>
          </w:tcPr>
          <w:p w14:paraId="3B984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0"/>
                <w:szCs w:val="20"/>
                <w:lang w:val="en-US" w:eastAsia="zh-CN"/>
              </w:rPr>
              <w:t>/</w:t>
            </w:r>
          </w:p>
        </w:tc>
        <w:tc>
          <w:tcPr>
            <w:tcW w:w="1137" w:type="dxa"/>
            <w:noWrap w:val="0"/>
            <w:vAlign w:val="center"/>
          </w:tcPr>
          <w:p w14:paraId="00EF0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0"/>
                <w:szCs w:val="20"/>
                <w:lang w:val="en-US" w:eastAsia="zh-CN"/>
              </w:rPr>
              <w:t>/</w:t>
            </w:r>
          </w:p>
        </w:tc>
        <w:tc>
          <w:tcPr>
            <w:tcW w:w="1863" w:type="dxa"/>
            <w:noWrap w:val="0"/>
            <w:vAlign w:val="center"/>
          </w:tcPr>
          <w:p w14:paraId="3981C8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ascii="Times New Roman" w:hAnsi="Times New Roman" w:eastAsia="仿宋" w:cs="Times New Roman"/>
                <w:color w:val="auto"/>
                <w:kern w:val="0"/>
                <w:sz w:val="20"/>
                <w:szCs w:val="20"/>
                <w:lang w:val="en-US" w:eastAsia="zh-CN"/>
              </w:rPr>
              <w:t>/</w:t>
            </w:r>
          </w:p>
        </w:tc>
        <w:tc>
          <w:tcPr>
            <w:tcW w:w="1689" w:type="dxa"/>
            <w:noWrap w:val="0"/>
            <w:vAlign w:val="center"/>
          </w:tcPr>
          <w:p w14:paraId="4CBB9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0.216</w:t>
            </w:r>
          </w:p>
        </w:tc>
        <w:tc>
          <w:tcPr>
            <w:tcW w:w="1832" w:type="dxa"/>
            <w:noWrap w:val="0"/>
            <w:vAlign w:val="center"/>
          </w:tcPr>
          <w:p w14:paraId="3DB5F2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0"/>
                <w:szCs w:val="20"/>
                <w:lang w:val="en-US" w:eastAsia="zh-CN"/>
              </w:rPr>
              <w:t>/</w:t>
            </w:r>
          </w:p>
        </w:tc>
        <w:tc>
          <w:tcPr>
            <w:tcW w:w="2228" w:type="dxa"/>
            <w:shd w:val="clear" w:color="auto" w:fill="auto"/>
            <w:noWrap w:val="0"/>
            <w:vAlign w:val="center"/>
          </w:tcPr>
          <w:p w14:paraId="75F7CA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0.216</w:t>
            </w:r>
          </w:p>
        </w:tc>
        <w:tc>
          <w:tcPr>
            <w:tcW w:w="1005" w:type="dxa"/>
            <w:shd w:val="clear" w:color="auto" w:fill="auto"/>
            <w:noWrap w:val="0"/>
            <w:vAlign w:val="center"/>
          </w:tcPr>
          <w:p w14:paraId="3EC758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0.216</w:t>
            </w:r>
          </w:p>
        </w:tc>
      </w:tr>
      <w:tr w14:paraId="3D59E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61F2C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p>
        </w:tc>
        <w:tc>
          <w:tcPr>
            <w:tcW w:w="1521" w:type="dxa"/>
            <w:noWrap w:val="0"/>
            <w:vAlign w:val="center"/>
          </w:tcPr>
          <w:p w14:paraId="02D2B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NH</w:t>
            </w:r>
            <w:r>
              <w:rPr>
                <w:rFonts w:hint="default" w:ascii="Times New Roman" w:hAnsi="Times New Roman" w:eastAsia="仿宋" w:cs="Times New Roman"/>
                <w:color w:val="auto"/>
                <w:kern w:val="0"/>
                <w:sz w:val="20"/>
                <w:szCs w:val="20"/>
                <w:vertAlign w:val="subscript"/>
                <w:lang w:val="en-US" w:eastAsia="zh-CN"/>
              </w:rPr>
              <w:t>3</w:t>
            </w:r>
            <w:r>
              <w:rPr>
                <w:rFonts w:hint="default" w:ascii="Times New Roman" w:hAnsi="Times New Roman" w:eastAsia="仿宋" w:cs="Times New Roman"/>
                <w:color w:val="auto"/>
                <w:kern w:val="0"/>
                <w:sz w:val="20"/>
                <w:szCs w:val="20"/>
                <w:lang w:val="en-US" w:eastAsia="zh-CN"/>
              </w:rPr>
              <w:t>-N</w:t>
            </w:r>
          </w:p>
        </w:tc>
        <w:tc>
          <w:tcPr>
            <w:tcW w:w="1990" w:type="dxa"/>
            <w:noWrap w:val="0"/>
            <w:vAlign w:val="center"/>
          </w:tcPr>
          <w:p w14:paraId="1375ED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0"/>
                <w:szCs w:val="20"/>
                <w:lang w:val="en-US" w:eastAsia="zh-CN"/>
              </w:rPr>
              <w:t>/</w:t>
            </w:r>
          </w:p>
        </w:tc>
        <w:tc>
          <w:tcPr>
            <w:tcW w:w="1137" w:type="dxa"/>
            <w:noWrap w:val="0"/>
            <w:vAlign w:val="center"/>
          </w:tcPr>
          <w:p w14:paraId="30165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0"/>
                <w:sz w:val="20"/>
                <w:szCs w:val="20"/>
                <w:lang w:val="en-US" w:eastAsia="zh-CN"/>
              </w:rPr>
              <w:t>/</w:t>
            </w:r>
          </w:p>
        </w:tc>
        <w:tc>
          <w:tcPr>
            <w:tcW w:w="1863" w:type="dxa"/>
            <w:noWrap w:val="0"/>
            <w:vAlign w:val="center"/>
          </w:tcPr>
          <w:p w14:paraId="243655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ascii="Times New Roman" w:hAnsi="Times New Roman" w:eastAsia="仿宋" w:cs="Times New Roman"/>
                <w:color w:val="auto"/>
                <w:kern w:val="0"/>
                <w:sz w:val="20"/>
                <w:szCs w:val="20"/>
                <w:lang w:val="en-US" w:eastAsia="zh-CN"/>
              </w:rPr>
              <w:t>/</w:t>
            </w:r>
          </w:p>
        </w:tc>
        <w:tc>
          <w:tcPr>
            <w:tcW w:w="1689" w:type="dxa"/>
            <w:noWrap w:val="0"/>
            <w:vAlign w:val="center"/>
          </w:tcPr>
          <w:p w14:paraId="145BE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1832" w:type="dxa"/>
            <w:noWrap w:val="0"/>
            <w:vAlign w:val="center"/>
          </w:tcPr>
          <w:p w14:paraId="425C62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0"/>
                <w:sz w:val="20"/>
                <w:szCs w:val="20"/>
                <w:lang w:val="en-US" w:eastAsia="zh-CN"/>
              </w:rPr>
              <w:t>/</w:t>
            </w:r>
          </w:p>
        </w:tc>
        <w:tc>
          <w:tcPr>
            <w:tcW w:w="2228" w:type="dxa"/>
            <w:shd w:val="clear" w:color="auto" w:fill="auto"/>
            <w:noWrap w:val="0"/>
            <w:vAlign w:val="center"/>
          </w:tcPr>
          <w:p w14:paraId="234339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1005" w:type="dxa"/>
            <w:shd w:val="clear" w:color="auto" w:fill="auto"/>
            <w:noWrap w:val="0"/>
            <w:vAlign w:val="center"/>
          </w:tcPr>
          <w:p w14:paraId="08DADC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0.025</w:t>
            </w:r>
          </w:p>
        </w:tc>
      </w:tr>
      <w:tr w14:paraId="339EDA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24AFF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p>
        </w:tc>
        <w:tc>
          <w:tcPr>
            <w:tcW w:w="1521" w:type="dxa"/>
            <w:noWrap w:val="0"/>
            <w:vAlign w:val="center"/>
          </w:tcPr>
          <w:p w14:paraId="5F20CD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TP</w:t>
            </w:r>
          </w:p>
        </w:tc>
        <w:tc>
          <w:tcPr>
            <w:tcW w:w="1990" w:type="dxa"/>
            <w:noWrap w:val="0"/>
            <w:vAlign w:val="center"/>
          </w:tcPr>
          <w:p w14:paraId="21CF7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0"/>
                <w:szCs w:val="20"/>
                <w:lang w:val="en-US" w:eastAsia="zh-CN"/>
              </w:rPr>
              <w:t>/</w:t>
            </w:r>
          </w:p>
        </w:tc>
        <w:tc>
          <w:tcPr>
            <w:tcW w:w="1137" w:type="dxa"/>
            <w:noWrap w:val="0"/>
            <w:vAlign w:val="center"/>
          </w:tcPr>
          <w:p w14:paraId="3ADBEB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0"/>
                <w:sz w:val="20"/>
                <w:szCs w:val="20"/>
                <w:lang w:val="en-US" w:eastAsia="zh-CN"/>
              </w:rPr>
              <w:t>/</w:t>
            </w:r>
          </w:p>
        </w:tc>
        <w:tc>
          <w:tcPr>
            <w:tcW w:w="1863" w:type="dxa"/>
            <w:noWrap w:val="0"/>
            <w:vAlign w:val="center"/>
          </w:tcPr>
          <w:p w14:paraId="6C94B8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ascii="Times New Roman" w:hAnsi="Times New Roman" w:eastAsia="仿宋" w:cs="Times New Roman"/>
                <w:color w:val="auto"/>
                <w:kern w:val="0"/>
                <w:sz w:val="20"/>
                <w:szCs w:val="20"/>
                <w:lang w:val="en-US" w:eastAsia="zh-CN"/>
              </w:rPr>
              <w:t>/</w:t>
            </w:r>
          </w:p>
        </w:tc>
        <w:tc>
          <w:tcPr>
            <w:tcW w:w="1689" w:type="dxa"/>
            <w:noWrap w:val="0"/>
            <w:vAlign w:val="center"/>
          </w:tcPr>
          <w:p w14:paraId="62CD1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4</w:t>
            </w:r>
          </w:p>
        </w:tc>
        <w:tc>
          <w:tcPr>
            <w:tcW w:w="1832" w:type="dxa"/>
            <w:noWrap w:val="0"/>
            <w:vAlign w:val="center"/>
          </w:tcPr>
          <w:p w14:paraId="1D7237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0"/>
                <w:sz w:val="20"/>
                <w:szCs w:val="20"/>
                <w:lang w:val="en-US" w:eastAsia="zh-CN"/>
              </w:rPr>
              <w:t>/</w:t>
            </w:r>
          </w:p>
        </w:tc>
        <w:tc>
          <w:tcPr>
            <w:tcW w:w="2228" w:type="dxa"/>
            <w:shd w:val="clear" w:color="auto" w:fill="auto"/>
            <w:noWrap w:val="0"/>
            <w:vAlign w:val="center"/>
          </w:tcPr>
          <w:p w14:paraId="32F5B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4</w:t>
            </w:r>
          </w:p>
        </w:tc>
        <w:tc>
          <w:tcPr>
            <w:tcW w:w="1005" w:type="dxa"/>
            <w:shd w:val="clear" w:color="auto" w:fill="auto"/>
            <w:noWrap w:val="0"/>
            <w:vAlign w:val="center"/>
          </w:tcPr>
          <w:p w14:paraId="782A2C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4</w:t>
            </w:r>
          </w:p>
        </w:tc>
      </w:tr>
      <w:tr w14:paraId="06F75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4A642D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p>
        </w:tc>
        <w:tc>
          <w:tcPr>
            <w:tcW w:w="1521" w:type="dxa"/>
            <w:noWrap w:val="0"/>
            <w:vAlign w:val="center"/>
          </w:tcPr>
          <w:p w14:paraId="5C51D9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TN</w:t>
            </w:r>
          </w:p>
        </w:tc>
        <w:tc>
          <w:tcPr>
            <w:tcW w:w="1990" w:type="dxa"/>
            <w:noWrap w:val="0"/>
            <w:vAlign w:val="center"/>
          </w:tcPr>
          <w:p w14:paraId="0D72B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0"/>
                <w:szCs w:val="20"/>
                <w:lang w:val="en-US" w:eastAsia="zh-CN"/>
              </w:rPr>
              <w:t>/</w:t>
            </w:r>
          </w:p>
        </w:tc>
        <w:tc>
          <w:tcPr>
            <w:tcW w:w="1137" w:type="dxa"/>
            <w:noWrap w:val="0"/>
            <w:vAlign w:val="center"/>
          </w:tcPr>
          <w:p w14:paraId="3AD07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0"/>
                <w:szCs w:val="20"/>
                <w:lang w:val="en-US" w:eastAsia="zh-CN"/>
              </w:rPr>
              <w:t>/</w:t>
            </w:r>
          </w:p>
        </w:tc>
        <w:tc>
          <w:tcPr>
            <w:tcW w:w="1863" w:type="dxa"/>
            <w:noWrap w:val="0"/>
            <w:vAlign w:val="center"/>
          </w:tcPr>
          <w:p w14:paraId="58D69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w:t>
            </w:r>
          </w:p>
        </w:tc>
        <w:tc>
          <w:tcPr>
            <w:tcW w:w="1689" w:type="dxa"/>
            <w:noWrap w:val="0"/>
            <w:vAlign w:val="center"/>
          </w:tcPr>
          <w:p w14:paraId="728D32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0.036</w:t>
            </w:r>
          </w:p>
        </w:tc>
        <w:tc>
          <w:tcPr>
            <w:tcW w:w="1832" w:type="dxa"/>
            <w:noWrap w:val="0"/>
            <w:vAlign w:val="center"/>
          </w:tcPr>
          <w:p w14:paraId="3085A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0"/>
                <w:szCs w:val="20"/>
                <w:lang w:val="en-US" w:eastAsia="zh-CN"/>
              </w:rPr>
              <w:t>/</w:t>
            </w:r>
          </w:p>
        </w:tc>
        <w:tc>
          <w:tcPr>
            <w:tcW w:w="2228" w:type="dxa"/>
            <w:shd w:val="clear" w:color="auto" w:fill="auto"/>
            <w:noWrap w:val="0"/>
            <w:vAlign w:val="center"/>
          </w:tcPr>
          <w:p w14:paraId="6DF5D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0.036</w:t>
            </w:r>
          </w:p>
        </w:tc>
        <w:tc>
          <w:tcPr>
            <w:tcW w:w="1005" w:type="dxa"/>
            <w:shd w:val="clear" w:color="auto" w:fill="auto"/>
            <w:noWrap w:val="0"/>
            <w:vAlign w:val="center"/>
          </w:tcPr>
          <w:p w14:paraId="0D79BD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0.036</w:t>
            </w:r>
          </w:p>
        </w:tc>
      </w:tr>
      <w:tr w14:paraId="0CE56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restart"/>
            <w:noWrap w:val="0"/>
            <w:vAlign w:val="center"/>
          </w:tcPr>
          <w:p w14:paraId="2E8C95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一般工业固体废物</w:t>
            </w:r>
          </w:p>
        </w:tc>
        <w:tc>
          <w:tcPr>
            <w:tcW w:w="1521" w:type="dxa"/>
            <w:shd w:val="clear" w:color="auto" w:fill="auto"/>
            <w:noWrap w:val="0"/>
            <w:vAlign w:val="center"/>
          </w:tcPr>
          <w:p w14:paraId="153EC4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金属边角料</w:t>
            </w:r>
          </w:p>
        </w:tc>
        <w:tc>
          <w:tcPr>
            <w:tcW w:w="1990" w:type="dxa"/>
            <w:noWrap w:val="0"/>
            <w:vAlign w:val="center"/>
          </w:tcPr>
          <w:p w14:paraId="46A9B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w:t>
            </w:r>
          </w:p>
        </w:tc>
        <w:tc>
          <w:tcPr>
            <w:tcW w:w="1137" w:type="dxa"/>
            <w:noWrap w:val="0"/>
            <w:vAlign w:val="center"/>
          </w:tcPr>
          <w:p w14:paraId="230620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1863" w:type="dxa"/>
            <w:noWrap w:val="0"/>
            <w:vAlign w:val="center"/>
          </w:tcPr>
          <w:p w14:paraId="24ACA0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w:t>
            </w:r>
          </w:p>
        </w:tc>
        <w:tc>
          <w:tcPr>
            <w:tcW w:w="1689" w:type="dxa"/>
            <w:noWrap w:val="0"/>
            <w:vAlign w:val="center"/>
          </w:tcPr>
          <w:p w14:paraId="6B21A2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2</w:t>
            </w:r>
          </w:p>
        </w:tc>
        <w:tc>
          <w:tcPr>
            <w:tcW w:w="1832" w:type="dxa"/>
            <w:noWrap w:val="0"/>
            <w:vAlign w:val="center"/>
          </w:tcPr>
          <w:p w14:paraId="492A02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default" w:ascii="Times New Roman" w:hAnsi="Times New Roman" w:eastAsia="仿宋" w:cs="Times New Roman"/>
                <w:color w:val="auto"/>
                <w:kern w:val="0"/>
                <w:sz w:val="20"/>
                <w:szCs w:val="20"/>
                <w:lang w:val="en-US" w:eastAsia="zh-CN"/>
              </w:rPr>
              <w:t>/</w:t>
            </w:r>
          </w:p>
        </w:tc>
        <w:tc>
          <w:tcPr>
            <w:tcW w:w="2228" w:type="dxa"/>
            <w:shd w:val="clear" w:color="auto" w:fill="auto"/>
            <w:noWrap w:val="0"/>
            <w:vAlign w:val="center"/>
          </w:tcPr>
          <w:p w14:paraId="771E7E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2</w:t>
            </w:r>
          </w:p>
        </w:tc>
        <w:tc>
          <w:tcPr>
            <w:tcW w:w="1005" w:type="dxa"/>
            <w:shd w:val="clear" w:color="auto" w:fill="auto"/>
            <w:noWrap w:val="0"/>
            <w:vAlign w:val="center"/>
          </w:tcPr>
          <w:p w14:paraId="332161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+2</w:t>
            </w:r>
          </w:p>
        </w:tc>
      </w:tr>
      <w:tr w14:paraId="7E14D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5DD24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 w:cs="Times New Roman"/>
                <w:color w:val="auto"/>
                <w:kern w:val="0"/>
                <w:sz w:val="20"/>
                <w:szCs w:val="20"/>
                <w:lang w:val="en-US" w:eastAsia="zh-CN"/>
              </w:rPr>
            </w:pPr>
          </w:p>
        </w:tc>
        <w:tc>
          <w:tcPr>
            <w:tcW w:w="1521" w:type="dxa"/>
            <w:shd w:val="clear" w:color="auto" w:fill="auto"/>
            <w:noWrap w:val="0"/>
            <w:vAlign w:val="center"/>
          </w:tcPr>
          <w:p w14:paraId="4C1284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废砂纸</w:t>
            </w:r>
          </w:p>
        </w:tc>
        <w:tc>
          <w:tcPr>
            <w:tcW w:w="1990" w:type="dxa"/>
            <w:noWrap w:val="0"/>
            <w:vAlign w:val="center"/>
          </w:tcPr>
          <w:p w14:paraId="7CE1D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default" w:ascii="Times New Roman" w:hAnsi="Times New Roman" w:eastAsia="仿宋" w:cs="Times New Roman"/>
                <w:color w:val="auto"/>
                <w:kern w:val="0"/>
                <w:sz w:val="20"/>
                <w:szCs w:val="20"/>
                <w:lang w:val="en-US" w:eastAsia="zh-CN"/>
              </w:rPr>
              <w:t>/</w:t>
            </w:r>
          </w:p>
        </w:tc>
        <w:tc>
          <w:tcPr>
            <w:tcW w:w="1137" w:type="dxa"/>
            <w:noWrap w:val="0"/>
            <w:vAlign w:val="center"/>
          </w:tcPr>
          <w:p w14:paraId="067291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ascii="Times New Roman" w:hAnsi="Times New Roman" w:eastAsia="仿宋" w:cs="Times New Roman"/>
                <w:color w:val="auto"/>
                <w:kern w:val="0"/>
                <w:sz w:val="20"/>
                <w:szCs w:val="20"/>
                <w:lang w:val="en-US" w:eastAsia="zh-CN"/>
              </w:rPr>
              <w:t>/</w:t>
            </w:r>
          </w:p>
        </w:tc>
        <w:tc>
          <w:tcPr>
            <w:tcW w:w="1863" w:type="dxa"/>
            <w:noWrap w:val="0"/>
            <w:vAlign w:val="center"/>
          </w:tcPr>
          <w:p w14:paraId="5516F7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default" w:ascii="Times New Roman" w:hAnsi="Times New Roman" w:eastAsia="仿宋" w:cs="Times New Roman"/>
                <w:color w:val="auto"/>
                <w:kern w:val="0"/>
                <w:sz w:val="20"/>
                <w:szCs w:val="20"/>
                <w:lang w:val="en-US" w:eastAsia="zh-CN"/>
              </w:rPr>
              <w:t>/</w:t>
            </w:r>
          </w:p>
        </w:tc>
        <w:tc>
          <w:tcPr>
            <w:tcW w:w="1689" w:type="dxa"/>
            <w:noWrap w:val="0"/>
            <w:vAlign w:val="center"/>
          </w:tcPr>
          <w:p w14:paraId="262FE2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0.01</w:t>
            </w:r>
          </w:p>
        </w:tc>
        <w:tc>
          <w:tcPr>
            <w:tcW w:w="1832" w:type="dxa"/>
            <w:noWrap w:val="0"/>
            <w:vAlign w:val="center"/>
          </w:tcPr>
          <w:p w14:paraId="47C4E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default" w:ascii="Times New Roman" w:hAnsi="Times New Roman" w:eastAsia="仿宋" w:cs="Times New Roman"/>
                <w:color w:val="auto"/>
                <w:kern w:val="0"/>
                <w:sz w:val="20"/>
                <w:szCs w:val="20"/>
                <w:lang w:val="en-US" w:eastAsia="zh-CN"/>
              </w:rPr>
              <w:t>/</w:t>
            </w:r>
          </w:p>
        </w:tc>
        <w:tc>
          <w:tcPr>
            <w:tcW w:w="2228" w:type="dxa"/>
            <w:shd w:val="clear" w:color="auto" w:fill="auto"/>
            <w:noWrap w:val="0"/>
            <w:vAlign w:val="center"/>
          </w:tcPr>
          <w:p w14:paraId="73F526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0.01</w:t>
            </w:r>
          </w:p>
        </w:tc>
        <w:tc>
          <w:tcPr>
            <w:tcW w:w="1005" w:type="dxa"/>
            <w:shd w:val="clear" w:color="auto" w:fill="auto"/>
            <w:noWrap w:val="0"/>
            <w:vAlign w:val="center"/>
          </w:tcPr>
          <w:p w14:paraId="058863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+0.01</w:t>
            </w:r>
          </w:p>
        </w:tc>
      </w:tr>
      <w:tr w14:paraId="1DC09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6C9B1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 w:cs="Times New Roman"/>
                <w:color w:val="auto"/>
                <w:kern w:val="0"/>
                <w:sz w:val="20"/>
                <w:szCs w:val="20"/>
                <w:lang w:val="en-US" w:eastAsia="zh-CN"/>
              </w:rPr>
            </w:pPr>
          </w:p>
        </w:tc>
        <w:tc>
          <w:tcPr>
            <w:tcW w:w="1521" w:type="dxa"/>
            <w:shd w:val="clear" w:color="auto" w:fill="auto"/>
            <w:noWrap w:val="0"/>
            <w:vAlign w:val="center"/>
          </w:tcPr>
          <w:p w14:paraId="6351F6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橡胶边角料</w:t>
            </w:r>
          </w:p>
        </w:tc>
        <w:tc>
          <w:tcPr>
            <w:tcW w:w="1990" w:type="dxa"/>
            <w:noWrap w:val="0"/>
            <w:vAlign w:val="center"/>
          </w:tcPr>
          <w:p w14:paraId="4BA89D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1137" w:type="dxa"/>
            <w:noWrap w:val="0"/>
            <w:vAlign w:val="center"/>
          </w:tcPr>
          <w:p w14:paraId="6C5FE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1863" w:type="dxa"/>
            <w:noWrap w:val="0"/>
            <w:vAlign w:val="center"/>
          </w:tcPr>
          <w:p w14:paraId="0C48B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1689" w:type="dxa"/>
            <w:noWrap w:val="0"/>
            <w:vAlign w:val="center"/>
          </w:tcPr>
          <w:p w14:paraId="076511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eastAsia="仿宋" w:cs="Times New Roman"/>
                <w:color w:val="auto"/>
                <w:kern w:val="0"/>
                <w:szCs w:val="21"/>
                <w:lang w:val="en-US" w:eastAsia="zh-CN"/>
              </w:rPr>
            </w:pPr>
            <w:r>
              <w:rPr>
                <w:rFonts w:hint="eastAsia" w:eastAsia="仿宋" w:cs="Times New Roman"/>
                <w:color w:val="auto"/>
                <w:kern w:val="0"/>
                <w:szCs w:val="21"/>
                <w:lang w:val="en-US" w:eastAsia="zh-CN"/>
              </w:rPr>
              <w:t>0.5</w:t>
            </w:r>
          </w:p>
        </w:tc>
        <w:tc>
          <w:tcPr>
            <w:tcW w:w="1832" w:type="dxa"/>
            <w:noWrap w:val="0"/>
            <w:vAlign w:val="center"/>
          </w:tcPr>
          <w:p w14:paraId="0519BA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2228" w:type="dxa"/>
            <w:shd w:val="clear" w:color="auto" w:fill="auto"/>
            <w:noWrap w:val="0"/>
            <w:vAlign w:val="center"/>
          </w:tcPr>
          <w:p w14:paraId="1C61A9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0.5</w:t>
            </w:r>
          </w:p>
        </w:tc>
        <w:tc>
          <w:tcPr>
            <w:tcW w:w="1005" w:type="dxa"/>
            <w:shd w:val="clear" w:color="auto" w:fill="auto"/>
            <w:noWrap w:val="0"/>
            <w:vAlign w:val="center"/>
          </w:tcPr>
          <w:p w14:paraId="3C6531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+0.5</w:t>
            </w:r>
          </w:p>
        </w:tc>
      </w:tr>
      <w:tr w14:paraId="16BE2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038174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 w:cs="Times New Roman"/>
                <w:color w:val="auto"/>
                <w:kern w:val="0"/>
                <w:sz w:val="20"/>
                <w:szCs w:val="20"/>
                <w:lang w:val="en-US" w:eastAsia="zh-CN"/>
              </w:rPr>
            </w:pPr>
          </w:p>
        </w:tc>
        <w:tc>
          <w:tcPr>
            <w:tcW w:w="1521" w:type="dxa"/>
            <w:shd w:val="clear" w:color="auto" w:fill="auto"/>
            <w:noWrap w:val="0"/>
            <w:vAlign w:val="center"/>
          </w:tcPr>
          <w:p w14:paraId="4256CF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收集粉尘</w:t>
            </w:r>
          </w:p>
        </w:tc>
        <w:tc>
          <w:tcPr>
            <w:tcW w:w="1990" w:type="dxa"/>
            <w:noWrap w:val="0"/>
            <w:vAlign w:val="center"/>
          </w:tcPr>
          <w:p w14:paraId="05C785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eastAsia="仿宋" w:cs="Times New Roman"/>
                <w:color w:val="auto"/>
                <w:kern w:val="0"/>
                <w:sz w:val="20"/>
                <w:szCs w:val="20"/>
                <w:lang w:val="en-US" w:eastAsia="zh-CN"/>
              </w:rPr>
              <w:t>/</w:t>
            </w:r>
          </w:p>
        </w:tc>
        <w:tc>
          <w:tcPr>
            <w:tcW w:w="1137" w:type="dxa"/>
            <w:noWrap w:val="0"/>
            <w:vAlign w:val="center"/>
          </w:tcPr>
          <w:p w14:paraId="7033F6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ascii="Times New Roman" w:hAnsi="Times New Roman" w:eastAsia="仿宋" w:cs="Times New Roman"/>
                <w:color w:val="auto"/>
                <w:kern w:val="0"/>
                <w:sz w:val="20"/>
                <w:szCs w:val="20"/>
                <w:lang w:val="en-US" w:eastAsia="zh-CN"/>
              </w:rPr>
              <w:t>/</w:t>
            </w:r>
          </w:p>
        </w:tc>
        <w:tc>
          <w:tcPr>
            <w:tcW w:w="1863" w:type="dxa"/>
            <w:noWrap w:val="0"/>
            <w:vAlign w:val="center"/>
          </w:tcPr>
          <w:p w14:paraId="3C0AF1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eastAsia="仿宋" w:cs="Times New Roman"/>
                <w:color w:val="auto"/>
                <w:kern w:val="0"/>
                <w:sz w:val="20"/>
                <w:szCs w:val="20"/>
                <w:lang w:val="en-US" w:eastAsia="zh-CN"/>
              </w:rPr>
              <w:t>/</w:t>
            </w:r>
          </w:p>
        </w:tc>
        <w:tc>
          <w:tcPr>
            <w:tcW w:w="1689" w:type="dxa"/>
            <w:noWrap w:val="0"/>
            <w:vAlign w:val="center"/>
          </w:tcPr>
          <w:p w14:paraId="7F26AC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1.3</w:t>
            </w:r>
          </w:p>
        </w:tc>
        <w:tc>
          <w:tcPr>
            <w:tcW w:w="1832" w:type="dxa"/>
            <w:noWrap w:val="0"/>
            <w:vAlign w:val="center"/>
          </w:tcPr>
          <w:p w14:paraId="452C7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eastAsia="仿宋" w:cs="Times New Roman"/>
                <w:color w:val="auto"/>
                <w:kern w:val="0"/>
                <w:sz w:val="20"/>
                <w:szCs w:val="20"/>
                <w:lang w:val="en-US" w:eastAsia="zh-CN"/>
              </w:rPr>
              <w:t>/</w:t>
            </w:r>
          </w:p>
        </w:tc>
        <w:tc>
          <w:tcPr>
            <w:tcW w:w="2228" w:type="dxa"/>
            <w:shd w:val="clear" w:color="auto" w:fill="auto"/>
            <w:noWrap w:val="0"/>
            <w:vAlign w:val="center"/>
          </w:tcPr>
          <w:p w14:paraId="15DF58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1.3</w:t>
            </w:r>
          </w:p>
        </w:tc>
        <w:tc>
          <w:tcPr>
            <w:tcW w:w="1005" w:type="dxa"/>
            <w:shd w:val="clear" w:color="auto" w:fill="auto"/>
            <w:noWrap w:val="0"/>
            <w:vAlign w:val="center"/>
          </w:tcPr>
          <w:p w14:paraId="514A32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+1.3</w:t>
            </w:r>
          </w:p>
        </w:tc>
      </w:tr>
      <w:tr w14:paraId="49EE1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6F3AE4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 w:cs="Times New Roman"/>
                <w:color w:val="auto"/>
                <w:kern w:val="0"/>
                <w:sz w:val="20"/>
                <w:szCs w:val="20"/>
                <w:lang w:val="en-US" w:eastAsia="zh-CN"/>
              </w:rPr>
            </w:pPr>
          </w:p>
        </w:tc>
        <w:tc>
          <w:tcPr>
            <w:tcW w:w="1521" w:type="dxa"/>
            <w:shd w:val="clear" w:color="auto" w:fill="auto"/>
            <w:noWrap w:val="0"/>
            <w:vAlign w:val="center"/>
          </w:tcPr>
          <w:p w14:paraId="25E13B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废布袋</w:t>
            </w:r>
          </w:p>
        </w:tc>
        <w:tc>
          <w:tcPr>
            <w:tcW w:w="1990" w:type="dxa"/>
            <w:shd w:val="clear" w:color="auto" w:fill="auto"/>
            <w:noWrap w:val="0"/>
            <w:vAlign w:val="center"/>
          </w:tcPr>
          <w:p w14:paraId="6B2F39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 w:cs="Times New Roman"/>
                <w:color w:val="auto"/>
                <w:kern w:val="0"/>
                <w:sz w:val="20"/>
                <w:szCs w:val="20"/>
                <w:lang w:val="en-US" w:eastAsia="zh-CN" w:bidi="ar-SA"/>
              </w:rPr>
            </w:pPr>
            <w:r>
              <w:rPr>
                <w:rFonts w:hint="eastAsia" w:eastAsia="仿宋" w:cs="Times New Roman"/>
                <w:color w:val="auto"/>
                <w:kern w:val="0"/>
                <w:sz w:val="20"/>
                <w:szCs w:val="20"/>
                <w:lang w:val="en-US" w:eastAsia="zh-CN"/>
              </w:rPr>
              <w:t>/</w:t>
            </w:r>
          </w:p>
        </w:tc>
        <w:tc>
          <w:tcPr>
            <w:tcW w:w="1137" w:type="dxa"/>
            <w:shd w:val="clear" w:color="auto" w:fill="auto"/>
            <w:noWrap w:val="0"/>
            <w:vAlign w:val="center"/>
          </w:tcPr>
          <w:p w14:paraId="2EEA34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 w:cs="Times New Roman"/>
                <w:color w:val="auto"/>
                <w:kern w:val="0"/>
                <w:sz w:val="20"/>
                <w:szCs w:val="20"/>
                <w:lang w:val="en-US" w:eastAsia="zh-CN" w:bidi="ar-SA"/>
              </w:rPr>
            </w:pPr>
            <w:r>
              <w:rPr>
                <w:rFonts w:hint="eastAsia" w:ascii="Times New Roman" w:hAnsi="Times New Roman" w:eastAsia="仿宋" w:cs="Times New Roman"/>
                <w:color w:val="auto"/>
                <w:kern w:val="0"/>
                <w:sz w:val="20"/>
                <w:szCs w:val="20"/>
                <w:lang w:val="en-US" w:eastAsia="zh-CN"/>
              </w:rPr>
              <w:t>/</w:t>
            </w:r>
          </w:p>
        </w:tc>
        <w:tc>
          <w:tcPr>
            <w:tcW w:w="1863" w:type="dxa"/>
            <w:shd w:val="clear" w:color="auto" w:fill="auto"/>
            <w:noWrap w:val="0"/>
            <w:vAlign w:val="center"/>
          </w:tcPr>
          <w:p w14:paraId="0F30DB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 w:cs="Times New Roman"/>
                <w:color w:val="auto"/>
                <w:kern w:val="0"/>
                <w:sz w:val="20"/>
                <w:szCs w:val="20"/>
                <w:lang w:val="en-US" w:eastAsia="zh-CN" w:bidi="ar-SA"/>
              </w:rPr>
            </w:pPr>
            <w:r>
              <w:rPr>
                <w:rFonts w:hint="eastAsia" w:eastAsia="仿宋" w:cs="Times New Roman"/>
                <w:color w:val="auto"/>
                <w:kern w:val="0"/>
                <w:sz w:val="20"/>
                <w:szCs w:val="20"/>
                <w:lang w:val="en-US" w:eastAsia="zh-CN"/>
              </w:rPr>
              <w:t>/</w:t>
            </w:r>
          </w:p>
        </w:tc>
        <w:tc>
          <w:tcPr>
            <w:tcW w:w="1689" w:type="dxa"/>
            <w:noWrap w:val="0"/>
            <w:vAlign w:val="center"/>
          </w:tcPr>
          <w:p w14:paraId="6DB183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0.1</w:t>
            </w:r>
          </w:p>
        </w:tc>
        <w:tc>
          <w:tcPr>
            <w:tcW w:w="1832" w:type="dxa"/>
            <w:noWrap w:val="0"/>
            <w:vAlign w:val="center"/>
          </w:tcPr>
          <w:p w14:paraId="24362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2228" w:type="dxa"/>
            <w:shd w:val="clear" w:color="auto" w:fill="auto"/>
            <w:noWrap w:val="0"/>
            <w:vAlign w:val="center"/>
          </w:tcPr>
          <w:p w14:paraId="0B2FDB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0.1</w:t>
            </w:r>
          </w:p>
        </w:tc>
        <w:tc>
          <w:tcPr>
            <w:tcW w:w="1005" w:type="dxa"/>
            <w:shd w:val="clear" w:color="auto" w:fill="auto"/>
            <w:noWrap w:val="0"/>
            <w:vAlign w:val="center"/>
          </w:tcPr>
          <w:p w14:paraId="2BB528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+0.1</w:t>
            </w:r>
          </w:p>
        </w:tc>
      </w:tr>
      <w:tr w14:paraId="15438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2D36EF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 w:cs="Times New Roman"/>
                <w:color w:val="auto"/>
                <w:kern w:val="0"/>
                <w:sz w:val="20"/>
                <w:szCs w:val="20"/>
                <w:lang w:val="en-US" w:eastAsia="zh-CN"/>
              </w:rPr>
            </w:pPr>
          </w:p>
        </w:tc>
        <w:tc>
          <w:tcPr>
            <w:tcW w:w="1521" w:type="dxa"/>
            <w:shd w:val="clear" w:color="auto" w:fill="auto"/>
            <w:noWrap w:val="0"/>
            <w:vAlign w:val="center"/>
          </w:tcPr>
          <w:p w14:paraId="4C492D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废包装材料</w:t>
            </w:r>
          </w:p>
        </w:tc>
        <w:tc>
          <w:tcPr>
            <w:tcW w:w="1990" w:type="dxa"/>
            <w:noWrap w:val="0"/>
            <w:vAlign w:val="center"/>
          </w:tcPr>
          <w:p w14:paraId="69EE9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1137" w:type="dxa"/>
            <w:noWrap w:val="0"/>
            <w:vAlign w:val="center"/>
          </w:tcPr>
          <w:p w14:paraId="76D12E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1863" w:type="dxa"/>
            <w:noWrap w:val="0"/>
            <w:vAlign w:val="center"/>
          </w:tcPr>
          <w:p w14:paraId="5B64F2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1689" w:type="dxa"/>
            <w:noWrap w:val="0"/>
            <w:vAlign w:val="center"/>
          </w:tcPr>
          <w:p w14:paraId="2115E9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0.05</w:t>
            </w:r>
          </w:p>
        </w:tc>
        <w:tc>
          <w:tcPr>
            <w:tcW w:w="1832" w:type="dxa"/>
            <w:noWrap w:val="0"/>
            <w:vAlign w:val="center"/>
          </w:tcPr>
          <w:p w14:paraId="152F9C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eastAsia="仿宋" w:cs="Times New Roman"/>
                <w:color w:val="auto"/>
                <w:kern w:val="0"/>
                <w:sz w:val="20"/>
                <w:szCs w:val="20"/>
                <w:lang w:val="en-US" w:eastAsia="zh-CN"/>
              </w:rPr>
              <w:t>/</w:t>
            </w:r>
          </w:p>
        </w:tc>
        <w:tc>
          <w:tcPr>
            <w:tcW w:w="2228" w:type="dxa"/>
            <w:shd w:val="clear" w:color="auto" w:fill="auto"/>
            <w:noWrap w:val="0"/>
            <w:vAlign w:val="center"/>
          </w:tcPr>
          <w:p w14:paraId="088027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0.05</w:t>
            </w:r>
          </w:p>
        </w:tc>
        <w:tc>
          <w:tcPr>
            <w:tcW w:w="1005" w:type="dxa"/>
            <w:shd w:val="clear" w:color="auto" w:fill="auto"/>
            <w:noWrap w:val="0"/>
            <w:vAlign w:val="center"/>
          </w:tcPr>
          <w:p w14:paraId="687B7D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+0.05</w:t>
            </w:r>
          </w:p>
        </w:tc>
      </w:tr>
      <w:tr w14:paraId="71917A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11" w:type="dxa"/>
            <w:vMerge w:val="restart"/>
            <w:noWrap w:val="0"/>
            <w:vAlign w:val="center"/>
          </w:tcPr>
          <w:p w14:paraId="6E115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ascii="Times New Roman" w:hAnsi="Times New Roman" w:eastAsia="仿宋" w:cs="Times New Roman"/>
                <w:color w:val="auto"/>
                <w:kern w:val="0"/>
                <w:sz w:val="20"/>
                <w:szCs w:val="20"/>
                <w:lang w:val="en-US" w:eastAsia="zh-CN"/>
              </w:rPr>
              <w:t>危险废物</w:t>
            </w:r>
          </w:p>
        </w:tc>
        <w:tc>
          <w:tcPr>
            <w:tcW w:w="1521" w:type="dxa"/>
            <w:shd w:val="clear" w:color="auto" w:fill="auto"/>
            <w:noWrap w:val="0"/>
            <w:vAlign w:val="center"/>
          </w:tcPr>
          <w:p w14:paraId="5F9146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废切削液</w:t>
            </w:r>
          </w:p>
        </w:tc>
        <w:tc>
          <w:tcPr>
            <w:tcW w:w="1990" w:type="dxa"/>
            <w:noWrap w:val="0"/>
            <w:vAlign w:val="center"/>
          </w:tcPr>
          <w:p w14:paraId="04E201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1137" w:type="dxa"/>
            <w:noWrap w:val="0"/>
            <w:vAlign w:val="center"/>
          </w:tcPr>
          <w:p w14:paraId="49610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1863" w:type="dxa"/>
            <w:noWrap w:val="0"/>
            <w:vAlign w:val="center"/>
          </w:tcPr>
          <w:p w14:paraId="23124E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1689" w:type="dxa"/>
            <w:noWrap w:val="0"/>
            <w:vAlign w:val="center"/>
          </w:tcPr>
          <w:p w14:paraId="11FA05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0.1</w:t>
            </w:r>
          </w:p>
        </w:tc>
        <w:tc>
          <w:tcPr>
            <w:tcW w:w="1832" w:type="dxa"/>
            <w:noWrap w:val="0"/>
            <w:vAlign w:val="center"/>
          </w:tcPr>
          <w:p w14:paraId="3ED899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2228" w:type="dxa"/>
            <w:shd w:val="clear" w:color="auto" w:fill="auto"/>
            <w:noWrap w:val="0"/>
            <w:vAlign w:val="center"/>
          </w:tcPr>
          <w:p w14:paraId="044B46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0.1</w:t>
            </w:r>
          </w:p>
        </w:tc>
        <w:tc>
          <w:tcPr>
            <w:tcW w:w="1005" w:type="dxa"/>
            <w:shd w:val="clear" w:color="auto" w:fill="auto"/>
            <w:noWrap w:val="0"/>
            <w:vAlign w:val="center"/>
          </w:tcPr>
          <w:p w14:paraId="74CEFA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eastAsia="仿宋" w:cs="Times New Roman"/>
                <w:color w:val="auto"/>
                <w:kern w:val="0"/>
                <w:szCs w:val="21"/>
                <w:lang w:val="en-US" w:eastAsia="zh-CN"/>
              </w:rPr>
            </w:pPr>
            <w:r>
              <w:rPr>
                <w:rFonts w:hint="eastAsia" w:eastAsia="仿宋" w:cs="Times New Roman"/>
                <w:color w:val="auto"/>
                <w:kern w:val="0"/>
                <w:szCs w:val="21"/>
                <w:lang w:val="en-US" w:eastAsia="zh-CN"/>
              </w:rPr>
              <w:t>+0.1</w:t>
            </w:r>
          </w:p>
        </w:tc>
      </w:tr>
      <w:tr w14:paraId="33133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43D28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p>
        </w:tc>
        <w:tc>
          <w:tcPr>
            <w:tcW w:w="1521" w:type="dxa"/>
            <w:shd w:val="clear" w:color="auto" w:fill="auto"/>
            <w:noWrap w:val="0"/>
            <w:vAlign w:val="center"/>
          </w:tcPr>
          <w:p w14:paraId="3E00B2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含胶劳保用品</w:t>
            </w:r>
          </w:p>
        </w:tc>
        <w:tc>
          <w:tcPr>
            <w:tcW w:w="1990" w:type="dxa"/>
            <w:noWrap w:val="0"/>
            <w:vAlign w:val="center"/>
          </w:tcPr>
          <w:p w14:paraId="3F9EE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default" w:ascii="Times New Roman" w:hAnsi="Times New Roman" w:eastAsia="仿宋" w:cs="Times New Roman"/>
                <w:color w:val="auto"/>
                <w:kern w:val="0"/>
                <w:sz w:val="20"/>
                <w:szCs w:val="20"/>
                <w:lang w:val="en-US" w:eastAsia="zh-CN"/>
              </w:rPr>
              <w:t>/</w:t>
            </w:r>
          </w:p>
        </w:tc>
        <w:tc>
          <w:tcPr>
            <w:tcW w:w="1137" w:type="dxa"/>
            <w:noWrap w:val="0"/>
            <w:vAlign w:val="center"/>
          </w:tcPr>
          <w:p w14:paraId="515167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0"/>
                <w:szCs w:val="20"/>
                <w:lang w:val="en-US" w:eastAsia="zh-CN"/>
              </w:rPr>
              <w:t>/</w:t>
            </w:r>
          </w:p>
        </w:tc>
        <w:tc>
          <w:tcPr>
            <w:tcW w:w="1863" w:type="dxa"/>
            <w:noWrap w:val="0"/>
            <w:vAlign w:val="center"/>
          </w:tcPr>
          <w:p w14:paraId="37716A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w:t>
            </w:r>
          </w:p>
        </w:tc>
        <w:tc>
          <w:tcPr>
            <w:tcW w:w="1689" w:type="dxa"/>
            <w:noWrap w:val="0"/>
            <w:vAlign w:val="center"/>
          </w:tcPr>
          <w:p w14:paraId="5250AB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0.05</w:t>
            </w:r>
          </w:p>
        </w:tc>
        <w:tc>
          <w:tcPr>
            <w:tcW w:w="1832" w:type="dxa"/>
            <w:noWrap w:val="0"/>
            <w:vAlign w:val="center"/>
          </w:tcPr>
          <w:p w14:paraId="6242F1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w:t>
            </w:r>
          </w:p>
        </w:tc>
        <w:tc>
          <w:tcPr>
            <w:tcW w:w="2228" w:type="dxa"/>
            <w:shd w:val="clear" w:color="auto" w:fill="auto"/>
            <w:noWrap w:val="0"/>
            <w:vAlign w:val="center"/>
          </w:tcPr>
          <w:p w14:paraId="07BA51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0.05</w:t>
            </w:r>
          </w:p>
        </w:tc>
        <w:tc>
          <w:tcPr>
            <w:tcW w:w="1005" w:type="dxa"/>
            <w:shd w:val="clear" w:color="auto" w:fill="auto"/>
            <w:noWrap w:val="0"/>
            <w:vAlign w:val="center"/>
          </w:tcPr>
          <w:p w14:paraId="7A0D5D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+0.05</w:t>
            </w:r>
          </w:p>
        </w:tc>
      </w:tr>
      <w:tr w14:paraId="2622D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1DFDC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 w:cs="Times New Roman"/>
                <w:color w:val="auto"/>
                <w:kern w:val="0"/>
                <w:sz w:val="20"/>
                <w:szCs w:val="20"/>
                <w:lang w:val="en-US" w:eastAsia="zh-CN"/>
              </w:rPr>
            </w:pPr>
          </w:p>
        </w:tc>
        <w:tc>
          <w:tcPr>
            <w:tcW w:w="1521" w:type="dxa"/>
            <w:shd w:val="clear" w:color="auto" w:fill="auto"/>
            <w:noWrap w:val="0"/>
            <w:vAlign w:val="center"/>
          </w:tcPr>
          <w:p w14:paraId="766797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喷淋废液</w:t>
            </w:r>
          </w:p>
        </w:tc>
        <w:tc>
          <w:tcPr>
            <w:tcW w:w="1990" w:type="dxa"/>
            <w:noWrap w:val="0"/>
            <w:vAlign w:val="center"/>
          </w:tcPr>
          <w:p w14:paraId="48B76E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default" w:ascii="Times New Roman" w:hAnsi="Times New Roman" w:eastAsia="仿宋" w:cs="Times New Roman"/>
                <w:color w:val="auto"/>
                <w:kern w:val="0"/>
                <w:sz w:val="20"/>
                <w:szCs w:val="20"/>
                <w:lang w:val="en-US" w:eastAsia="zh-CN"/>
              </w:rPr>
              <w:t>/</w:t>
            </w:r>
          </w:p>
        </w:tc>
        <w:tc>
          <w:tcPr>
            <w:tcW w:w="1137" w:type="dxa"/>
            <w:noWrap w:val="0"/>
            <w:vAlign w:val="center"/>
          </w:tcPr>
          <w:p w14:paraId="1C326A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0"/>
                <w:szCs w:val="20"/>
                <w:lang w:val="en-US" w:eastAsia="zh-CN"/>
              </w:rPr>
              <w:t>/</w:t>
            </w:r>
          </w:p>
        </w:tc>
        <w:tc>
          <w:tcPr>
            <w:tcW w:w="1863" w:type="dxa"/>
            <w:noWrap w:val="0"/>
            <w:vAlign w:val="center"/>
          </w:tcPr>
          <w:p w14:paraId="3CF3AE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default" w:ascii="Times New Roman" w:hAnsi="Times New Roman" w:eastAsia="仿宋" w:cs="Times New Roman"/>
                <w:color w:val="auto"/>
                <w:kern w:val="0"/>
                <w:sz w:val="20"/>
                <w:szCs w:val="20"/>
                <w:lang w:val="en-US" w:eastAsia="zh-CN"/>
              </w:rPr>
              <w:t>/</w:t>
            </w:r>
          </w:p>
        </w:tc>
        <w:tc>
          <w:tcPr>
            <w:tcW w:w="1689" w:type="dxa"/>
            <w:noWrap w:val="0"/>
            <w:vAlign w:val="center"/>
          </w:tcPr>
          <w:p w14:paraId="7097AA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w:t>
            </w:r>
          </w:p>
        </w:tc>
        <w:tc>
          <w:tcPr>
            <w:tcW w:w="1832" w:type="dxa"/>
            <w:noWrap w:val="0"/>
            <w:vAlign w:val="center"/>
          </w:tcPr>
          <w:p w14:paraId="4E4553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 w:cs="Times New Roman"/>
                <w:color w:val="auto"/>
                <w:kern w:val="0"/>
                <w:sz w:val="20"/>
                <w:szCs w:val="20"/>
                <w:lang w:val="en-US" w:eastAsia="zh-CN" w:bidi="ar-SA"/>
              </w:rPr>
            </w:pPr>
            <w:r>
              <w:rPr>
                <w:rFonts w:hint="default" w:ascii="Times New Roman" w:hAnsi="Times New Roman" w:eastAsia="仿宋" w:cs="Times New Roman"/>
                <w:color w:val="auto"/>
                <w:kern w:val="0"/>
                <w:sz w:val="20"/>
                <w:szCs w:val="20"/>
                <w:lang w:val="en-US" w:eastAsia="zh-CN"/>
              </w:rPr>
              <w:t>/</w:t>
            </w:r>
          </w:p>
        </w:tc>
        <w:tc>
          <w:tcPr>
            <w:tcW w:w="2228" w:type="dxa"/>
            <w:shd w:val="clear" w:color="auto" w:fill="auto"/>
            <w:noWrap w:val="0"/>
            <w:vAlign w:val="center"/>
          </w:tcPr>
          <w:p w14:paraId="47C6B4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w:t>
            </w:r>
          </w:p>
        </w:tc>
        <w:tc>
          <w:tcPr>
            <w:tcW w:w="1005" w:type="dxa"/>
            <w:shd w:val="clear" w:color="auto" w:fill="auto"/>
            <w:noWrap w:val="0"/>
            <w:vAlign w:val="center"/>
          </w:tcPr>
          <w:p w14:paraId="0DE973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+1</w:t>
            </w:r>
          </w:p>
        </w:tc>
      </w:tr>
      <w:tr w14:paraId="29285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76A0A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 w:cs="Times New Roman"/>
                <w:color w:val="auto"/>
                <w:kern w:val="0"/>
                <w:sz w:val="20"/>
                <w:szCs w:val="20"/>
                <w:lang w:val="en-US" w:eastAsia="zh-CN"/>
              </w:rPr>
            </w:pPr>
          </w:p>
        </w:tc>
        <w:tc>
          <w:tcPr>
            <w:tcW w:w="1521" w:type="dxa"/>
            <w:shd w:val="clear" w:color="auto" w:fill="auto"/>
            <w:noWrap w:val="0"/>
            <w:vAlign w:val="center"/>
          </w:tcPr>
          <w:p w14:paraId="041F42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废活性炭</w:t>
            </w:r>
          </w:p>
        </w:tc>
        <w:tc>
          <w:tcPr>
            <w:tcW w:w="1990" w:type="dxa"/>
            <w:noWrap w:val="0"/>
            <w:vAlign w:val="center"/>
          </w:tcPr>
          <w:p w14:paraId="3FFEA6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default" w:ascii="Times New Roman" w:hAnsi="Times New Roman" w:eastAsia="仿宋" w:cs="Times New Roman"/>
                <w:color w:val="auto"/>
                <w:kern w:val="0"/>
                <w:sz w:val="20"/>
                <w:szCs w:val="20"/>
                <w:lang w:val="en-US" w:eastAsia="zh-CN"/>
              </w:rPr>
              <w:t>/</w:t>
            </w:r>
          </w:p>
        </w:tc>
        <w:tc>
          <w:tcPr>
            <w:tcW w:w="1137" w:type="dxa"/>
            <w:noWrap w:val="0"/>
            <w:vAlign w:val="center"/>
          </w:tcPr>
          <w:p w14:paraId="486E91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ascii="Times New Roman" w:hAnsi="Times New Roman" w:eastAsia="仿宋" w:cs="Times New Roman"/>
                <w:color w:val="auto"/>
                <w:kern w:val="0"/>
                <w:sz w:val="20"/>
                <w:szCs w:val="20"/>
                <w:lang w:val="en-US" w:eastAsia="zh-CN"/>
              </w:rPr>
              <w:t>/</w:t>
            </w:r>
          </w:p>
        </w:tc>
        <w:tc>
          <w:tcPr>
            <w:tcW w:w="1863" w:type="dxa"/>
            <w:noWrap w:val="0"/>
            <w:vAlign w:val="center"/>
          </w:tcPr>
          <w:p w14:paraId="73A79F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default" w:ascii="Times New Roman" w:hAnsi="Times New Roman" w:eastAsia="仿宋" w:cs="Times New Roman"/>
                <w:color w:val="auto"/>
                <w:kern w:val="0"/>
                <w:sz w:val="20"/>
                <w:szCs w:val="20"/>
                <w:lang w:val="en-US" w:eastAsia="zh-CN"/>
              </w:rPr>
              <w:t>/</w:t>
            </w:r>
          </w:p>
        </w:tc>
        <w:tc>
          <w:tcPr>
            <w:tcW w:w="1689" w:type="dxa"/>
            <w:noWrap w:val="0"/>
            <w:vAlign w:val="center"/>
          </w:tcPr>
          <w:p w14:paraId="1D8C18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4</w:t>
            </w:r>
          </w:p>
        </w:tc>
        <w:tc>
          <w:tcPr>
            <w:tcW w:w="1832" w:type="dxa"/>
            <w:noWrap w:val="0"/>
            <w:vAlign w:val="center"/>
          </w:tcPr>
          <w:p w14:paraId="0CFAB0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 w:cs="Times New Roman"/>
                <w:color w:val="auto"/>
                <w:kern w:val="0"/>
                <w:sz w:val="20"/>
                <w:szCs w:val="20"/>
                <w:lang w:val="en-US" w:eastAsia="zh-CN" w:bidi="ar-SA"/>
              </w:rPr>
            </w:pPr>
            <w:r>
              <w:rPr>
                <w:rFonts w:hint="eastAsia" w:ascii="Times New Roman" w:hAnsi="Times New Roman" w:eastAsia="仿宋" w:cs="Times New Roman"/>
                <w:color w:val="auto"/>
                <w:kern w:val="0"/>
                <w:sz w:val="20"/>
                <w:szCs w:val="20"/>
                <w:lang w:val="en-US" w:eastAsia="zh-CN"/>
              </w:rPr>
              <w:t>/</w:t>
            </w:r>
          </w:p>
        </w:tc>
        <w:tc>
          <w:tcPr>
            <w:tcW w:w="2228" w:type="dxa"/>
            <w:shd w:val="clear" w:color="auto" w:fill="auto"/>
            <w:noWrap w:val="0"/>
            <w:vAlign w:val="center"/>
          </w:tcPr>
          <w:p w14:paraId="62DC98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4</w:t>
            </w:r>
          </w:p>
        </w:tc>
        <w:tc>
          <w:tcPr>
            <w:tcW w:w="1005" w:type="dxa"/>
            <w:shd w:val="clear" w:color="auto" w:fill="auto"/>
            <w:noWrap w:val="0"/>
            <w:vAlign w:val="center"/>
          </w:tcPr>
          <w:p w14:paraId="1C1F2C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+4</w:t>
            </w:r>
          </w:p>
        </w:tc>
      </w:tr>
      <w:tr w14:paraId="6B9A8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vMerge w:val="continue"/>
            <w:noWrap w:val="0"/>
            <w:vAlign w:val="center"/>
          </w:tcPr>
          <w:p w14:paraId="3F0EB0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p>
        </w:tc>
        <w:tc>
          <w:tcPr>
            <w:tcW w:w="1521" w:type="dxa"/>
            <w:shd w:val="clear" w:color="auto" w:fill="auto"/>
            <w:noWrap w:val="0"/>
            <w:vAlign w:val="center"/>
          </w:tcPr>
          <w:p w14:paraId="3604CE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废包装桶</w:t>
            </w:r>
          </w:p>
        </w:tc>
        <w:tc>
          <w:tcPr>
            <w:tcW w:w="1990" w:type="dxa"/>
            <w:noWrap w:val="0"/>
            <w:vAlign w:val="center"/>
          </w:tcPr>
          <w:p w14:paraId="2222FE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default" w:ascii="Times New Roman" w:hAnsi="Times New Roman" w:eastAsia="仿宋" w:cs="Times New Roman"/>
                <w:color w:val="auto"/>
                <w:kern w:val="0"/>
                <w:sz w:val="20"/>
                <w:szCs w:val="20"/>
                <w:lang w:val="en-US" w:eastAsia="zh-CN"/>
              </w:rPr>
              <w:t>/</w:t>
            </w:r>
          </w:p>
        </w:tc>
        <w:tc>
          <w:tcPr>
            <w:tcW w:w="1137" w:type="dxa"/>
            <w:noWrap w:val="0"/>
            <w:vAlign w:val="center"/>
          </w:tcPr>
          <w:p w14:paraId="79933C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eastAsia="仿宋" w:cs="Times New Roman"/>
                <w:color w:val="auto"/>
                <w:kern w:val="0"/>
                <w:sz w:val="20"/>
                <w:szCs w:val="20"/>
                <w:lang w:val="en-US" w:eastAsia="zh-CN"/>
              </w:rPr>
              <w:t>/</w:t>
            </w:r>
          </w:p>
        </w:tc>
        <w:tc>
          <w:tcPr>
            <w:tcW w:w="1863" w:type="dxa"/>
            <w:noWrap w:val="0"/>
            <w:vAlign w:val="center"/>
          </w:tcPr>
          <w:p w14:paraId="6DFE2A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default" w:ascii="Times New Roman" w:hAnsi="Times New Roman" w:eastAsia="仿宋" w:cs="Times New Roman"/>
                <w:color w:val="auto"/>
                <w:kern w:val="0"/>
                <w:sz w:val="20"/>
                <w:szCs w:val="20"/>
                <w:lang w:val="en-US" w:eastAsia="zh-CN"/>
              </w:rPr>
              <w:t>/</w:t>
            </w:r>
          </w:p>
        </w:tc>
        <w:tc>
          <w:tcPr>
            <w:tcW w:w="1689" w:type="dxa"/>
            <w:noWrap w:val="0"/>
            <w:vAlign w:val="center"/>
          </w:tcPr>
          <w:p w14:paraId="028040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0.062</w:t>
            </w:r>
          </w:p>
        </w:tc>
        <w:tc>
          <w:tcPr>
            <w:tcW w:w="1832" w:type="dxa"/>
            <w:noWrap w:val="0"/>
            <w:vAlign w:val="center"/>
          </w:tcPr>
          <w:p w14:paraId="1A9DC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ascii="Times New Roman" w:hAnsi="Times New Roman" w:eastAsia="仿宋" w:cs="Times New Roman"/>
                <w:color w:val="auto"/>
                <w:kern w:val="0"/>
                <w:sz w:val="20"/>
                <w:szCs w:val="20"/>
                <w:lang w:val="en-US" w:eastAsia="zh-CN"/>
              </w:rPr>
              <w:t>/</w:t>
            </w:r>
          </w:p>
        </w:tc>
        <w:tc>
          <w:tcPr>
            <w:tcW w:w="2228" w:type="dxa"/>
            <w:shd w:val="clear" w:color="auto" w:fill="auto"/>
            <w:noWrap w:val="0"/>
            <w:vAlign w:val="center"/>
          </w:tcPr>
          <w:p w14:paraId="569319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0.062</w:t>
            </w:r>
          </w:p>
        </w:tc>
        <w:tc>
          <w:tcPr>
            <w:tcW w:w="1005" w:type="dxa"/>
            <w:shd w:val="clear" w:color="auto" w:fill="auto"/>
            <w:noWrap w:val="0"/>
            <w:vAlign w:val="center"/>
          </w:tcPr>
          <w:p w14:paraId="1C165D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+0.062</w:t>
            </w:r>
          </w:p>
        </w:tc>
      </w:tr>
      <w:tr w14:paraId="4C051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1" w:type="dxa"/>
            <w:noWrap w:val="0"/>
            <w:vAlign w:val="center"/>
          </w:tcPr>
          <w:p w14:paraId="28783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ascii="Times New Roman" w:hAnsi="Times New Roman" w:eastAsia="仿宋" w:cs="Times New Roman"/>
                <w:color w:val="auto"/>
                <w:kern w:val="0"/>
                <w:sz w:val="20"/>
                <w:szCs w:val="20"/>
                <w:lang w:val="en-US" w:eastAsia="zh-CN"/>
              </w:rPr>
              <w:t>生活垃圾</w:t>
            </w:r>
          </w:p>
        </w:tc>
        <w:tc>
          <w:tcPr>
            <w:tcW w:w="1521" w:type="dxa"/>
            <w:shd w:val="clear" w:color="auto" w:fill="auto"/>
            <w:noWrap w:val="0"/>
            <w:vAlign w:val="center"/>
          </w:tcPr>
          <w:p w14:paraId="5132F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生活垃圾</w:t>
            </w:r>
          </w:p>
        </w:tc>
        <w:tc>
          <w:tcPr>
            <w:tcW w:w="1990" w:type="dxa"/>
            <w:noWrap w:val="0"/>
            <w:vAlign w:val="center"/>
          </w:tcPr>
          <w:p w14:paraId="458A4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w:t>
            </w:r>
          </w:p>
        </w:tc>
        <w:tc>
          <w:tcPr>
            <w:tcW w:w="1137" w:type="dxa"/>
            <w:noWrap w:val="0"/>
            <w:vAlign w:val="center"/>
          </w:tcPr>
          <w:p w14:paraId="750A0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w:t>
            </w:r>
          </w:p>
        </w:tc>
        <w:tc>
          <w:tcPr>
            <w:tcW w:w="1863" w:type="dxa"/>
            <w:noWrap w:val="0"/>
            <w:vAlign w:val="center"/>
          </w:tcPr>
          <w:p w14:paraId="70FDAF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rPr>
            </w:pPr>
            <w:r>
              <w:rPr>
                <w:rFonts w:hint="default" w:ascii="Times New Roman" w:hAnsi="Times New Roman" w:eastAsia="仿宋" w:cs="Times New Roman"/>
                <w:color w:val="auto"/>
                <w:kern w:val="0"/>
                <w:sz w:val="20"/>
                <w:szCs w:val="20"/>
                <w:lang w:val="en-US" w:eastAsia="zh-CN"/>
              </w:rPr>
              <w:t>/</w:t>
            </w:r>
          </w:p>
        </w:tc>
        <w:tc>
          <w:tcPr>
            <w:tcW w:w="1689" w:type="dxa"/>
            <w:noWrap w:val="0"/>
            <w:vAlign w:val="center"/>
          </w:tcPr>
          <w:p w14:paraId="26ECD4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4.5</w:t>
            </w:r>
          </w:p>
        </w:tc>
        <w:tc>
          <w:tcPr>
            <w:tcW w:w="1832" w:type="dxa"/>
            <w:noWrap w:val="0"/>
            <w:vAlign w:val="center"/>
          </w:tcPr>
          <w:p w14:paraId="5877AA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 w:cs="Times New Roman"/>
                <w:color w:val="auto"/>
                <w:kern w:val="0"/>
                <w:sz w:val="20"/>
                <w:szCs w:val="20"/>
                <w:lang w:val="en-US" w:eastAsia="zh-CN" w:bidi="ar-SA"/>
              </w:rPr>
            </w:pPr>
            <w:r>
              <w:rPr>
                <w:rFonts w:hint="eastAsia" w:ascii="Times New Roman" w:hAnsi="Times New Roman" w:eastAsia="仿宋" w:cs="Times New Roman"/>
                <w:color w:val="auto"/>
                <w:kern w:val="0"/>
                <w:sz w:val="20"/>
                <w:szCs w:val="20"/>
                <w:lang w:val="en-US" w:eastAsia="zh-CN"/>
              </w:rPr>
              <w:t>/</w:t>
            </w:r>
          </w:p>
        </w:tc>
        <w:tc>
          <w:tcPr>
            <w:tcW w:w="2228" w:type="dxa"/>
            <w:shd w:val="clear" w:color="auto" w:fill="auto"/>
            <w:noWrap w:val="0"/>
            <w:vAlign w:val="center"/>
          </w:tcPr>
          <w:p w14:paraId="712F61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4.5</w:t>
            </w:r>
          </w:p>
        </w:tc>
        <w:tc>
          <w:tcPr>
            <w:tcW w:w="1005" w:type="dxa"/>
            <w:shd w:val="clear" w:color="auto" w:fill="auto"/>
            <w:noWrap w:val="0"/>
            <w:vAlign w:val="center"/>
          </w:tcPr>
          <w:p w14:paraId="3A9A1B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+4.5</w:t>
            </w:r>
          </w:p>
        </w:tc>
      </w:tr>
    </w:tbl>
    <w:p w14:paraId="0838E31F">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outlineLvl w:val="9"/>
        <w:rPr>
          <w:color w:val="auto"/>
        </w:rPr>
      </w:pPr>
      <w:r>
        <w:rPr>
          <w:rFonts w:hint="default" w:ascii="Times New Roman" w:hAnsi="Times New Roman" w:eastAsia="宋体" w:cs="Times New Roman"/>
          <w:b w:val="0"/>
          <w:bCs w:val="0"/>
          <w:color w:val="auto"/>
          <w:kern w:val="0"/>
          <w:sz w:val="21"/>
          <w:szCs w:val="20"/>
          <w:lang w:val="en-US" w:eastAsia="zh-CN" w:bidi="ar-SA"/>
        </w:rPr>
        <w:t>注：⑥=</w:t>
      </w:r>
      <w:r>
        <w:rPr>
          <w:rFonts w:hint="eastAsia" w:ascii="Times New Roman" w:eastAsia="宋体" w:cs="Times New Roman"/>
          <w:b w:val="0"/>
          <w:bCs w:val="0"/>
          <w:color w:val="auto"/>
          <w:kern w:val="0"/>
          <w:sz w:val="21"/>
          <w:szCs w:val="20"/>
          <w:lang w:val="en-US" w:eastAsia="zh-CN" w:bidi="ar-SA"/>
        </w:rPr>
        <w:t>②</w:t>
      </w:r>
      <w:r>
        <w:rPr>
          <w:rFonts w:hint="default" w:ascii="Times New Roman" w:hAnsi="Times New Roman" w:eastAsia="宋体" w:cs="Times New Roman"/>
          <w:b w:val="0"/>
          <w:bCs w:val="0"/>
          <w:color w:val="auto"/>
          <w:kern w:val="0"/>
          <w:sz w:val="21"/>
          <w:szCs w:val="20"/>
          <w:lang w:val="en-US" w:eastAsia="zh-CN" w:bidi="ar-SA"/>
        </w:rPr>
        <w:t>+③+④-⑤；⑦=⑥-</w:t>
      </w:r>
      <w:r>
        <w:rPr>
          <w:rFonts w:hint="eastAsia" w:ascii="Times New Roman" w:eastAsia="宋体" w:cs="Times New Roman"/>
          <w:b w:val="0"/>
          <w:bCs w:val="0"/>
          <w:color w:val="auto"/>
          <w:kern w:val="0"/>
          <w:sz w:val="21"/>
          <w:szCs w:val="20"/>
          <w:lang w:val="en-US" w:eastAsia="zh-CN" w:bidi="ar-SA"/>
        </w:rPr>
        <w:t>②</w:t>
      </w:r>
    </w:p>
    <w:sectPr>
      <w:footerReference r:id="rId9" w:type="default"/>
      <w:pgSz w:w="16838" w:h="11905" w:orient="landscape"/>
      <w:pgMar w:top="1088" w:right="1191" w:bottom="1400" w:left="1417" w:header="851" w:footer="85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00"/>
    <w:family w:val="swiss"/>
    <w:pitch w:val="default"/>
    <w:sig w:usb0="00000000" w:usb1="00000000" w:usb2="0000003F" w:usb3="00000000" w:csb0="603F01FF" w:csb1="FFFF0000"/>
  </w:font>
  <w:font w:name="Arial Black">
    <w:panose1 w:val="020B0A04020102020204"/>
    <w:charset w:val="00"/>
    <w:family w:val="swiss"/>
    <w:pitch w:val="default"/>
    <w:sig w:usb0="00000287" w:usb1="00000000" w:usb2="00000000" w:usb3="00000000" w:csb0="2000009F" w:csb1="DFD70000"/>
  </w:font>
  <w:font w:name="Wingdings 2">
    <w:altName w:val="Wingdings"/>
    <w:panose1 w:val="05020102010507070707"/>
    <w:charset w:val="02"/>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895E7">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F16BE">
    <w:pPr>
      <w:pStyle w:val="16"/>
      <w:framePr w:wrap="around" w:vAnchor="text" w:hAnchor="margin" w:xAlign="center" w:yAlign="inline"/>
      <w:rPr>
        <w:rStyle w:val="31"/>
      </w:rPr>
    </w:pPr>
    <w:r>
      <w:fldChar w:fldCharType="begin"/>
    </w:r>
    <w:r>
      <w:rPr>
        <w:rStyle w:val="31"/>
      </w:rPr>
      <w:instrText xml:space="preserve">PAGE  </w:instrText>
    </w:r>
    <w:r>
      <w:fldChar w:fldCharType="end"/>
    </w:r>
  </w:p>
  <w:p w14:paraId="35C244E2">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69B8D">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8B9E1">
    <w:pPr>
      <w:pStyle w:val="16"/>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ED146">
    <w:pPr>
      <w:pStyle w:val="1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34D91F">
                          <w:pPr>
                            <w:pStyle w:val="16"/>
                            <w:rPr>
                              <w:sz w:val="24"/>
                              <w:szCs w:val="28"/>
                            </w:rPr>
                          </w:pPr>
                          <w:r>
                            <w:rPr>
                              <w:sz w:val="24"/>
                              <w:szCs w:val="28"/>
                            </w:rPr>
                            <w:t xml:space="preserve">— </w:t>
                          </w:r>
                          <w:r>
                            <w:rPr>
                              <w:rFonts w:hint="eastAsia"/>
                              <w:sz w:val="24"/>
                              <w:szCs w:val="28"/>
                              <w:lang w:val="en-US" w:eastAsia="zh-CN"/>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rFonts w:hint="eastAsia"/>
                              <w:sz w:val="24"/>
                              <w:szCs w:val="28"/>
                              <w:lang w:val="en-US" w:eastAsia="zh-CN"/>
                            </w:rPr>
                            <w:t xml:space="preserve"> </w:t>
                          </w:r>
                          <w:r>
                            <w:rPr>
                              <w:sz w:val="24"/>
                              <w:szCs w:val="28"/>
                            </w:rPr>
                            <w:t xml:space="preserve"> —</w:t>
                          </w:r>
                        </w:p>
                      </w:txbxContent>
                    </wps:txbx>
                    <wps:bodyPr vert="horz" wrap="none" lIns="0" tIns="0" rIns="0" bIns="0" anchor="t" anchorCtr="0" upright="0">
                      <a:spAutoFit/>
                    </wps:bodyPr>
                  </wps:wsp>
                </a:graphicData>
              </a:graphic>
            </wp:anchor>
          </w:drawing>
        </mc:Choice>
        <mc:Fallback>
          <w:pict>
            <v:shape id="文本框 1030"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7aJTLd8BAADBAwAADgAAAAAA&#10;AAABACAAAAAeAQAAZHJzL2Uyb0RvYy54bWxQSwUGAAAAAAYABgBZAQAAbwUAAAAA&#10;">
              <v:fill on="f" focussize="0,0"/>
              <v:stroke on="f"/>
              <v:imagedata o:title=""/>
              <o:lock v:ext="edit" aspectratio="f"/>
              <v:textbox inset="0mm,0mm,0mm,0mm" style="mso-fit-shape-to-text:t;">
                <w:txbxContent>
                  <w:p w14:paraId="0A34D91F">
                    <w:pPr>
                      <w:pStyle w:val="16"/>
                      <w:rPr>
                        <w:sz w:val="24"/>
                        <w:szCs w:val="28"/>
                      </w:rPr>
                    </w:pPr>
                    <w:r>
                      <w:rPr>
                        <w:sz w:val="24"/>
                        <w:szCs w:val="28"/>
                      </w:rPr>
                      <w:t xml:space="preserve">— </w:t>
                    </w:r>
                    <w:r>
                      <w:rPr>
                        <w:rFonts w:hint="eastAsia"/>
                        <w:sz w:val="24"/>
                        <w:szCs w:val="28"/>
                        <w:lang w:val="en-US" w:eastAsia="zh-CN"/>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rFonts w:hint="eastAsia"/>
                        <w:sz w:val="24"/>
                        <w:szCs w:val="28"/>
                        <w:lang w:val="en-US" w:eastAsia="zh-CN"/>
                      </w:rPr>
                      <w:t xml:space="preserve"> </w:t>
                    </w:r>
                    <w:r>
                      <w:rPr>
                        <w:sz w:val="24"/>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5F55E">
    <w:pPr>
      <w:pStyle w:val="1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B87A32">
                          <w:pPr>
                            <w:pStyle w:val="16"/>
                          </w:pPr>
                          <w:r>
                            <w:t xml:space="preserve">— </w:t>
                          </w:r>
                          <w:r>
                            <w:rPr>
                              <w:rFonts w:hint="eastAsia"/>
                              <w:lang w:val="en-US" w:eastAsia="zh-CN"/>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68</w:t>
                          </w:r>
                          <w:r>
                            <w:rPr>
                              <w:sz w:val="24"/>
                              <w:szCs w:val="28"/>
                            </w:rPr>
                            <w:fldChar w:fldCharType="end"/>
                          </w:r>
                          <w:r>
                            <w:rPr>
                              <w:rFonts w:hint="eastAsia"/>
                              <w:lang w:val="en-US" w:eastAsia="zh-CN"/>
                            </w:rPr>
                            <w:t xml:space="preserve"> </w:t>
                          </w:r>
                          <w:r>
                            <w:t xml:space="preserve"> —</w:t>
                          </w:r>
                        </w:p>
                      </w:txbxContent>
                    </wps:txbx>
                    <wps:bodyPr vert="horz" wrap="none" lIns="0" tIns="0" rIns="0" bIns="0" anchor="t" anchorCtr="0" upright="0">
                      <a:spAutoFit/>
                    </wps:bodyPr>
                  </wps:wsp>
                </a:graphicData>
              </a:graphic>
            </wp:anchor>
          </w:drawing>
        </mc:Choice>
        <mc:Fallback>
          <w:pict>
            <v:shape id="文本框 103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bc19d4QEAAMEDAAAOAAAA&#10;AAAAAAEAIAAAAB4BAABkcnMvZTJvRG9jLnhtbFBLBQYAAAAABgAGAFkBAABxBQAAAAA=&#10;">
              <v:fill on="f" focussize="0,0"/>
              <v:stroke on="f"/>
              <v:imagedata o:title=""/>
              <o:lock v:ext="edit" aspectratio="f"/>
              <v:textbox inset="0mm,0mm,0mm,0mm" style="mso-fit-shape-to-text:t;">
                <w:txbxContent>
                  <w:p w14:paraId="38B87A32">
                    <w:pPr>
                      <w:pStyle w:val="16"/>
                    </w:pPr>
                    <w:r>
                      <w:t xml:space="preserve">— </w:t>
                    </w:r>
                    <w:r>
                      <w:rPr>
                        <w:rFonts w:hint="eastAsia"/>
                        <w:lang w:val="en-US" w:eastAsia="zh-CN"/>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68</w:t>
                    </w:r>
                    <w:r>
                      <w:rPr>
                        <w:sz w:val="24"/>
                        <w:szCs w:val="28"/>
                      </w:rPr>
                      <w:fldChar w:fldCharType="end"/>
                    </w:r>
                    <w:r>
                      <w:rPr>
                        <w:rFonts w:hint="eastAsia"/>
                        <w:lang w:val="en-US" w:eastAsia="zh-CN"/>
                      </w:rPr>
                      <w:t xml:space="preserve"> </w:t>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1E075">
    <w:pPr>
      <w:pStyle w:val="16"/>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71C7C8">
                          <w:pPr>
                            <w:pStyle w:val="16"/>
                          </w:pPr>
                          <w:r>
                            <w:t xml:space="preserve">— </w:t>
                          </w:r>
                          <w:r>
                            <w:rPr>
                              <w:rFonts w:hint="eastAsia"/>
                              <w:lang w:val="en-US" w:eastAsia="zh-CN"/>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71</w:t>
                          </w:r>
                          <w:r>
                            <w:rPr>
                              <w:sz w:val="24"/>
                              <w:szCs w:val="28"/>
                            </w:rPr>
                            <w:fldChar w:fldCharType="end"/>
                          </w:r>
                          <w:r>
                            <w:rPr>
                              <w:rFonts w:hint="eastAsia"/>
                              <w:sz w:val="24"/>
                              <w:szCs w:val="28"/>
                              <w:lang w:val="en-US" w:eastAsia="zh-CN"/>
                            </w:rPr>
                            <w:t xml:space="preserve"> </w:t>
                          </w:r>
                          <w:r>
                            <w:rPr>
                              <w:sz w:val="24"/>
                              <w:szCs w:val="28"/>
                            </w:rPr>
                            <w:t xml:space="preserve"> </w:t>
                          </w:r>
                          <w:r>
                            <w:t>—</w:t>
                          </w:r>
                        </w:p>
                      </w:txbxContent>
                    </wps:txbx>
                    <wps:bodyPr vert="horz" wrap="none" lIns="0" tIns="0" rIns="0" bIns="0" anchor="t" anchorCtr="0" upright="0">
                      <a:spAutoFit/>
                    </wps:bodyPr>
                  </wps:wsp>
                </a:graphicData>
              </a:graphic>
            </wp:anchor>
          </w:drawing>
        </mc:Choice>
        <mc:Fallback>
          <w:pict>
            <v:shape id="文本框 1031"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oPUSM4QEAAMEDAAAOAAAA&#10;AAAAAAEAIAAAAB4BAABkcnMvZTJvRG9jLnhtbFBLBQYAAAAABgAGAFkBAABxBQAAAAA=&#10;">
              <v:fill on="f" focussize="0,0"/>
              <v:stroke on="f"/>
              <v:imagedata o:title=""/>
              <o:lock v:ext="edit" aspectratio="f"/>
              <v:textbox inset="0mm,0mm,0mm,0mm" style="mso-fit-shape-to-text:t;">
                <w:txbxContent>
                  <w:p w14:paraId="7971C7C8">
                    <w:pPr>
                      <w:pStyle w:val="16"/>
                    </w:pPr>
                    <w:r>
                      <w:t xml:space="preserve">— </w:t>
                    </w:r>
                    <w:r>
                      <w:rPr>
                        <w:rFonts w:hint="eastAsia"/>
                        <w:lang w:val="en-US" w:eastAsia="zh-CN"/>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71</w:t>
                    </w:r>
                    <w:r>
                      <w:rPr>
                        <w:sz w:val="24"/>
                        <w:szCs w:val="28"/>
                      </w:rPr>
                      <w:fldChar w:fldCharType="end"/>
                    </w:r>
                    <w:r>
                      <w:rPr>
                        <w:rFonts w:hint="eastAsia"/>
                        <w:sz w:val="24"/>
                        <w:szCs w:val="28"/>
                        <w:lang w:val="en-US" w:eastAsia="zh-CN"/>
                      </w:rPr>
                      <w:t xml:space="preserve"> </w:t>
                    </w:r>
                    <w:r>
                      <w:rPr>
                        <w:sz w:val="24"/>
                        <w:szCs w:val="28"/>
                      </w:rPr>
                      <w:t xml:space="preserve"> </w:t>
                    </w:r>
                    <w: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6AE1E"/>
    <w:multiLevelType w:val="singleLevel"/>
    <w:tmpl w:val="85A6AE1E"/>
    <w:lvl w:ilvl="0" w:tentative="0">
      <w:start w:val="1"/>
      <w:numFmt w:val="decimal"/>
      <w:suff w:val="nothing"/>
      <w:lvlText w:val="%1"/>
      <w:lvlJc w:val="left"/>
      <w:pPr>
        <w:tabs>
          <w:tab w:val="left" w:pos="0"/>
        </w:tabs>
        <w:ind w:left="0" w:firstLine="0"/>
      </w:pPr>
      <w:rPr>
        <w:rFonts w:hint="default" w:ascii="Times New Roman" w:hAnsi="Times New Roman" w:eastAsia="宋体" w:cs="宋体"/>
        <w:sz w:val="21"/>
      </w:rPr>
    </w:lvl>
  </w:abstractNum>
  <w:abstractNum w:abstractNumId="1">
    <w:nsid w:val="8CBD866E"/>
    <w:multiLevelType w:val="singleLevel"/>
    <w:tmpl w:val="8CBD866E"/>
    <w:lvl w:ilvl="0" w:tentative="0">
      <w:start w:val="1"/>
      <w:numFmt w:val="decimal"/>
      <w:suff w:val="nothing"/>
      <w:lvlText w:val="%1"/>
      <w:lvlJc w:val="left"/>
      <w:pPr>
        <w:tabs>
          <w:tab w:val="left" w:pos="0"/>
        </w:tabs>
        <w:ind w:left="0" w:firstLine="0"/>
      </w:pPr>
      <w:rPr>
        <w:rFonts w:hint="default" w:ascii="Times New Roman" w:hAnsi="Times New Roman" w:eastAsia="宋体" w:cs="宋体"/>
        <w:sz w:val="21"/>
      </w:rPr>
    </w:lvl>
  </w:abstractNum>
  <w:abstractNum w:abstractNumId="2">
    <w:nsid w:val="957917B8"/>
    <w:multiLevelType w:val="singleLevel"/>
    <w:tmpl w:val="957917B8"/>
    <w:lvl w:ilvl="0" w:tentative="0">
      <w:start w:val="1"/>
      <w:numFmt w:val="decimal"/>
      <w:suff w:val="nothing"/>
      <w:lvlText w:val="（%1）"/>
      <w:lvlJc w:val="left"/>
    </w:lvl>
  </w:abstractNum>
  <w:abstractNum w:abstractNumId="3">
    <w:nsid w:val="9F1AD7A0"/>
    <w:multiLevelType w:val="singleLevel"/>
    <w:tmpl w:val="9F1AD7A0"/>
    <w:lvl w:ilvl="0" w:tentative="0">
      <w:start w:val="2"/>
      <w:numFmt w:val="decimal"/>
      <w:suff w:val="nothing"/>
      <w:lvlText w:val="（%1）"/>
      <w:lvlJc w:val="left"/>
    </w:lvl>
  </w:abstractNum>
  <w:abstractNum w:abstractNumId="4">
    <w:nsid w:val="A53D4C4E"/>
    <w:multiLevelType w:val="singleLevel"/>
    <w:tmpl w:val="A53D4C4E"/>
    <w:lvl w:ilvl="0" w:tentative="0">
      <w:start w:val="1"/>
      <w:numFmt w:val="decimal"/>
      <w:suff w:val="nothing"/>
      <w:lvlText w:val="（%1）"/>
      <w:lvlJc w:val="left"/>
    </w:lvl>
  </w:abstractNum>
  <w:abstractNum w:abstractNumId="5">
    <w:nsid w:val="A87597A4"/>
    <w:multiLevelType w:val="singleLevel"/>
    <w:tmpl w:val="A87597A4"/>
    <w:lvl w:ilvl="0" w:tentative="0">
      <w:start w:val="1"/>
      <w:numFmt w:val="decimal"/>
      <w:suff w:val="nothing"/>
      <w:lvlText w:val="%1"/>
      <w:lvlJc w:val="left"/>
      <w:pPr>
        <w:tabs>
          <w:tab w:val="left" w:pos="0"/>
        </w:tabs>
        <w:ind w:left="0" w:firstLine="0"/>
      </w:pPr>
      <w:rPr>
        <w:rFonts w:hint="default" w:ascii="Times New Roman" w:hAnsi="Times New Roman" w:eastAsia="宋体" w:cs="宋体"/>
        <w:sz w:val="21"/>
      </w:rPr>
    </w:lvl>
  </w:abstractNum>
  <w:abstractNum w:abstractNumId="6">
    <w:nsid w:val="B4E5CAFE"/>
    <w:multiLevelType w:val="singleLevel"/>
    <w:tmpl w:val="B4E5CAFE"/>
    <w:lvl w:ilvl="0" w:tentative="0">
      <w:start w:val="2"/>
      <w:numFmt w:val="decimal"/>
      <w:suff w:val="nothing"/>
      <w:lvlText w:val="%1、"/>
      <w:lvlJc w:val="left"/>
    </w:lvl>
  </w:abstractNum>
  <w:abstractNum w:abstractNumId="7">
    <w:nsid w:val="D7501281"/>
    <w:multiLevelType w:val="singleLevel"/>
    <w:tmpl w:val="D7501281"/>
    <w:lvl w:ilvl="0" w:tentative="0">
      <w:start w:val="1"/>
      <w:numFmt w:val="bullet"/>
      <w:pStyle w:val="13"/>
      <w:lvlText w:val=""/>
      <w:lvlJc w:val="left"/>
      <w:pPr>
        <w:tabs>
          <w:tab w:val="left" w:pos="2040"/>
        </w:tabs>
        <w:ind w:left="780" w:hanging="360"/>
      </w:pPr>
      <w:rPr>
        <w:rFonts w:hint="default" w:ascii="Wingdings" w:hAnsi="Wingdings"/>
      </w:rPr>
    </w:lvl>
  </w:abstractNum>
  <w:abstractNum w:abstractNumId="8">
    <w:nsid w:val="F147324E"/>
    <w:multiLevelType w:val="singleLevel"/>
    <w:tmpl w:val="F147324E"/>
    <w:lvl w:ilvl="0" w:tentative="0">
      <w:start w:val="5"/>
      <w:numFmt w:val="decimal"/>
      <w:suff w:val="nothing"/>
      <w:lvlText w:val="（%1）"/>
      <w:lvlJc w:val="left"/>
    </w:lvl>
  </w:abstractNum>
  <w:abstractNum w:abstractNumId="9">
    <w:nsid w:val="020EFC66"/>
    <w:multiLevelType w:val="singleLevel"/>
    <w:tmpl w:val="020EFC66"/>
    <w:lvl w:ilvl="0" w:tentative="0">
      <w:start w:val="1"/>
      <w:numFmt w:val="decimal"/>
      <w:suff w:val="nothing"/>
      <w:lvlText w:val="%1"/>
      <w:lvlJc w:val="left"/>
      <w:pPr>
        <w:tabs>
          <w:tab w:val="left" w:pos="0"/>
        </w:tabs>
        <w:ind w:left="0" w:firstLine="0"/>
      </w:pPr>
      <w:rPr>
        <w:rFonts w:hint="default" w:ascii="Times New Roman" w:hAnsi="Times New Roman" w:eastAsia="宋体" w:cs="宋体"/>
        <w:sz w:val="21"/>
      </w:rPr>
    </w:lvl>
  </w:abstractNum>
  <w:abstractNum w:abstractNumId="10">
    <w:nsid w:val="07815497"/>
    <w:multiLevelType w:val="singleLevel"/>
    <w:tmpl w:val="07815497"/>
    <w:lvl w:ilvl="0" w:tentative="0">
      <w:start w:val="1"/>
      <w:numFmt w:val="decimal"/>
      <w:suff w:val="nothing"/>
      <w:lvlText w:val="%1"/>
      <w:lvlJc w:val="left"/>
      <w:pPr>
        <w:tabs>
          <w:tab w:val="left" w:pos="0"/>
        </w:tabs>
        <w:ind w:left="0" w:firstLine="0"/>
      </w:pPr>
      <w:rPr>
        <w:rFonts w:hint="default" w:ascii="Times New Roman" w:hAnsi="Times New Roman" w:eastAsia="宋体" w:cs="宋体"/>
        <w:sz w:val="21"/>
      </w:rPr>
    </w:lvl>
  </w:abstractNum>
  <w:abstractNum w:abstractNumId="11">
    <w:nsid w:val="2BFE549F"/>
    <w:multiLevelType w:val="singleLevel"/>
    <w:tmpl w:val="2BFE549F"/>
    <w:lvl w:ilvl="0" w:tentative="0">
      <w:start w:val="1"/>
      <w:numFmt w:val="decimal"/>
      <w:suff w:val="nothing"/>
      <w:lvlText w:val="%1"/>
      <w:lvlJc w:val="left"/>
      <w:pPr>
        <w:tabs>
          <w:tab w:val="left" w:pos="0"/>
        </w:tabs>
        <w:ind w:left="0" w:firstLine="0"/>
      </w:pPr>
      <w:rPr>
        <w:rFonts w:hint="default" w:ascii="Times New Roman" w:hAnsi="Times New Roman" w:eastAsia="宋体" w:cs="宋体"/>
        <w:sz w:val="21"/>
      </w:rPr>
    </w:lvl>
  </w:abstractNum>
  <w:abstractNum w:abstractNumId="12">
    <w:nsid w:val="4CA2785E"/>
    <w:multiLevelType w:val="singleLevel"/>
    <w:tmpl w:val="4CA2785E"/>
    <w:lvl w:ilvl="0" w:tentative="0">
      <w:start w:val="2"/>
      <w:numFmt w:val="decimal"/>
      <w:suff w:val="nothing"/>
      <w:lvlText w:val="（%1）"/>
      <w:lvlJc w:val="left"/>
    </w:lvl>
  </w:abstractNum>
  <w:abstractNum w:abstractNumId="13">
    <w:nsid w:val="6891C114"/>
    <w:multiLevelType w:val="singleLevel"/>
    <w:tmpl w:val="6891C114"/>
    <w:lvl w:ilvl="0" w:tentative="0">
      <w:start w:val="1"/>
      <w:numFmt w:val="chineseCounting"/>
      <w:suff w:val="nothing"/>
      <w:lvlText w:val="（%1）"/>
      <w:lvlJc w:val="left"/>
      <w:rPr>
        <w:rFonts w:hint="eastAsia"/>
      </w:rPr>
    </w:lvl>
  </w:abstractNum>
  <w:abstractNum w:abstractNumId="14">
    <w:nsid w:val="6AF85464"/>
    <w:multiLevelType w:val="singleLevel"/>
    <w:tmpl w:val="6AF85464"/>
    <w:lvl w:ilvl="0" w:tentative="0">
      <w:start w:val="1"/>
      <w:numFmt w:val="decimal"/>
      <w:suff w:val="nothing"/>
      <w:lvlText w:val="%1"/>
      <w:lvlJc w:val="left"/>
      <w:pPr>
        <w:tabs>
          <w:tab w:val="left" w:pos="0"/>
        </w:tabs>
        <w:ind w:left="0" w:firstLine="0"/>
      </w:pPr>
      <w:rPr>
        <w:rFonts w:hint="default" w:ascii="Times New Roman" w:hAnsi="Times New Roman" w:eastAsia="宋体" w:cs="宋体"/>
        <w:color w:val="auto"/>
        <w:sz w:val="21"/>
      </w:rPr>
    </w:lvl>
  </w:abstractNum>
  <w:abstractNum w:abstractNumId="15">
    <w:nsid w:val="76C10A45"/>
    <w:multiLevelType w:val="singleLevel"/>
    <w:tmpl w:val="76C10A45"/>
    <w:lvl w:ilvl="0" w:tentative="0">
      <w:start w:val="1"/>
      <w:numFmt w:val="decimal"/>
      <w:suff w:val="nothing"/>
      <w:lvlText w:val="%1"/>
      <w:lvlJc w:val="left"/>
      <w:pPr>
        <w:tabs>
          <w:tab w:val="left" w:pos="0"/>
        </w:tabs>
        <w:ind w:left="0" w:firstLine="0"/>
      </w:pPr>
      <w:rPr>
        <w:rFonts w:hint="default" w:ascii="Times New Roman" w:hAnsi="Times New Roman" w:eastAsia="宋体" w:cs="宋体"/>
        <w:sz w:val="21"/>
      </w:rPr>
    </w:lvl>
  </w:abstractNum>
  <w:abstractNum w:abstractNumId="16">
    <w:nsid w:val="7E6E010B"/>
    <w:multiLevelType w:val="singleLevel"/>
    <w:tmpl w:val="7E6E010B"/>
    <w:lvl w:ilvl="0" w:tentative="0">
      <w:start w:val="1"/>
      <w:numFmt w:val="decimal"/>
      <w:suff w:val="nothing"/>
      <w:lvlText w:val="（%1）"/>
      <w:lvlJc w:val="left"/>
    </w:lvl>
  </w:abstractNum>
  <w:num w:numId="1">
    <w:abstractNumId w:val="7"/>
  </w:num>
  <w:num w:numId="2">
    <w:abstractNumId w:val="4"/>
  </w:num>
  <w:num w:numId="3">
    <w:abstractNumId w:val="16"/>
  </w:num>
  <w:num w:numId="4">
    <w:abstractNumId w:val="2"/>
  </w:num>
  <w:num w:numId="5">
    <w:abstractNumId w:val="13"/>
  </w:num>
  <w:num w:numId="6">
    <w:abstractNumId w:val="0"/>
  </w:num>
  <w:num w:numId="7">
    <w:abstractNumId w:val="9"/>
  </w:num>
  <w:num w:numId="8">
    <w:abstractNumId w:val="6"/>
  </w:num>
  <w:num w:numId="9">
    <w:abstractNumId w:val="12"/>
  </w:num>
  <w:num w:numId="10">
    <w:abstractNumId w:val="8"/>
  </w:num>
  <w:num w:numId="11">
    <w:abstractNumId w:val="1"/>
  </w:num>
  <w:num w:numId="12">
    <w:abstractNumId w:val="14"/>
  </w:num>
  <w:num w:numId="13">
    <w:abstractNumId w:val="10"/>
  </w:num>
  <w:num w:numId="14">
    <w:abstractNumId w:val="11"/>
  </w:num>
  <w:num w:numId="15">
    <w:abstractNumId w:val="15"/>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5N2RjNjE1NDM2MWUxYTE0MjQ0OWY2ODNkNTg4ZDkifQ=="/>
  </w:docVars>
  <w:rsids>
    <w:rsidRoot w:val="00172A27"/>
    <w:rsid w:val="00851658"/>
    <w:rsid w:val="00BA1E4A"/>
    <w:rsid w:val="01082850"/>
    <w:rsid w:val="0169664E"/>
    <w:rsid w:val="03400866"/>
    <w:rsid w:val="03962038"/>
    <w:rsid w:val="046C5AA3"/>
    <w:rsid w:val="07400172"/>
    <w:rsid w:val="08B6442F"/>
    <w:rsid w:val="0B7A4729"/>
    <w:rsid w:val="0BCE3FEB"/>
    <w:rsid w:val="0C325014"/>
    <w:rsid w:val="0C4A13B6"/>
    <w:rsid w:val="0CD07B0B"/>
    <w:rsid w:val="0CED1649"/>
    <w:rsid w:val="0EB03F17"/>
    <w:rsid w:val="0F6A4AFC"/>
    <w:rsid w:val="0F991140"/>
    <w:rsid w:val="10AC6655"/>
    <w:rsid w:val="11601AF9"/>
    <w:rsid w:val="13211F0E"/>
    <w:rsid w:val="13D34087"/>
    <w:rsid w:val="14BB668C"/>
    <w:rsid w:val="15D27B23"/>
    <w:rsid w:val="190D5FB3"/>
    <w:rsid w:val="1910596E"/>
    <w:rsid w:val="1B5F54E9"/>
    <w:rsid w:val="1CE07C02"/>
    <w:rsid w:val="1D233FB8"/>
    <w:rsid w:val="1F302835"/>
    <w:rsid w:val="200E3600"/>
    <w:rsid w:val="21BF3EB3"/>
    <w:rsid w:val="22A83AA1"/>
    <w:rsid w:val="23C530EF"/>
    <w:rsid w:val="24BC13A9"/>
    <w:rsid w:val="24F67683"/>
    <w:rsid w:val="287C0608"/>
    <w:rsid w:val="28861393"/>
    <w:rsid w:val="292E06B0"/>
    <w:rsid w:val="29833F9B"/>
    <w:rsid w:val="2ACA6F4E"/>
    <w:rsid w:val="2C81118B"/>
    <w:rsid w:val="2EE1627B"/>
    <w:rsid w:val="2F6D3FB3"/>
    <w:rsid w:val="2F7777E8"/>
    <w:rsid w:val="309E1AE0"/>
    <w:rsid w:val="31395073"/>
    <w:rsid w:val="315B7D61"/>
    <w:rsid w:val="315C36BD"/>
    <w:rsid w:val="33005442"/>
    <w:rsid w:val="33077A4D"/>
    <w:rsid w:val="333A1C6C"/>
    <w:rsid w:val="33C928D3"/>
    <w:rsid w:val="354618C9"/>
    <w:rsid w:val="35BE607E"/>
    <w:rsid w:val="36A85253"/>
    <w:rsid w:val="36D3322B"/>
    <w:rsid w:val="39E87963"/>
    <w:rsid w:val="3C4A6D37"/>
    <w:rsid w:val="3D1F5371"/>
    <w:rsid w:val="3E465CDB"/>
    <w:rsid w:val="3E855949"/>
    <w:rsid w:val="40042F1A"/>
    <w:rsid w:val="41E16038"/>
    <w:rsid w:val="424B74B3"/>
    <w:rsid w:val="4351725F"/>
    <w:rsid w:val="45D375F5"/>
    <w:rsid w:val="480612B1"/>
    <w:rsid w:val="490B5F77"/>
    <w:rsid w:val="4B667DDC"/>
    <w:rsid w:val="4C28408B"/>
    <w:rsid w:val="4D322303"/>
    <w:rsid w:val="4D447CA9"/>
    <w:rsid w:val="4DA64D7A"/>
    <w:rsid w:val="4DE15ECB"/>
    <w:rsid w:val="50411413"/>
    <w:rsid w:val="50B04260"/>
    <w:rsid w:val="50BB5D80"/>
    <w:rsid w:val="50C11AC6"/>
    <w:rsid w:val="5164788F"/>
    <w:rsid w:val="51AC32A2"/>
    <w:rsid w:val="537454E2"/>
    <w:rsid w:val="554B1C5C"/>
    <w:rsid w:val="557343CD"/>
    <w:rsid w:val="56543BB8"/>
    <w:rsid w:val="57B80267"/>
    <w:rsid w:val="595B5081"/>
    <w:rsid w:val="5A5C57AD"/>
    <w:rsid w:val="5B9940C7"/>
    <w:rsid w:val="5BB36CF9"/>
    <w:rsid w:val="5CC87A7E"/>
    <w:rsid w:val="5CD91EEB"/>
    <w:rsid w:val="5E6942CD"/>
    <w:rsid w:val="612C1AA5"/>
    <w:rsid w:val="6211147E"/>
    <w:rsid w:val="6256372F"/>
    <w:rsid w:val="62EA7B45"/>
    <w:rsid w:val="63B85E03"/>
    <w:rsid w:val="64BC48CE"/>
    <w:rsid w:val="65F72DD1"/>
    <w:rsid w:val="67C436AF"/>
    <w:rsid w:val="6B0D7E48"/>
    <w:rsid w:val="6B1B7A0B"/>
    <w:rsid w:val="6BC07335"/>
    <w:rsid w:val="6C664FB6"/>
    <w:rsid w:val="6CA2019B"/>
    <w:rsid w:val="6D524D21"/>
    <w:rsid w:val="6E004F03"/>
    <w:rsid w:val="6E1C63FF"/>
    <w:rsid w:val="6E4D49A2"/>
    <w:rsid w:val="6FF86AAC"/>
    <w:rsid w:val="70C077EE"/>
    <w:rsid w:val="70DE09CC"/>
    <w:rsid w:val="724263CC"/>
    <w:rsid w:val="734A0AED"/>
    <w:rsid w:val="73CA29AC"/>
    <w:rsid w:val="749635A4"/>
    <w:rsid w:val="74B00751"/>
    <w:rsid w:val="75375336"/>
    <w:rsid w:val="77622A13"/>
    <w:rsid w:val="776317A3"/>
    <w:rsid w:val="77FC17F7"/>
    <w:rsid w:val="78597995"/>
    <w:rsid w:val="7AAB0FA3"/>
    <w:rsid w:val="7AFA3322"/>
    <w:rsid w:val="7B6D0FB5"/>
    <w:rsid w:val="7F9C092F"/>
    <w:rsid w:val="7FCD0F6F"/>
    <w:rsid w:val="7FFB576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39"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qFormat/>
    <w:locked/>
    <w:uiPriority w:val="0"/>
    <w:pPr>
      <w:keepNext/>
      <w:tabs>
        <w:tab w:val="left" w:pos="6780"/>
      </w:tabs>
      <w:outlineLvl w:val="2"/>
    </w:pPr>
    <w:rPr>
      <w:rFonts w:ascii="宋体"/>
      <w:sz w:val="28"/>
    </w:rPr>
  </w:style>
  <w:style w:type="paragraph" w:styleId="5">
    <w:name w:val="heading 4"/>
    <w:basedOn w:val="1"/>
    <w:next w:val="1"/>
    <w:qFormat/>
    <w:locked/>
    <w:uiPriority w:val="0"/>
    <w:pPr>
      <w:keepNext/>
      <w:spacing w:line="360" w:lineRule="auto"/>
      <w:ind w:firstLine="5520"/>
      <w:outlineLvl w:val="3"/>
    </w:pPr>
    <w:rPr>
      <w:rFonts w:ascii="宋体" w:hAnsi="宋体"/>
      <w:b/>
      <w:sz w:val="24"/>
    </w:rPr>
  </w:style>
  <w:style w:type="character" w:default="1" w:styleId="29">
    <w:name w:val="Default Paragraph Font"/>
    <w:semiHidden/>
    <w:qFormat/>
    <w:uiPriority w:val="0"/>
  </w:style>
  <w:style w:type="table" w:default="1" w:styleId="2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qFormat/>
    <w:locked/>
    <w:uiPriority w:val="0"/>
    <w:pPr>
      <w:adjustRightInd w:val="0"/>
      <w:snapToGrid w:val="0"/>
      <w:spacing w:line="300" w:lineRule="auto"/>
      <w:ind w:firstLine="200" w:firstLineChars="200"/>
    </w:pPr>
    <w:rPr>
      <w:rFonts w:ascii="仿宋_GB2312" w:eastAsia="仿宋_GB2312"/>
      <w:sz w:val="28"/>
      <w:szCs w:val="24"/>
    </w:rPr>
  </w:style>
  <w:style w:type="paragraph" w:styleId="7">
    <w:name w:val="annotation text"/>
    <w:basedOn w:val="1"/>
    <w:link w:val="35"/>
    <w:semiHidden/>
    <w:qFormat/>
    <w:uiPriority w:val="0"/>
    <w:pPr>
      <w:jc w:val="left"/>
    </w:pPr>
    <w:rPr>
      <w:kern w:val="0"/>
      <w:sz w:val="24"/>
      <w:szCs w:val="20"/>
    </w:rPr>
  </w:style>
  <w:style w:type="paragraph" w:styleId="8">
    <w:name w:val="Body Text"/>
    <w:basedOn w:val="1"/>
    <w:next w:val="1"/>
    <w:link w:val="36"/>
    <w:qFormat/>
    <w:uiPriority w:val="0"/>
    <w:pPr>
      <w:widowControl/>
      <w:snapToGrid w:val="0"/>
      <w:spacing w:before="60" w:after="160" w:line="259" w:lineRule="auto"/>
      <w:ind w:right="113"/>
    </w:pPr>
    <w:rPr>
      <w:kern w:val="0"/>
      <w:sz w:val="18"/>
      <w:szCs w:val="20"/>
    </w:rPr>
  </w:style>
  <w:style w:type="paragraph" w:styleId="9">
    <w:name w:val="Body Text Indent"/>
    <w:basedOn w:val="1"/>
    <w:link w:val="37"/>
    <w:qFormat/>
    <w:uiPriority w:val="0"/>
    <w:pPr>
      <w:spacing w:after="120"/>
      <w:ind w:left="420" w:leftChars="200"/>
    </w:pPr>
    <w:rPr>
      <w:kern w:val="0"/>
      <w:sz w:val="24"/>
      <w:szCs w:val="20"/>
    </w:rPr>
  </w:style>
  <w:style w:type="paragraph" w:styleId="10">
    <w:name w:val="List 2"/>
    <w:basedOn w:val="1"/>
    <w:qFormat/>
    <w:locked/>
    <w:uiPriority w:val="0"/>
    <w:pPr>
      <w:adjustRightInd w:val="0"/>
      <w:spacing w:line="240" w:lineRule="auto"/>
      <w:ind w:firstLine="0" w:firstLineChars="0"/>
      <w:jc w:val="center"/>
      <w:textAlignment w:val="baseline"/>
    </w:pPr>
    <w:rPr>
      <w:sz w:val="21"/>
      <w:szCs w:val="20"/>
    </w:rPr>
  </w:style>
  <w:style w:type="paragraph" w:styleId="11">
    <w:name w:val="Block Text"/>
    <w:basedOn w:val="1"/>
    <w:qFormat/>
    <w:locked/>
    <w:uiPriority w:val="0"/>
    <w:pPr>
      <w:adjustRightInd w:val="0"/>
      <w:snapToGrid w:val="0"/>
      <w:spacing w:after="120" w:line="300" w:lineRule="auto"/>
      <w:ind w:left="1440" w:leftChars="700" w:right="1440" w:rightChars="700"/>
    </w:pPr>
    <w:rPr>
      <w:rFonts w:ascii="仿宋_GB2312" w:eastAsia="仿宋_GB2312"/>
      <w:kern w:val="0"/>
      <w:sz w:val="28"/>
    </w:rPr>
  </w:style>
  <w:style w:type="paragraph" w:styleId="12">
    <w:name w:val="Plain Text"/>
    <w:basedOn w:val="1"/>
    <w:qFormat/>
    <w:locked/>
    <w:uiPriority w:val="0"/>
    <w:rPr>
      <w:rFonts w:ascii="宋体" w:hAnsi="Courier New"/>
    </w:rPr>
  </w:style>
  <w:style w:type="paragraph" w:styleId="13">
    <w:name w:val="List Bullet 5"/>
    <w:basedOn w:val="1"/>
    <w:qFormat/>
    <w:locked/>
    <w:uiPriority w:val="0"/>
    <w:pPr>
      <w:numPr>
        <w:ilvl w:val="0"/>
        <w:numId w:val="1"/>
      </w:numPr>
    </w:pPr>
  </w:style>
  <w:style w:type="paragraph" w:styleId="14">
    <w:name w:val="Date"/>
    <w:basedOn w:val="1"/>
    <w:next w:val="1"/>
    <w:link w:val="38"/>
    <w:qFormat/>
    <w:uiPriority w:val="0"/>
    <w:pPr>
      <w:ind w:left="100" w:leftChars="2500"/>
    </w:pPr>
    <w:rPr>
      <w:kern w:val="0"/>
      <w:sz w:val="24"/>
      <w:szCs w:val="20"/>
    </w:rPr>
  </w:style>
  <w:style w:type="paragraph" w:styleId="15">
    <w:name w:val="Balloon Text"/>
    <w:basedOn w:val="1"/>
    <w:link w:val="39"/>
    <w:semiHidden/>
    <w:qFormat/>
    <w:uiPriority w:val="0"/>
    <w:rPr>
      <w:kern w:val="0"/>
      <w:sz w:val="18"/>
      <w:szCs w:val="20"/>
    </w:rPr>
  </w:style>
  <w:style w:type="paragraph" w:styleId="16">
    <w:name w:val="footer"/>
    <w:basedOn w:val="1"/>
    <w:link w:val="40"/>
    <w:qFormat/>
    <w:uiPriority w:val="99"/>
    <w:pPr>
      <w:tabs>
        <w:tab w:val="center" w:pos="4153"/>
        <w:tab w:val="right" w:pos="8306"/>
      </w:tabs>
      <w:snapToGrid w:val="0"/>
      <w:jc w:val="left"/>
    </w:pPr>
    <w:rPr>
      <w:kern w:val="0"/>
      <w:sz w:val="18"/>
      <w:szCs w:val="20"/>
    </w:rPr>
  </w:style>
  <w:style w:type="paragraph" w:styleId="17">
    <w:name w:val="header"/>
    <w:basedOn w:val="1"/>
    <w:link w:val="41"/>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Subtitle"/>
    <w:basedOn w:val="1"/>
    <w:next w:val="1"/>
    <w:qFormat/>
    <w:locked/>
    <w:uiPriority w:val="0"/>
    <w:pPr>
      <w:spacing w:before="120" w:after="120"/>
      <w:jc w:val="left"/>
      <w:outlineLvl w:val="1"/>
    </w:pPr>
    <w:rPr>
      <w:rFonts w:eastAsia="宋体" w:cs="Times New Roman"/>
      <w:b/>
      <w:bCs/>
      <w:kern w:val="28"/>
      <w:sz w:val="32"/>
      <w:szCs w:val="32"/>
    </w:rPr>
  </w:style>
  <w:style w:type="paragraph" w:styleId="19">
    <w:name w:val="Body Text Indent 3"/>
    <w:basedOn w:val="1"/>
    <w:qFormat/>
    <w:locked/>
    <w:uiPriority w:val="0"/>
    <w:pPr>
      <w:spacing w:line="360" w:lineRule="auto"/>
      <w:ind w:firstLine="471" w:firstLineChars="200"/>
    </w:pPr>
    <w:rPr>
      <w:rFonts w:ascii="宋体" w:hAnsi="宋体"/>
      <w:sz w:val="24"/>
    </w:rPr>
  </w:style>
  <w:style w:type="paragraph" w:styleId="20">
    <w:name w:val="toc 9"/>
    <w:basedOn w:val="1"/>
    <w:next w:val="1"/>
    <w:qFormat/>
    <w:locked/>
    <w:uiPriority w:val="39"/>
    <w:pPr>
      <w:spacing w:line="360" w:lineRule="auto"/>
      <w:ind w:firstLine="480" w:firstLineChars="200"/>
    </w:pPr>
    <w:rPr>
      <w:sz w:val="24"/>
      <w:szCs w:val="28"/>
    </w:rPr>
  </w:style>
  <w:style w:type="paragraph" w:styleId="21">
    <w:name w:val="Body Text 2"/>
    <w:basedOn w:val="1"/>
    <w:qFormat/>
    <w:locked/>
    <w:uiPriority w:val="0"/>
    <w:pPr>
      <w:spacing w:line="320" w:lineRule="exact"/>
    </w:pPr>
    <w:rPr>
      <w:rFonts w:ascii="宋体"/>
      <w:sz w:val="28"/>
    </w:rPr>
  </w:style>
  <w:style w:type="paragraph" w:styleId="22">
    <w:name w:val="Normal (Web)"/>
    <w:basedOn w:val="1"/>
    <w:link w:val="42"/>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7"/>
    <w:next w:val="7"/>
    <w:link w:val="43"/>
    <w:semiHidden/>
    <w:qFormat/>
    <w:uiPriority w:val="0"/>
    <w:rPr>
      <w:b/>
      <w:sz w:val="24"/>
      <w:szCs w:val="20"/>
    </w:rPr>
  </w:style>
  <w:style w:type="paragraph" w:styleId="24">
    <w:name w:val="Body Text First Indent 2"/>
    <w:basedOn w:val="9"/>
    <w:next w:val="25"/>
    <w:qFormat/>
    <w:locked/>
    <w:uiPriority w:val="0"/>
    <w:pPr>
      <w:spacing w:after="120" w:line="240" w:lineRule="auto"/>
      <w:ind w:left="420" w:leftChars="200" w:firstLine="420" w:firstLineChars="200"/>
    </w:pPr>
    <w:rPr>
      <w:rFonts w:ascii="Times New Roman" w:hAnsi="Times New Roman"/>
      <w:color w:val="auto"/>
      <w:sz w:val="21"/>
    </w:rPr>
  </w:style>
  <w:style w:type="paragraph" w:customStyle="1" w:styleId="25">
    <w:name w:val="Default"/>
    <w:basedOn w:val="26"/>
    <w:next w:val="1"/>
    <w:qFormat/>
    <w:uiPriority w:val="0"/>
    <w:pPr>
      <w:widowControl w:val="0"/>
      <w:autoSpaceDE w:val="0"/>
      <w:autoSpaceDN w:val="0"/>
      <w:adjustRightInd w:val="0"/>
    </w:pPr>
    <w:rPr>
      <w:rFonts w:ascii="仿宋_GB2312" w:eastAsia="仿宋_GB2312" w:cs="仿宋_GB2312"/>
      <w:color w:val="000000"/>
      <w:sz w:val="24"/>
      <w:szCs w:val="24"/>
      <w:lang w:val="en-US" w:eastAsia="zh-CN" w:bidi="ar-SA"/>
    </w:rPr>
  </w:style>
  <w:style w:type="paragraph" w:customStyle="1" w:styleId="26">
    <w:name w:val="纯文本1"/>
    <w:basedOn w:val="1"/>
    <w:qFormat/>
    <w:uiPriority w:val="0"/>
    <w:pPr>
      <w:adjustRightInd w:val="0"/>
    </w:pPr>
    <w:rPr>
      <w:rFonts w:ascii="宋体" w:hAnsi="Courier New"/>
      <w:szCs w:val="20"/>
    </w:r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locked/>
    <w:uiPriority w:val="0"/>
    <w:rPr>
      <w:b/>
      <w:bCs/>
    </w:rPr>
  </w:style>
  <w:style w:type="character" w:styleId="31">
    <w:name w:val="page number"/>
    <w:basedOn w:val="29"/>
    <w:qFormat/>
    <w:locked/>
    <w:uiPriority w:val="0"/>
  </w:style>
  <w:style w:type="character" w:styleId="32">
    <w:name w:val="Hyperlink"/>
    <w:basedOn w:val="29"/>
    <w:qFormat/>
    <w:locked/>
    <w:uiPriority w:val="0"/>
    <w:rPr>
      <w:color w:val="0000FF"/>
      <w:u w:val="single"/>
    </w:rPr>
  </w:style>
  <w:style w:type="character" w:styleId="33">
    <w:name w:val="annotation reference"/>
    <w:semiHidden/>
    <w:qFormat/>
    <w:uiPriority w:val="0"/>
    <w:rPr>
      <w:sz w:val="21"/>
    </w:rPr>
  </w:style>
  <w:style w:type="paragraph" w:customStyle="1" w:styleId="34">
    <w:name w:val="本文正文"/>
    <w:basedOn w:val="1"/>
    <w:qFormat/>
    <w:uiPriority w:val="99"/>
    <w:pPr>
      <w:ind w:firstLine="480" w:firstLineChars="200"/>
    </w:pPr>
  </w:style>
  <w:style w:type="character" w:customStyle="1" w:styleId="35">
    <w:name w:val="批注文字 字符"/>
    <w:link w:val="7"/>
    <w:qFormat/>
    <w:locked/>
    <w:uiPriority w:val="0"/>
    <w:rPr>
      <w:rFonts w:ascii="Times New Roman" w:hAnsi="Times New Roman" w:eastAsia="宋体"/>
      <w:sz w:val="24"/>
    </w:rPr>
  </w:style>
  <w:style w:type="character" w:customStyle="1" w:styleId="36">
    <w:name w:val="正文文本 字符"/>
    <w:link w:val="8"/>
    <w:qFormat/>
    <w:locked/>
    <w:uiPriority w:val="0"/>
    <w:rPr>
      <w:sz w:val="18"/>
    </w:rPr>
  </w:style>
  <w:style w:type="character" w:customStyle="1" w:styleId="37">
    <w:name w:val="正文文本缩进 字符"/>
    <w:link w:val="9"/>
    <w:semiHidden/>
    <w:qFormat/>
    <w:locked/>
    <w:uiPriority w:val="0"/>
    <w:rPr>
      <w:rFonts w:ascii="Times New Roman" w:hAnsi="Times New Roman" w:eastAsia="宋体"/>
      <w:sz w:val="24"/>
    </w:rPr>
  </w:style>
  <w:style w:type="character" w:customStyle="1" w:styleId="38">
    <w:name w:val="日期 字符1"/>
    <w:link w:val="14"/>
    <w:qFormat/>
    <w:locked/>
    <w:uiPriority w:val="0"/>
    <w:rPr>
      <w:rFonts w:ascii="Times New Roman" w:hAnsi="Times New Roman" w:eastAsia="宋体"/>
      <w:sz w:val="24"/>
    </w:rPr>
  </w:style>
  <w:style w:type="character" w:customStyle="1" w:styleId="39">
    <w:name w:val="批注框文本 字符"/>
    <w:link w:val="15"/>
    <w:semiHidden/>
    <w:qFormat/>
    <w:locked/>
    <w:uiPriority w:val="0"/>
    <w:rPr>
      <w:rFonts w:ascii="Times New Roman" w:hAnsi="Times New Roman" w:eastAsia="宋体"/>
      <w:sz w:val="18"/>
    </w:rPr>
  </w:style>
  <w:style w:type="character" w:customStyle="1" w:styleId="40">
    <w:name w:val="页脚 字符1"/>
    <w:link w:val="16"/>
    <w:qFormat/>
    <w:locked/>
    <w:uiPriority w:val="99"/>
    <w:rPr>
      <w:sz w:val="18"/>
    </w:rPr>
  </w:style>
  <w:style w:type="character" w:customStyle="1" w:styleId="41">
    <w:name w:val="页眉 字符"/>
    <w:link w:val="17"/>
    <w:qFormat/>
    <w:locked/>
    <w:uiPriority w:val="0"/>
    <w:rPr>
      <w:sz w:val="18"/>
    </w:rPr>
  </w:style>
  <w:style w:type="character" w:customStyle="1" w:styleId="42">
    <w:name w:val="普通(网站) 字符"/>
    <w:link w:val="22"/>
    <w:qFormat/>
    <w:locked/>
    <w:uiPriority w:val="0"/>
    <w:rPr>
      <w:rFonts w:ascii="宋体" w:hAnsi="宋体" w:eastAsia="宋体"/>
      <w:sz w:val="24"/>
    </w:rPr>
  </w:style>
  <w:style w:type="character" w:customStyle="1" w:styleId="43">
    <w:name w:val="批注主题 字符"/>
    <w:link w:val="23"/>
    <w:semiHidden/>
    <w:qFormat/>
    <w:locked/>
    <w:uiPriority w:val="0"/>
    <w:rPr>
      <w:rFonts w:ascii="Times New Roman" w:hAnsi="Times New Roman" w:eastAsia="宋体"/>
      <w:b/>
      <w:kern w:val="2"/>
      <w:sz w:val="24"/>
    </w:rPr>
  </w:style>
  <w:style w:type="character" w:customStyle="1" w:styleId="44">
    <w:name w:val="t_tag"/>
    <w:qFormat/>
    <w:uiPriority w:val="99"/>
    <w:rPr>
      <w:rFonts w:cs="Times New Roman"/>
    </w:rPr>
  </w:style>
  <w:style w:type="character" w:customStyle="1" w:styleId="45">
    <w:name w:val="font31"/>
    <w:qFormat/>
    <w:uiPriority w:val="0"/>
    <w:rPr>
      <w:rFonts w:hint="eastAsia" w:ascii="仿宋" w:hAnsi="仿宋" w:eastAsia="仿宋" w:cs="仿宋"/>
      <w:color w:val="000000"/>
      <w:sz w:val="21"/>
      <w:szCs w:val="21"/>
      <w:u w:val="none"/>
    </w:rPr>
  </w:style>
  <w:style w:type="character" w:customStyle="1" w:styleId="46">
    <w:name w:val="font21"/>
    <w:qFormat/>
    <w:uiPriority w:val="0"/>
    <w:rPr>
      <w:rFonts w:hint="eastAsia" w:ascii="宋体" w:hAnsi="宋体" w:eastAsia="宋体" w:cs="宋体"/>
      <w:color w:val="000000"/>
      <w:sz w:val="22"/>
      <w:szCs w:val="22"/>
      <w:u w:val="none"/>
    </w:rPr>
  </w:style>
  <w:style w:type="character" w:customStyle="1" w:styleId="47">
    <w:name w:val="正文文本 字符1"/>
    <w:semiHidden/>
    <w:qFormat/>
    <w:uiPriority w:val="0"/>
    <w:rPr>
      <w:rFonts w:ascii="Times New Roman" w:hAnsi="Times New Roman" w:eastAsia="宋体"/>
      <w:sz w:val="24"/>
    </w:rPr>
  </w:style>
  <w:style w:type="character" w:customStyle="1" w:styleId="48">
    <w:name w:val="页脚 字符"/>
    <w:qFormat/>
    <w:uiPriority w:val="99"/>
  </w:style>
  <w:style w:type="character" w:customStyle="1" w:styleId="49">
    <w:name w:val="批注文字 字符1"/>
    <w:semiHidden/>
    <w:qFormat/>
    <w:uiPriority w:val="0"/>
    <w:rPr>
      <w:rFonts w:ascii="Times New Roman" w:hAnsi="Times New Roman" w:eastAsia="宋体"/>
      <w:sz w:val="24"/>
    </w:rPr>
  </w:style>
  <w:style w:type="character" w:customStyle="1" w:styleId="50">
    <w:name w:val="日期 字符"/>
    <w:semiHidden/>
    <w:qFormat/>
    <w:uiPriority w:val="0"/>
    <w:rPr>
      <w:rFonts w:ascii="Times New Roman" w:hAnsi="Times New Roman" w:eastAsia="宋体"/>
      <w:sz w:val="24"/>
    </w:rPr>
  </w:style>
  <w:style w:type="character" w:customStyle="1" w:styleId="51">
    <w:name w:val="表格 Char"/>
    <w:link w:val="52"/>
    <w:qFormat/>
    <w:locked/>
    <w:uiPriority w:val="0"/>
    <w:rPr>
      <w:rFonts w:ascii="宋体"/>
      <w:sz w:val="21"/>
    </w:rPr>
  </w:style>
  <w:style w:type="paragraph" w:customStyle="1" w:styleId="52">
    <w:name w:val="表格"/>
    <w:basedOn w:val="6"/>
    <w:next w:val="1"/>
    <w:link w:val="51"/>
    <w:qFormat/>
    <w:uiPriority w:val="0"/>
    <w:pPr>
      <w:adjustRightInd w:val="0"/>
      <w:snapToGrid w:val="0"/>
      <w:spacing w:beforeLines="10" w:afterLines="10" w:line="259" w:lineRule="auto"/>
      <w:jc w:val="center"/>
    </w:pPr>
    <w:rPr>
      <w:rFonts w:ascii="宋体"/>
      <w:kern w:val="0"/>
      <w:szCs w:val="20"/>
    </w:rPr>
  </w:style>
  <w:style w:type="paragraph" w:customStyle="1" w:styleId="53">
    <w:name w:val="CM75"/>
    <w:basedOn w:val="1"/>
    <w:next w:val="1"/>
    <w:qFormat/>
    <w:uiPriority w:val="99"/>
    <w:pPr>
      <w:autoSpaceDE w:val="0"/>
      <w:autoSpaceDN w:val="0"/>
      <w:adjustRightInd w:val="0"/>
      <w:spacing w:after="60"/>
      <w:jc w:val="left"/>
    </w:pPr>
    <w:rPr>
      <w:rFonts w:ascii="Arial Unicode MS" w:eastAsia="Times New Roman" w:cs="Arial Unicode MS"/>
      <w:kern w:val="0"/>
      <w:sz w:val="24"/>
    </w:rPr>
  </w:style>
  <w:style w:type="paragraph" w:customStyle="1" w:styleId="54">
    <w:name w:val="Table Paragraph"/>
    <w:basedOn w:val="1"/>
    <w:qFormat/>
    <w:uiPriority w:val="1"/>
    <w:pPr>
      <w:jc w:val="left"/>
    </w:pPr>
    <w:rPr>
      <w:rFonts w:ascii="Calibri" w:hAnsi="Calibri"/>
      <w:kern w:val="0"/>
      <w:sz w:val="22"/>
      <w:szCs w:val="22"/>
      <w:lang w:eastAsia="en-US"/>
    </w:rPr>
  </w:style>
  <w:style w:type="paragraph" w:customStyle="1" w:styleId="55">
    <w:name w:val="表格内容"/>
    <w:basedOn w:val="1"/>
    <w:next w:val="1"/>
    <w:qFormat/>
    <w:uiPriority w:val="0"/>
    <w:pPr>
      <w:autoSpaceDE w:val="0"/>
      <w:autoSpaceDN w:val="0"/>
      <w:adjustRightInd w:val="0"/>
      <w:snapToGrid w:val="0"/>
      <w:spacing w:line="240" w:lineRule="auto"/>
      <w:ind w:firstLine="0" w:firstLineChars="0"/>
      <w:jc w:val="center"/>
    </w:pPr>
    <w:rPr>
      <w:rFonts w:cs="宋体"/>
      <w:kern w:val="0"/>
      <w:sz w:val="21"/>
      <w:szCs w:val="21"/>
    </w:rPr>
  </w:style>
  <w:style w:type="paragraph" w:customStyle="1" w:styleId="56">
    <w:name w:val="表格文字"/>
    <w:basedOn w:val="12"/>
    <w:qFormat/>
    <w:uiPriority w:val="0"/>
    <w:pPr>
      <w:adjustRightInd w:val="0"/>
      <w:snapToGrid w:val="0"/>
      <w:jc w:val="center"/>
    </w:pPr>
    <w:rPr>
      <w:rFonts w:ascii="仿宋_GB2312" w:hAnsi="Arial Black" w:eastAsia="仿宋_GB2312"/>
      <w:kern w:val="44"/>
      <w:sz w:val="24"/>
    </w:rPr>
  </w:style>
  <w:style w:type="paragraph" w:customStyle="1" w:styleId="57">
    <w:name w:val="WPSOffice手动目录 1"/>
    <w:qFormat/>
    <w:uiPriority w:val="0"/>
    <w:pPr>
      <w:ind w:leftChars="0"/>
    </w:pPr>
    <w:rPr>
      <w:rFonts w:ascii="Times New Roman" w:hAnsi="Times New Roman" w:eastAsia="宋体" w:cs="Times New Roman"/>
      <w:sz w:val="20"/>
      <w:szCs w:val="20"/>
    </w:rPr>
  </w:style>
  <w:style w:type="paragraph" w:customStyle="1" w:styleId="58">
    <w:name w:val="List Paragraph"/>
    <w:basedOn w:val="1"/>
    <w:qFormat/>
    <w:uiPriority w:val="0"/>
    <w:pPr>
      <w:ind w:firstLine="420" w:firstLineChars="200"/>
    </w:pPr>
    <w:rPr>
      <w:rFonts w:ascii="Calibri" w:hAnsi="Calibri" w:eastAsia="宋体" w:cs="Times New Roman"/>
    </w:rPr>
  </w:style>
  <w:style w:type="paragraph" w:customStyle="1" w:styleId="59">
    <w:name w:val="图文框"/>
    <w:basedOn w:val="1"/>
    <w:qFormat/>
    <w:uiPriority w:val="0"/>
    <w:pPr>
      <w:adjustRightInd w:val="0"/>
      <w:snapToGrid w:val="0"/>
      <w:spacing w:line="360" w:lineRule="auto"/>
      <w:ind w:left="-1" w:leftChars="-17" w:hanging="47" w:hangingChars="26"/>
      <w:jc w:val="center"/>
    </w:pPr>
    <w:rPr>
      <w:rFonts w:ascii="宋体" w:hAnsi="宋体"/>
      <w:color w:val="000000"/>
      <w:sz w:val="18"/>
      <w:szCs w:val="24"/>
    </w:rPr>
  </w:style>
  <w:style w:type="paragraph" w:customStyle="1" w:styleId="6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4"/>
    </w:rPr>
  </w:style>
  <w:style w:type="paragraph" w:customStyle="1" w:styleId="62">
    <w:name w:val="p0"/>
    <w:basedOn w:val="1"/>
    <w:qFormat/>
    <w:uiPriority w:val="0"/>
    <w:pPr>
      <w:widowControl/>
    </w:pPr>
    <w:rPr>
      <w:kern w:val="0"/>
      <w:szCs w:val="21"/>
    </w:rPr>
  </w:style>
  <w:style w:type="paragraph" w:customStyle="1" w:styleId="63">
    <w:name w:val="图表文字"/>
    <w:basedOn w:val="1"/>
    <w:qFormat/>
    <w:uiPriority w:val="0"/>
    <w:pPr>
      <w:spacing w:line="300" w:lineRule="exact"/>
      <w:jc w:val="center"/>
    </w:pPr>
    <w:rPr>
      <w:bCs/>
    </w:rPr>
  </w:style>
  <w:style w:type="paragraph" w:customStyle="1" w:styleId="64">
    <w:name w:val="我的样式（正文）"/>
    <w:basedOn w:val="1"/>
    <w:qFormat/>
    <w:uiPriority w:val="0"/>
    <w:pPr>
      <w:spacing w:line="440" w:lineRule="exact"/>
    </w:pPr>
    <w:rPr>
      <w:rFonts w:ascii="宋体"/>
      <w:sz w:val="28"/>
      <w:szCs w:val="24"/>
    </w:rPr>
  </w:style>
  <w:style w:type="paragraph" w:customStyle="1" w:styleId="65">
    <w:name w:val="1图表文字"/>
    <w:basedOn w:val="1"/>
    <w:unhideWhenUsed/>
    <w:qFormat/>
    <w:uiPriority w:val="0"/>
    <w:pPr>
      <w:spacing w:line="240" w:lineRule="auto"/>
      <w:ind w:firstLine="0" w:firstLineChars="0"/>
      <w:jc w:val="center"/>
    </w:pPr>
    <w:rPr>
      <w:rFonts w:hint="eastAsia" w:ascii="Times New Roman" w:hAnsi="Times New Roman"/>
      <w:b/>
      <w:sz w:val="24"/>
    </w:rPr>
  </w:style>
  <w:style w:type="paragraph" w:customStyle="1" w:styleId="66">
    <w:name w:val="样式 自动设置"/>
    <w:basedOn w:val="1"/>
    <w:qFormat/>
    <w:uiPriority w:val="0"/>
    <w:pPr>
      <w:autoSpaceDE w:val="0"/>
      <w:autoSpaceDN w:val="0"/>
      <w:adjustRightInd w:val="0"/>
      <w:snapToGrid w:val="0"/>
      <w:spacing w:beforeLines="50" w:line="288" w:lineRule="auto"/>
      <w:ind w:firstLine="200" w:firstLineChars="200"/>
    </w:pPr>
    <w:rPr>
      <w:sz w:val="24"/>
      <w:szCs w:val="24"/>
    </w:rPr>
  </w:style>
  <w:style w:type="paragraph" w:customStyle="1" w:styleId="67">
    <w:name w:val="样式 首行缩进:  2 字符1"/>
    <w:basedOn w:val="1"/>
    <w:qFormat/>
    <w:uiPriority w:val="0"/>
    <w:pPr>
      <w:spacing w:line="420" w:lineRule="exact"/>
      <w:ind w:firstLine="200" w:firstLineChars="200"/>
    </w:pPr>
    <w:rPr>
      <w:rFonts w:ascii="Calibri" w:hAnsi="Calibri" w:cs="宋体"/>
      <w:sz w:val="24"/>
      <w:szCs w:val="20"/>
    </w:rPr>
  </w:style>
  <w:style w:type="paragraph" w:customStyle="1" w:styleId="6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9">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table" w:customStyle="1" w:styleId="70">
    <w:name w:val="样式4"/>
    <w:basedOn w:val="27"/>
    <w:qFormat/>
    <w:uiPriority w:val="99"/>
    <w:pPr>
      <w:jc w:val="center"/>
    </w:pPr>
    <w:rPr>
      <w:rFonts w:eastAsia="仿宋"/>
    </w:rPr>
    <w:tblPr>
      <w:tblBorders>
        <w:top w:val="single" w:color="auto" w:sz="4" w:space="0"/>
        <w:bottom w:val="single" w:color="auto" w:sz="4" w:space="0"/>
        <w:insideH w:val="single" w:color="auto" w:sz="4" w:space="0"/>
        <w:insideV w:val="single" w:color="auto" w:sz="4" w:space="0"/>
      </w:tblBorders>
    </w:tblPr>
    <w:tcPr>
      <w:vAlign w:val="center"/>
    </w:tcPr>
  </w:style>
  <w:style w:type="table" w:customStyle="1" w:styleId="71">
    <w:name w:val="Table Normal"/>
    <w:unhideWhenUsed/>
    <w:qFormat/>
    <w:uiPriority w:val="0"/>
    <w:tblPr>
      <w:tblCellMar>
        <w:top w:w="0" w:type="dxa"/>
        <w:left w:w="0" w:type="dxa"/>
        <w:bottom w:w="0" w:type="dxa"/>
        <w:right w:w="0" w:type="dxa"/>
      </w:tblCellMar>
    </w:tblPr>
  </w:style>
  <w:style w:type="table" w:customStyle="1" w:styleId="72">
    <w:name w:val="网格型1"/>
    <w:basedOn w:val="27"/>
    <w:qFormat/>
    <w:uiPriority w:val="5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3">
    <w:name w:val="样式2"/>
    <w:basedOn w:val="27"/>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74">
    <w:name w:val="font11"/>
    <w:basedOn w:val="29"/>
    <w:qFormat/>
    <w:uiPriority w:val="0"/>
    <w:rPr>
      <w:rFonts w:hint="eastAsia" w:ascii="仿宋" w:hAnsi="仿宋" w:eastAsia="仿宋" w:cs="仿宋"/>
      <w:color w:val="000000"/>
      <w:sz w:val="21"/>
      <w:szCs w:val="21"/>
      <w:u w:val="none"/>
    </w:rPr>
  </w:style>
  <w:style w:type="character" w:customStyle="1" w:styleId="75">
    <w:name w:val="font41"/>
    <w:basedOn w:val="29"/>
    <w:qFormat/>
    <w:uiPriority w:val="0"/>
    <w:rPr>
      <w:rFonts w:hint="default" w:ascii="Times New Roman" w:hAnsi="Times New Roman" w:cs="Times New Roman"/>
      <w:color w:val="000000"/>
      <w:sz w:val="21"/>
      <w:szCs w:val="21"/>
      <w:u w:val="none"/>
    </w:rPr>
  </w:style>
  <w:style w:type="paragraph" w:customStyle="1" w:styleId="76">
    <w:name w:val="1表格"/>
    <w:basedOn w:val="1"/>
    <w:qFormat/>
    <w:uiPriority w:val="0"/>
    <w:pPr>
      <w:spacing w:line="160" w:lineRule="atLeast"/>
      <w:jc w:val="center"/>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17.wmf"/><Relationship Id="rId38" Type="http://schemas.openxmlformats.org/officeDocument/2006/relationships/oleObject" Target="embeddings/oleObject12.bin"/><Relationship Id="rId37" Type="http://schemas.openxmlformats.org/officeDocument/2006/relationships/image" Target="media/image16.wmf"/><Relationship Id="rId36" Type="http://schemas.openxmlformats.org/officeDocument/2006/relationships/oleObject" Target="embeddings/oleObject11.bin"/><Relationship Id="rId35" Type="http://schemas.openxmlformats.org/officeDocument/2006/relationships/image" Target="media/image15.wmf"/><Relationship Id="rId34" Type="http://schemas.openxmlformats.org/officeDocument/2006/relationships/oleObject" Target="embeddings/oleObject10.bin"/><Relationship Id="rId33" Type="http://schemas.openxmlformats.org/officeDocument/2006/relationships/image" Target="media/image14.wmf"/><Relationship Id="rId32" Type="http://schemas.openxmlformats.org/officeDocument/2006/relationships/oleObject" Target="embeddings/oleObject9.bin"/><Relationship Id="rId31" Type="http://schemas.openxmlformats.org/officeDocument/2006/relationships/image" Target="media/image13.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oleObject" Target="embeddings/oleObject7.bin"/><Relationship Id="rId27" Type="http://schemas.openxmlformats.org/officeDocument/2006/relationships/image" Target="media/image11.wmf"/><Relationship Id="rId26" Type="http://schemas.openxmlformats.org/officeDocument/2006/relationships/oleObject" Target="embeddings/oleObject6.bin"/><Relationship Id="rId25" Type="http://schemas.openxmlformats.org/officeDocument/2006/relationships/image" Target="media/image10.wmf"/><Relationship Id="rId24" Type="http://schemas.openxmlformats.org/officeDocument/2006/relationships/oleObject" Target="embeddings/oleObject5.bin"/><Relationship Id="rId23" Type="http://schemas.openxmlformats.org/officeDocument/2006/relationships/image" Target="media/image9.wmf"/><Relationship Id="rId22" Type="http://schemas.openxmlformats.org/officeDocument/2006/relationships/oleObject" Target="embeddings/oleObject4.bin"/><Relationship Id="rId21" Type="http://schemas.openxmlformats.org/officeDocument/2006/relationships/image" Target="media/image8.png"/><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6.emf"/><Relationship Id="rId17" Type="http://schemas.openxmlformats.org/officeDocument/2006/relationships/oleObject" Target="embeddings/oleObject2.bin"/><Relationship Id="rId16" Type="http://schemas.openxmlformats.org/officeDocument/2006/relationships/image" Target="media/image5.emf"/><Relationship Id="rId15" Type="http://schemas.openxmlformats.org/officeDocument/2006/relationships/oleObject" Target="embeddings/oleObject1.bin"/><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73</Pages>
  <Words>112</Words>
  <Characters>143</Characters>
  <Lines>1</Lines>
  <Paragraphs>1</Paragraphs>
  <TotalTime>3</TotalTime>
  <ScaleCrop>false</ScaleCrop>
  <LinksUpToDate>false</LinksUpToDate>
  <CharactersWithSpaces>151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2020-12-24T17:29:00Z</dcterms:created>
  <dc:creator>lhj</dc:creator>
  <cp:lastModifiedBy>球球</cp:lastModifiedBy>
  <cp:lastPrinted>2024-07-17T00:28:00Z</cp:lastPrinted>
  <dcterms:modified xsi:type="dcterms:W3CDTF">2025-04-30T01:09:54Z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DE1225E088A741F3A2E5E06234CB4D5F_13</vt:lpwstr>
  </property>
  <property fmtid="{D5CDD505-2E9C-101B-9397-08002B2CF9AE}" pid="4" name="KSOTemplateDocerSaveRecord">
    <vt:lpwstr>eyJoZGlkIjoiYWZhMzA0MTE2MGQ3ODcwOTgyMWY3NzY0ZDhkYzQxODciLCJ1c2VySWQiOiIzODk2NzQyOTcifQ==</vt:lpwstr>
  </property>
</Properties>
</file>